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24, 2025 (November 21, 2025)</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60" w:type="dxa"/>
            <w:vAlign w:val="bottom"/>
          </w:tcPr>
          <w:p>
            <w:pPr>
              <w:spacing w:after="0"/>
              <w:rPr>
                <w:sz w:val="20"/>
                <w:szCs w:val="20"/>
                <w:color w:val="auto"/>
              </w:rPr>
            </w:pPr>
          </w:p>
        </w:tc>
        <w:tc>
          <w:tcPr>
            <w:tcW w:w="22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(Commission</w:t>
            </w:r>
          </w:p>
        </w:tc>
        <w:tc>
          <w:tcPr>
            <w:tcW w:w="1460" w:type="dxa"/>
            <w:vAlign w:val="bottom"/>
          </w:tcPr>
          <w:p>
            <w:pPr>
              <w:spacing w:after="0"/>
              <w:rPr>
                <w:sz w:val="19"/>
                <w:szCs w:val="19"/>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File Number)</w:t>
            </w:r>
          </w:p>
        </w:tc>
        <w:tc>
          <w:tcPr>
            <w:tcW w:w="146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33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0"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68" w:right="339" w:bottom="1440" w:gutter="0" w:footer="0" w:header="0"/>
        </w:sectPr>
      </w:pPr>
    </w:p>
    <w:p>
      <w:pPr>
        <w:spacing w:after="0" w:line="158"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Common Shares, $0.01 stated value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4000" w:space="720"/>
            <w:col w:w="1880" w:space="720"/>
            <w:col w:w="3920"/>
          </w:cols>
          <w:pgMar w:left="320" w:top="1168" w:right="339" w:bottom="1440" w:gutter="0" w:footer="0" w:header="0"/>
          <w:type w:val="continuous"/>
        </w:sectPr>
      </w:pPr>
    </w:p>
    <w:p>
      <w:pPr>
        <w:spacing w:after="0" w:line="14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1.01. Entry into a Material Definitive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November 21, 2025, The Scotts Miracle-Gro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Seventh Amended and Restated Credit Agreement, by and among the Company, as a Borrower; the Subsidiary Borrowers; JPMorgan Chase Bank, N.A., as Administrative Agent; Bank of America, N.A., Mizuho Bank, LTD., Wells Fargo Bank, National Association, Truist Bank, PNC Bank, National Association and Capital One, N.A, as Co-Syndication Agents; Farm Credit Canada, TD Bank, N.A., Coöperatieve Rabobank U.A., New York Branch, U.S. Bank National Association and Citizens Bank, N.A., as Co-Documentation Agents; and the several other banks and other financial institutions from time to time parties thereto (the “</w:t>
      </w:r>
      <w:r>
        <w:rPr>
          <w:rFonts w:ascii="Times New Roman" w:cs="Times New Roman" w:eastAsia="Times New Roman" w:hAnsi="Times New Roman"/>
          <w:sz w:val="18"/>
          <w:szCs w:val="18"/>
          <w:b w:val="1"/>
          <w:bCs w:val="1"/>
          <w:i w:val="1"/>
          <w:iCs w:val="1"/>
          <w:color w:val="auto"/>
        </w:rPr>
        <w:t>Seventh A&amp;R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Seventh A&amp;R Credit Agreement, the lenders have committed to provide the Company and certain of its subsidiaries with five-year senior secured loan facilities in the aggregate principal amount of $2.0 billion, comprised of a revolving credit facility of $1.5 billion and a term loan in the original principal amount of $500 million (the “</w:t>
      </w:r>
      <w:r>
        <w:rPr>
          <w:rFonts w:ascii="Times New Roman" w:cs="Times New Roman" w:eastAsia="Times New Roman" w:hAnsi="Times New Roman"/>
          <w:sz w:val="18"/>
          <w:szCs w:val="18"/>
          <w:b w:val="1"/>
          <w:bCs w:val="1"/>
          <w:i w:val="1"/>
          <w:iCs w:val="1"/>
          <w:color w:val="auto"/>
        </w:rPr>
        <w:t>New Credit Facilities</w:t>
      </w:r>
      <w:r>
        <w:rPr>
          <w:rFonts w:ascii="Times New Roman" w:cs="Times New Roman" w:eastAsia="Times New Roman" w:hAnsi="Times New Roman"/>
          <w:sz w:val="18"/>
          <w:szCs w:val="18"/>
          <w:color w:val="auto"/>
        </w:rPr>
        <w:t>”). The Seventh A&amp;R Credit Agreement also provides the Company with the right to seek additional committed credit under the agreement in an aggregate amount of up to $500 million plus an unlimited additional amount, subject to certain specified financial and other conditions. The Seventh A&amp;R Credit Agreement replaces the Company’s Sixth Amended and Restated Credit Agreement (described in Item 1.02 below), which was entered into on April 8, 2022 (the “</w:t>
      </w:r>
      <w:r>
        <w:rPr>
          <w:rFonts w:ascii="Times New Roman" w:cs="Times New Roman" w:eastAsia="Times New Roman" w:hAnsi="Times New Roman"/>
          <w:sz w:val="18"/>
          <w:szCs w:val="18"/>
          <w:b w:val="1"/>
          <w:bCs w:val="1"/>
          <w:i w:val="1"/>
          <w:iCs w:val="1"/>
          <w:color w:val="auto"/>
        </w:rPr>
        <w:t>Former Credit Agreement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descriptions of the Seventh A&amp;R Credit Agreement and the New Credit Facilities are qualified in their entirety by reference to the Seventh A&amp;R Credit Agreement and the Seventh Amended and Restated Guarantee and Collateral Agreement (the “</w:t>
      </w:r>
      <w:r>
        <w:rPr>
          <w:rFonts w:ascii="Times New Roman" w:cs="Times New Roman" w:eastAsia="Times New Roman" w:hAnsi="Times New Roman"/>
          <w:sz w:val="18"/>
          <w:szCs w:val="18"/>
          <w:b w:val="1"/>
          <w:bCs w:val="1"/>
          <w:i w:val="1"/>
          <w:iCs w:val="1"/>
          <w:color w:val="auto"/>
        </w:rPr>
        <w:t>Seventh A&amp;R 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referred to below, which are attached hereto as Exhibits 10.1 and 10.2, respectively, and are incorporated herein by reference.</w:t>
      </w:r>
    </w:p>
    <w:p>
      <w:pPr>
        <w:spacing w:after="0" w:line="19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color w:val="auto"/>
        </w:rPr>
        <w:t>. The proceeds of borrowings on the New Credit Facilities may be used: (i) to finance working capital requirements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corporate purposes of the Company and its subsidiaries; and (ii) to refinance the amounts outstanding under the Former Credit Agreement. The revolving credit facility will be available for issuance of letters of credit and for borrowings as set forth therein and the New Credit Facilities will terminate on November 21, 2030. The Former Credit Agreement would have terminated on April 8, 2027, if it had not been amended and restated pursuant to the Seventh A&amp;R Credit Agreement.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Under the terms of the Seventh A&amp;R Credit Agreement, loans denominated in U.S. dollars made under the New Credit Facilities bear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at the Company’s election, at a rate per annum equal to either (i) the Alternate Base Rate plus the Applicable Spread (each, as defined in the Seventh A&amp;R Credit Agreement) or (ii) the Adjusted Term SOFR Rate plus the Applicable Spread (each, as defined in the Seventh A&amp;R Credit Agreement). Swingline Loans shall bear interest at the applicable Swingline Rate set forth in the Seventh A&amp;R Credit Agreement. Further, interest rates for other select non-U.S. dollar borrowings, including borrowings denominated in Euro, Pounds Sterling and Canadian Dollars, are based on separate interest rate indices, as set forth in the Seventh A&amp;R Credit Agreement.</w:t>
      </w:r>
    </w:p>
    <w:p>
      <w:pPr>
        <w:spacing w:after="0" w:line="21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November 21, 2025, and until such time as the Company delivers to the Administrative Agent consolidated financial statements for the fiscal quarter ending December 27, 2025, the Applicable Spread shall be the following rates per annum (i) 1.75% with respect to Term Benchmark and RFR Loans and (ii) 0.75% with respect to ABR Loans. The corresponding commitment fee rate on the revolving credit facility is 0.30%, which shall accrue on the daily amount of the Available Revolving Commitment (as defined in the Seventh A&amp;R Credit Agreement) during the period from and including the Effective Date to but excluding the date on which such Revolving Commitment (as defined in the Seventh A&amp;R Credit Agreement) terminates. After the delivery of such financial statements, the Applicable Commitment Fee Rate and Applicable Spread shall be as set forth under the relevant column in the table appearing under the definition of Applicable Commitment Fee Rate and Applicable Spread set forth in the Seventh A&amp;R Credit Agreement.</w:t>
      </w:r>
    </w:p>
    <w:p>
      <w:pPr>
        <w:spacing w:after="0" w:line="2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The New Credit Facilities are guaranteed pursuant to the terms of the Seventh A&amp;R Guarantee Agreement, dated as of November 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by and among the Company and certain of its domestic subsidiaries, to and in favor of the Administrative Agent, for the Lenders. Under the Seventh A&amp;R Credit Agreement, each future material direct or indirect domestic subsidiary of the Company will be required to guarantee the New Credit Facilities.</w:t>
      </w:r>
    </w:p>
    <w:p>
      <w:pPr>
        <w:spacing w:after="0" w:line="1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Security for the New Credit Facilities</w:t>
      </w:r>
      <w:r>
        <w:rPr>
          <w:rFonts w:ascii="Times New Roman" w:cs="Times New Roman" w:eastAsia="Times New Roman" w:hAnsi="Times New Roman"/>
          <w:sz w:val="18"/>
          <w:szCs w:val="18"/>
          <w:color w:val="auto"/>
        </w:rPr>
        <w:t>. The Seventh A&amp;R Credit Agreement is secured by (i) a perfected first priority security interest in all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(other than Sold Receivables Assets), inventory, equipment and intellectual property of the Company and those of the Company’s domestic subsidiaries that are parties to the Seventh A&amp;R Guarantee Agreement and (ii) the pledge of all of the capital stock of the Company’s domestic subsidiaries that are parties to the Seventh A&amp;R Guarantee Agreement and 65% of the capital stock of the Company’s first-tier foreign subsidiaries, in each case subject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exceptions and minimum thresholds set forth in the Seventh A&amp;R Credit Agreement and the Seventh A&amp;R Guarantee Agreement.</w:t>
      </w:r>
    </w:p>
    <w:p>
      <w:pPr>
        <w:spacing w:after="0" w:line="2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Ratio</w:t>
      </w:r>
      <w:r>
        <w:rPr>
          <w:rFonts w:ascii="Times New Roman" w:cs="Times New Roman" w:eastAsia="Times New Roman" w:hAnsi="Times New Roman"/>
          <w:sz w:val="18"/>
          <w:szCs w:val="18"/>
          <w:color w:val="auto"/>
        </w:rPr>
        <w:t>. Under the Seventh A&amp;R Credit Agreement, the Company must maintain a leverage ratio on the last day of each fiscal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on or after December 27, 2025 of not greater than 5.00 to 1.00.</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Coverage Ratio</w:t>
      </w:r>
      <w:r>
        <w:rPr>
          <w:rFonts w:ascii="Times New Roman" w:cs="Times New Roman" w:eastAsia="Times New Roman" w:hAnsi="Times New Roman"/>
          <w:sz w:val="18"/>
          <w:szCs w:val="18"/>
          <w:color w:val="auto"/>
        </w:rPr>
        <w:t>. Under the Seventh A&amp;R Credit Agreement, the Company must maintain a minimum interest coverage ratio of either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3.00 to 1.00, 3.25 to 1.00, or 3.50 to 1.00 , in accordance with the standards set forth in the Seventh A&amp;R Credit Agreement.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Payments</w:t>
      </w:r>
      <w:r>
        <w:rPr>
          <w:rFonts w:ascii="Times New Roman" w:cs="Times New Roman" w:eastAsia="Times New Roman" w:hAnsi="Times New Roman"/>
          <w:sz w:val="18"/>
          <w:szCs w:val="18"/>
          <w:color w:val="auto"/>
        </w:rPr>
        <w:t>. So long as no default or event of default has occurred and is continuing at the time of declaration or would result therefrom,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may make Restricted Payments (as defined in the Seventh A&amp;R Credit Agreement); provided that if after giving effect to any such Restricted Payment the Leverage Ratio is greater than 4.0 to 1.0, then the Company may only make Restricted Payments in an aggregate amount for each fiscal year not to exceed $225,000,000.</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Representations and Warranties; Other Covenants; Events of Default. </w:t>
      </w:r>
      <w:r>
        <w:rPr>
          <w:rFonts w:ascii="Times New Roman" w:cs="Times New Roman" w:eastAsia="Times New Roman" w:hAnsi="Times New Roman"/>
          <w:sz w:val="18"/>
          <w:szCs w:val="18"/>
          <w:color w:val="auto"/>
        </w:rPr>
        <w:t>The terms of the Seventh A&amp;R Credit Agreement include customary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representations and warranties, customary affirmative and negative covenants, customary financial covenants and customary events of default.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Ratio</w:t>
      </w:r>
      <w:r>
        <w:rPr>
          <w:rFonts w:ascii="Times New Roman" w:cs="Times New Roman" w:eastAsia="Times New Roman" w:hAnsi="Times New Roman"/>
          <w:sz w:val="18"/>
          <w:szCs w:val="18"/>
          <w:color w:val="auto"/>
        </w:rPr>
        <w:t>. Under the Seventh A&amp;R Credit Agreement, the Company must maintain a leverage ratio on the last day of each fiscal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on or after December 27, 2025 of not greater than 5.00 to 1.00.</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Coverage Ratio</w:t>
      </w:r>
      <w:r>
        <w:rPr>
          <w:rFonts w:ascii="Times New Roman" w:cs="Times New Roman" w:eastAsia="Times New Roman" w:hAnsi="Times New Roman"/>
          <w:sz w:val="18"/>
          <w:szCs w:val="18"/>
          <w:color w:val="auto"/>
        </w:rPr>
        <w:t>. Under the Seventh A&amp;R Credit Agreement, the Company must maintain a minimum interest coverage ratio of either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3.00 to 1.00, 3.25 to 1.00, or 3.50 to 1.00, in accordance with the standards set forth in the Seventh A&amp;R Credit Agreement.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Payments</w:t>
      </w:r>
      <w:r>
        <w:rPr>
          <w:rFonts w:ascii="Times New Roman" w:cs="Times New Roman" w:eastAsia="Times New Roman" w:hAnsi="Times New Roman"/>
          <w:sz w:val="18"/>
          <w:szCs w:val="18"/>
          <w:color w:val="auto"/>
        </w:rPr>
        <w:t>. So long as no default or event of default has occurred and is continuing at the time of declaration or would result therefrom,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may make Restricted Payments (as defined in the Seventh A&amp;R Credit Agreement); provided that if after giving effect to any such Restricted Payment the Leverage Ratio is greater than 4.0 to 1.0, then the Company may only make Restricted Payments in an aggregate amount for each fiscal year not to exceed $225,000,000.</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Representations and Warranties; Other Covenants; Events of Default. </w:t>
      </w:r>
      <w:r>
        <w:rPr>
          <w:rFonts w:ascii="Times New Roman" w:cs="Times New Roman" w:eastAsia="Times New Roman" w:hAnsi="Times New Roman"/>
          <w:sz w:val="18"/>
          <w:szCs w:val="18"/>
          <w:color w:val="auto"/>
        </w:rPr>
        <w:t>The terms of the Seventh A&amp;R Credit Agreement include customary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representations and warranties, customary affirmative and negative covenants, customary financial covenants and customary events of default.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1.02. Termination of a Material Definitive Agreement.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21, 2025, the Company amended and restated the Sixth Amended and Restated Credit Agreement, dated as of April 8, 2022, by and among The Scotts Miracle-Gro Company as the “Borrower”; the Subsidiary Borrowers (as defined in the Sixth Amended and Restated Credit Agreement); JPMorgan Chase Bank, N.A., as Administrative Agent; Wells Fargo Bank, National Association, Mizuho Bank, Ltd., and Bank of America, N.A. as Co-Syndication Agents; CoBank, ACB, Fifth Third Bank, National Association, Coöperatieve Rabobank U.A., New York Branch, Sumitomo Mitsui Banking Corporation, TD Bank, N.A, and Truist Bank as Co-Documentation Agents; and the several other banks and other financial institutions from time to time parties to the Sixth Amended and Restated Credit Agreement. The Sixth Amended and Restated Credit Agreement consisted of a five-year senior secured loan facilities in the aggregate amount of $2.5 billion, comprised of a revolving credit facility of $1.5 billion and a term loan in the original principal amount of $1.0 billion.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2.03. Creation of a Direct Financial Obligation or an Obligation under an Off-Balance Sheet Arrangement of a Registrant.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under Item 1.01 is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45"/>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1"/>
                <w:szCs w:val="21"/>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Seventh Amended and Restated Credit Agreement, dated as of November 21, 2025, by and among The Scotts Miracle-Gro</w:t>
            </w: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as a Borrower; the Subsidiary Borrowers (as defined therein); JPMorgan Chase Bank, N.A., as Administrative Agent;</w:t>
            </w: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 Mizuho Bank, LTD., Wells Fargo Bank, National Association, Truist Bank, PNC Bank, National</w:t>
            </w: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Association and Capital One, N.A, as Co-Syndication Agents, Farm Credit Canada, TD Bank, N.A., Coöperatieve Rabobank U.A.,</w:t>
            </w: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Branch, U.S. Bank National Association and Citizens Bank, N.A., as Co-Documentation Agents; and the several other</w:t>
            </w: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banks and other financial institutions from time to time parties thereto.</w:t>
            </w:r>
          </w:p>
        </w:tc>
      </w:tr>
      <w:tr>
        <w:trPr>
          <w:trHeight w:val="279"/>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Seventh Amended and Restated Guarantee and Collateral Agreement, dated as of November 21, 2025, made by The Scotts Miracle-</w:t>
            </w: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Gro Company, each domestic Subsidiary Borrower under the Seventh Amended and Restated Credit Agreement, and certain of its</w:t>
            </w: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their domestic subsidiaries, in favor of JPMorgan Chase Bank, N.A., as Administrative Agent.</w:t>
            </w:r>
          </w:p>
        </w:tc>
      </w:tr>
      <w:tr>
        <w:trPr>
          <w:trHeight w:val="311"/>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5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60" w:type="dxa"/>
            <w:vAlign w:val="bottom"/>
            <w:gridSpan w:val="2"/>
          </w:tcPr>
          <w:p>
            <w:pPr>
              <w:ind w:left="390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48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24, 2025</w:t>
            </w:r>
          </w:p>
        </w:tc>
        <w:tc>
          <w:tcPr>
            <w:tcW w:w="70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MARK J. SCHEIWER</w:t>
            </w:r>
          </w:p>
        </w:tc>
      </w:tr>
      <w:tr>
        <w:trPr>
          <w:trHeight w:val="218"/>
        </w:trPr>
        <w:tc>
          <w:tcPr>
            <w:tcW w:w="3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Printed Name: Mark J. Scheiwer</w:t>
            </w:r>
          </w:p>
        </w:tc>
      </w:tr>
      <w:tr>
        <w:trPr>
          <w:trHeight w:val="180"/>
        </w:trPr>
        <w:tc>
          <w:tcPr>
            <w:tcW w:w="3160" w:type="dxa"/>
            <w:vAlign w:val="bottom"/>
          </w:tcPr>
          <w:p>
            <w:pPr>
              <w:spacing w:after="0"/>
              <w:rPr>
                <w:sz w:val="15"/>
                <w:szCs w:val="15"/>
                <w:color w:val="auto"/>
              </w:rPr>
            </w:pPr>
          </w:p>
        </w:tc>
        <w:tc>
          <w:tcPr>
            <w:tcW w:w="7000" w:type="dxa"/>
            <w:vAlign w:val="bottom"/>
            <w:gridSpan w:val="2"/>
          </w:tcPr>
          <w:p>
            <w:pPr>
              <w:ind w:left="120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3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November 24,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19"/>
                <w:szCs w:val="19"/>
                <w:color w:val="auto"/>
              </w:rPr>
            </w:pPr>
          </w:p>
        </w:tc>
        <w:tc>
          <w:tcPr>
            <w:tcW w:w="88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Seventh Amended and Restated Credit Agreement, dated as of November 21, 2025, by and among The Scotts Miracle-Gro</w:t>
            </w:r>
          </w:p>
        </w:tc>
        <w:tc>
          <w:tcPr>
            <w:tcW w:w="660" w:type="dxa"/>
            <w:vAlign w:val="bottom"/>
            <w:gridSpan w:val="5"/>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Company, as a Borrower; the Subsidiary Borrowers (as defined therein); JPMorgan Chase Bank, N.A., as Administrative Agent;</w:t>
            </w:r>
          </w:p>
        </w:tc>
        <w:tc>
          <w:tcPr>
            <w:tcW w:w="26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Bank of America, N.A., Mizuho Bank, LTD., Wells Fargo Bank, National Association, Truist Bank, PNC Bank, National</w:t>
            </w:r>
          </w:p>
        </w:tc>
        <w:tc>
          <w:tcPr>
            <w:tcW w:w="78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Association and Capital One, N.A, as Co-Syndication Agents, Farm Credit Canada, TD Bank, N.A., Coöperatieve Rabobank U.A.,</w:t>
            </w:r>
          </w:p>
        </w:tc>
      </w:tr>
      <w:tr>
        <w:trPr>
          <w:trHeight w:val="196"/>
        </w:trPr>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0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New York Branch, U.S. Bank National Association and Citizens Bank, N.A., as Co-Documentation Agents; and the several other</w:t>
            </w:r>
          </w:p>
        </w:tc>
        <w:tc>
          <w:tcPr>
            <w:tcW w:w="120" w:type="dxa"/>
            <w:vAlign w:val="bottom"/>
            <w:tcBorders>
              <w:top w:val="single" w:sz="8" w:color="0000FF"/>
            </w:tcBorders>
            <w:gridSpan w:val="2"/>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banks and other financial institutions from time to time parties thereto.</w:t>
            </w:r>
          </w:p>
        </w:tc>
        <w:tc>
          <w:tcPr>
            <w:tcW w:w="4420" w:type="dxa"/>
            <w:vAlign w:val="bottom"/>
            <w:gridSpan w:val="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24"/>
                <w:szCs w:val="24"/>
                <w:color w:val="auto"/>
              </w:rPr>
            </w:pPr>
          </w:p>
        </w:tc>
        <w:tc>
          <w:tcPr>
            <w:tcW w:w="95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Seventh Amended and Restated Guarantee and Collateral Agreement, dated as of November 21, 2025, made by The Scotts Miracle-</w:t>
            </w:r>
          </w:p>
        </w:tc>
      </w:tr>
      <w:tr>
        <w:trPr>
          <w:trHeight w:val="196"/>
        </w:trPr>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Gro Company, each domestic Subsidiary Borrower under the Seventh Amended and Restated Credit Agreement, and certain of its</w:t>
            </w:r>
          </w:p>
        </w:tc>
        <w:tc>
          <w:tcPr>
            <w:tcW w:w="14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and their domestic subsidiaries, in favor of JPMorgan Chase Bank, N.A., as Administrative Agent.</w:t>
            </w:r>
          </w:p>
        </w:tc>
        <w:tc>
          <w:tcPr>
            <w:tcW w:w="2400" w:type="dxa"/>
            <w:vAlign w:val="bottom"/>
            <w:gridSpan w:val="7"/>
          </w:tcPr>
          <w:p>
            <w:pPr>
              <w:spacing w:after="0"/>
              <w:rPr>
                <w:sz w:val="17"/>
                <w:szCs w:val="17"/>
                <w:color w:val="auto"/>
              </w:rPr>
            </w:pP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18"/>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80" w:type="dxa"/>
            <w:vAlign w:val="bottom"/>
            <w:gridSpan w:val="2"/>
          </w:tcPr>
          <w:p>
            <w:pPr>
              <w:ind w:left="3900"/>
              <w:spacing w:after="0"/>
              <w:rPr>
                <w:sz w:val="20"/>
                <w:szCs w:val="20"/>
                <w:color w:val="auto"/>
              </w:rPr>
            </w:pPr>
            <w:r>
              <w:rPr>
                <w:rFonts w:ascii="Times New Roman" w:cs="Times New Roman" w:eastAsia="Times New Roman" w:hAnsi="Times New Roman"/>
                <w:sz w:val="18"/>
                <w:szCs w:val="18"/>
                <w:color w:val="auto"/>
              </w:rPr>
              <w:t>6</w:t>
            </w: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60" w:top="887"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770890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796925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1062355</wp:posOffset>
            </wp:positionV>
            <wp:extent cx="168021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SEVENTH AMENDED AND RESTATED CREDIT AGREEMENT</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dated as of</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November 21, 2025</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SCOTTS COMPANY LLC</w:t>
      </w:r>
    </w:p>
    <w:p>
      <w:pPr>
        <w:jc w:val="center"/>
        <w:ind w:right="1100"/>
        <w:spacing w:after="0"/>
        <w:rPr>
          <w:sz w:val="20"/>
          <w:szCs w:val="20"/>
          <w:color w:val="auto"/>
        </w:rPr>
      </w:pPr>
      <w:r>
        <w:rPr>
          <w:rFonts w:ascii="Times New Roman" w:cs="Times New Roman" w:eastAsia="Times New Roman" w:hAnsi="Times New Roman"/>
          <w:sz w:val="20"/>
          <w:szCs w:val="20"/>
          <w:color w:val="auto"/>
        </w:rPr>
        <w:t>SCOTTS CANADA LTD.</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Other Subsidiary Borrowers Party Hereto</w:t>
      </w:r>
    </w:p>
    <w:p>
      <w:pPr>
        <w:spacing w:after="0" w:line="24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2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BANK OF AMERICA, N.A., MIZUHO BANK, LTD.,</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TRUIST BANK, PNC BANK, NATIONAL ASSOCIATION and CAPITAL ONE, N.A.</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FARM CREDIT CANADA, TD BANK, N.A.,</w:t>
      </w:r>
    </w:p>
    <w:p>
      <w:pPr>
        <w:spacing w:after="0" w:line="2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COÖPERATIEVE RABOBANK U.A., NEW YORK BRANCH,</w:t>
      </w:r>
    </w:p>
    <w:p>
      <w:pPr>
        <w:spacing w:after="0" w:line="1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U.S. BANK NATIONAL ASSOCIATION and CITIZENS BANK, N.A.</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17145</wp:posOffset>
            </wp:positionV>
            <wp:extent cx="25457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BofA SECURITIES, INC., MIZUHO BANK, LTD.,</w:t>
      </w:r>
    </w:p>
    <w:p>
      <w:pPr>
        <w:jc w:val="center"/>
        <w:ind w:left="1020" w:right="2140"/>
        <w:spacing w:after="0" w:line="232" w:lineRule="auto"/>
        <w:rPr>
          <w:sz w:val="20"/>
          <w:szCs w:val="20"/>
          <w:color w:val="auto"/>
        </w:rPr>
      </w:pPr>
      <w:r>
        <w:rPr>
          <w:rFonts w:ascii="Times New Roman" w:cs="Times New Roman" w:eastAsia="Times New Roman" w:hAnsi="Times New Roman"/>
          <w:sz w:val="20"/>
          <w:szCs w:val="20"/>
          <w:color w:val="auto"/>
        </w:rPr>
        <w:t>WELLS FARGO SECURITIES, LLC, TRUIST SECURITIES, INC., PNC CAPITAL MARKETS LLC and CAPITAL ONE, N.A. 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40005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6" w:right="339" w:bottom="1440" w:gutter="0" w:footer="0" w:header="0"/>
        </w:sectPr>
      </w:pPr>
    </w:p>
    <w:bookmarkStart w:id="7" w:name="page8"/>
    <w:bookmarkEnd w:id="7"/>
    <w:p>
      <w:pPr>
        <w:spacing w:after="0" w:line="10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69"/>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ARTICLE 1 Definitions</w:t>
            </w:r>
          </w:p>
        </w:tc>
        <w:tc>
          <w:tcPr>
            <w:tcW w:w="85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525"/>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1.01.</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1.02.</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1.03.</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Terms Generally</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1.04.</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Accounting Terms; GAAP; Pro Forma Calculations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1.05.</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Status of Obligations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1.06.</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Rates; Benchmark Notification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1.07.</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Amendment and Restatement of Existing Credit Agreement</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1.08.</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1.09.</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Divisions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r>
      <w:tr>
        <w:trPr>
          <w:trHeight w:val="258"/>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1.10.</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Exchange Rates; Currency Equivalents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r>
      <w:tr>
        <w:trPr>
          <w:trHeight w:val="52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852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r>
      <w:tr>
        <w:trPr>
          <w:trHeight w:val="525"/>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2.01.</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Commitments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2.02.</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Loans and Borrowings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49</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2.03.</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Requests for Borrowings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2.04.</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Determination of Dollar Amounts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2.05.</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Swingline Loans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2.06.</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Letters of Credit</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2.07.</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Funding of Borrowings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2.08.</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Elections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2.09.</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Termination and Reduction of Commitments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2.10.</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Repayment and Amortization of Loans; Evidence of Debt</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2.11.</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Prepayment of Loans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2.12.</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2.13.</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2.14.</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Alternate Rate of Interest</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2.15.</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Increased Costs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2.16.</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Break Funding Payments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2.17.</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72</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2.18.</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Payments Generally; Allocations of Proceeds; Pro Rata Treatment; Sharing of Set-offs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2.19.</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77</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2.20.</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Incremental Facilities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2.21.</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Judgment Currency</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82</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2.22.</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Defaulting Lenders…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82</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2.23.</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Designation of Subsidiary Borrowers</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2.24.</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Administrative Borrower</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r>
      <w:tr>
        <w:trPr>
          <w:trHeight w:val="258"/>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2.25.</w:t>
            </w:r>
          </w:p>
        </w:tc>
        <w:tc>
          <w:tcPr>
            <w:tcW w:w="8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Lender Qualified Bilateral Letters of Credit</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r>
    </w:tbl>
    <w:p>
      <w:pPr>
        <w:sectPr>
          <w:pgSz w:w="11900" w:h="16838" w:orient="portrait"/>
          <w:cols w:equalWidth="0" w:num="1">
            <w:col w:w="10960"/>
          </w:cols>
          <w:pgMar w:left="580" w:top="1440" w:right="359" w:bottom="1440" w:gutter="0" w:footer="0" w:header="0"/>
        </w:sectPr>
      </w:pPr>
    </w:p>
    <w:bookmarkStart w:id="8" w:name="page9"/>
    <w:bookmarkEnd w:id="8"/>
    <w:p>
      <w:pPr>
        <w:jc w:val="center"/>
        <w:ind w:right="26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525"/>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3.01.</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Condition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3.02.</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Existence; Compliance with Law</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3.03.</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Power; Authorization; Enforceable Obligations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3.04.</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Legal Bar</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3.05.</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Material Litigation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3.06.</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Burdensome Restrictions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3.07.</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Default</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3.08.</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Subsidiaries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3.09.</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3.10.</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Margin Stock</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3.11.</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Federal Regulations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3.12.</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Investment Company Act; Other Regulations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3.13.</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Labor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3.14.</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ERISA</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3.15.</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 to Real Property</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3.16.</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3.17.</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Environmental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3.18.</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Intellectual Property</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3.19.</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Security Documents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3.20.</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Solvency</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3.21.</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8"/>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3.22.</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52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ARTICLE IV Conditions</w:t>
            </w:r>
          </w:p>
        </w:tc>
        <w:tc>
          <w:tcPr>
            <w:tcW w:w="66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525"/>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4.01.</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Effective Date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4.02.</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Each Credit Event</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8"/>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4.03.</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Designation of a Subsidiary Borrower</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526"/>
        </w:trPr>
        <w:tc>
          <w:tcPr>
            <w:tcW w:w="8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525"/>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5.01.</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5.02.</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5.03.</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 of 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5.04.</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Compliance with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5.05.</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Conduct of Business and Maintenance of Existence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5.06.</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Maintenance of Property; Insurance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5.07.</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Inspection of Property; Books and Records; Discussions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5.08.</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8"/>
        </w:trPr>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5.09.</w:t>
            </w:r>
          </w:p>
        </w:tc>
        <w:tc>
          <w:tcPr>
            <w:tcW w:w="6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Maintenance of Interest Coverage Ratio</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bl>
    <w:p>
      <w:pPr>
        <w:spacing w:after="0" w:line="200" w:lineRule="exact"/>
        <w:rPr>
          <w:sz w:val="20"/>
          <w:szCs w:val="20"/>
          <w:color w:val="auto"/>
        </w:rPr>
      </w:pPr>
    </w:p>
    <w:p>
      <w:pPr>
        <w:sectPr>
          <w:pgSz w:w="11900" w:h="16838" w:orient="portrait"/>
          <w:cols w:equalWidth="0" w:num="1">
            <w:col w:w="10980"/>
          </w:cols>
          <w:pgMar w:left="58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980"/>
          </w:cols>
          <w:pgMar w:left="580" w:top="126" w:right="339" w:bottom="1440" w:gutter="0" w:footer="0" w:header="0"/>
          <w:type w:val="continuous"/>
        </w:sectPr>
      </w:pPr>
    </w:p>
    <w:bookmarkStart w:id="9" w:name="page10"/>
    <w:bookmarkEnd w:id="9"/>
    <w:p>
      <w:pPr>
        <w:jc w:val="center"/>
        <w:ind w:right="26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09"/>
        </w:trPr>
        <w:tc>
          <w:tcPr>
            <w:tcW w:w="18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2"/>
                <w:szCs w:val="22"/>
                <w:color w:val="auto"/>
                <w:w w:val="93"/>
              </w:rPr>
              <w:t>Page</w:t>
            </w:r>
          </w:p>
        </w:tc>
      </w:tr>
      <w:tr>
        <w:trPr>
          <w:trHeight w:val="91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5.10.</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Maintenance of Leverage Ratio</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5.11.</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Additional Collateral, etc.</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5.12.</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Environmental, Health and Safety Matters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8"/>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5.13.</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Foreign Pledge Agreements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526"/>
        </w:trPr>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525"/>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6.01.</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Limitations on Liens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6.02.</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[Intentionally Omitted]</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6.03.</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Limitation on Fundamental Changes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6.04.</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Limitation on Acquisitions, Investments, Loans and Advances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6.05.</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Limitation on Indebtedness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6.06.</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Restrictive Agreements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6.07.</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6.08.</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Limitation on Sale of Assets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6.09.</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Sale and Leaseback</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6.10.</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Fiscal Year</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6.11.</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Modification of Certain Debt Instruments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6.12.</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Canadian Pension Plans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6.13.</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Lines of Business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6.14.</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Restricted Payments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6.15.</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Use of Proceeds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6.16.</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Material Intellectual Property</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8"/>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6.17.</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526"/>
        </w:trPr>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Events of Default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527"/>
        </w:trPr>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The Administrative Agent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525"/>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8.01.</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Authorization and Action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8.02.</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Administrative Agent’s Reliance, Indemnification, Etc.</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8.03.</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Posting of Communications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8.04.</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Administrative Agent Individually</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8.05.</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8.06.</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Acknowledgements of Lenders and Issuing Bank</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8.07.</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Collateral Matters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8.08.</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Credit Bidding</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8.09.</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Certain ERISA Matters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8.10.</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Certain Foreign Pledge Matters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58"/>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8.11.</w:t>
            </w:r>
          </w:p>
        </w:tc>
        <w:tc>
          <w:tcPr>
            <w:tcW w:w="7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Borrower Communications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526"/>
        </w:trPr>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w:t>
            </w:r>
          </w:p>
        </w:tc>
      </w:tr>
    </w:tbl>
    <w:p>
      <w:pPr>
        <w:spacing w:after="0" w:line="200" w:lineRule="exact"/>
        <w:rPr>
          <w:sz w:val="20"/>
          <w:szCs w:val="20"/>
          <w:color w:val="auto"/>
        </w:rPr>
      </w:pPr>
    </w:p>
    <w:p>
      <w:pPr>
        <w:sectPr>
          <w:pgSz w:w="11900" w:h="16838" w:orient="portrait"/>
          <w:cols w:equalWidth="0" w:num="1">
            <w:col w:w="10980"/>
          </w:cols>
          <w:pgMar w:left="58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980"/>
          </w:cols>
          <w:pgMar w:left="580" w:top="126" w:right="33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240" w:type="dxa"/>
        <w:tblCellMar>
          <w:top w:w="0" w:type="dxa"/>
          <w:left w:w="0" w:type="dxa"/>
          <w:bottom w:w="0" w:type="dxa"/>
          <w:right w:w="0" w:type="dxa"/>
        </w:tblCellMar>
      </w:tblPr>
      <w:tr>
        <w:trPr>
          <w:trHeight w:val="209"/>
        </w:trPr>
        <w:tc>
          <w:tcPr>
            <w:tcW w:w="18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Page</w:t>
            </w:r>
          </w:p>
        </w:tc>
      </w:tr>
      <w:tr>
        <w:trPr>
          <w:trHeight w:val="91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9.01.</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Notices</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125</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9.02.</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Waivers; Amendments</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126</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9.03.</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130</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9.04.</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Successors and Assigns</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131</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9.05.</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Survival</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137</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9.06.</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Counterparts; Integration; Effectiveness; Electronic Execution</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137</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9.07.</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Severability</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138</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9.08.</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Right of Setoff</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138</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9.09.</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139</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9.10.</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WAIVER OF JURY TRIAL</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140</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9.11.</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Headings</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140</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9.12.</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Confidentiality</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140</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9.13.</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USA PATRIOT Act; Canadian AML</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141</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9.14.</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Releases of Subsidiary Guarantors</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142</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9.15.</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Appointment for Perfection</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142</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9.16.</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Interest Rate Limitation</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142</w:t>
            </w:r>
          </w:p>
        </w:tc>
      </w:tr>
      <w:tr>
        <w:trPr>
          <w:trHeight w:val="256"/>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9.17.</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143</w:t>
            </w:r>
          </w:p>
        </w:tc>
      </w:tr>
      <w:tr>
        <w:trPr>
          <w:trHeight w:val="257"/>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9.18.</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143</w:t>
            </w:r>
          </w:p>
        </w:tc>
      </w:tr>
      <w:tr>
        <w:trPr>
          <w:trHeight w:val="258"/>
        </w:trPr>
        <w:tc>
          <w:tcPr>
            <w:tcW w:w="1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SECTION 9.19.</w:t>
            </w:r>
          </w:p>
        </w:tc>
        <w:tc>
          <w:tcPr>
            <w:tcW w:w="7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144</w:t>
            </w:r>
          </w:p>
        </w:tc>
      </w:tr>
      <w:tr>
        <w:trPr>
          <w:trHeight w:val="526"/>
        </w:trPr>
        <w:tc>
          <w:tcPr>
            <w:tcW w:w="9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Collection Allocation Mechanism</w:t>
            </w:r>
          </w:p>
        </w:tc>
        <w:tc>
          <w:tcPr>
            <w:tcW w:w="160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145</w:t>
            </w: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1.01A — Non-Guarantor Domestic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1.01B — Subsidiaries Whose Capital Stock is Not Pledged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2.01A —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2.01B — Letter of Credit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2.06 — Existing Letters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3.05 — Litigation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3.08 —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3.17 — Environmental Matters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3.19(ii) — Certain Filings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3.19(iii) — Perfections of Foreign Stock Pledges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5.13 — Foreign Pledge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6.01 — Existing Liens and Encumbrances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6.04 — Existing Investments, Loans and Advances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6.05 — Existing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6.09 — Sale and Leaseback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20"/>
          </w:cols>
          <w:pgMar w:left="340" w:top="126"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 Form of Assignment and Assumption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 List of Closing Documents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C-1 — Form of Subsidiary Borrower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C-2 — Form of Subsidiary Borrower 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D-1 — Form of U.S. Tax Certificate (Foreign Lenders That Are Not Partnerships)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D-2 — Form of U.S. Tax Certificate (Foreign Participants That Are Not Partnerships)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D-3 — Form of U.S. Tax Certificate (Foreign Participants That Are Partnerships)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D-4 — Form of U.S. Tax Certificate (Foreign Lenders That Are Partnerships)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E — Form of Guarantee and Collateral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F — Form of New Domestic Subsidiary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1220"/>
          </w:cols>
          <w:pgMar w:left="340" w:top="126" w:right="339" w:bottom="1440" w:gutter="0" w:footer="0" w:header="0"/>
        </w:sectPr>
      </w:pPr>
    </w:p>
    <w:bookmarkStart w:id="12" w:name="page13"/>
    <w:bookmarkEnd w:id="12"/>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SEVENTH 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dated as of </w:t>
      </w:r>
      <w:r>
        <w:rPr>
          <w:rFonts w:ascii="Times New Roman" w:cs="Times New Roman" w:eastAsia="Times New Roman" w:hAnsi="Times New Roman"/>
          <w:sz w:val="17"/>
          <w:szCs w:val="17"/>
          <w:color w:val="auto"/>
        </w:rPr>
        <w:t>November 21, 2025</w:t>
      </w:r>
      <w:r>
        <w:rPr>
          <w:rFonts w:ascii="Times New Roman" w:cs="Times New Roman" w:eastAsia="Times New Roman" w:hAnsi="Times New Roman"/>
          <w:sz w:val="20"/>
          <w:szCs w:val="20"/>
          <w:color w:val="auto"/>
        </w:rPr>
        <w:t xml:space="preserve"> among THE SCOTTS MIRACLE-GRO COMPANY, THE SCOTTS COMPANY LLC, SCOTTS CANADA LTD., the other SUBSIDIARY BORROWERS from time to time party hereto, the LENDERS from time to time party hereto and JPMORGAN CHASE BANK, N.A., as Administrative Agent.</w:t>
      </w:r>
    </w:p>
    <w:p>
      <w:pPr>
        <w:spacing w:after="0" w:line="19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WHEREAS, the Company, certain of the Borrowers, the lenders party thereto and JPMorgan Chase Bank, N.A., as administrative agent thereunder, are currently party to the Sixth Amended and Restated Credit Agreement, dated as of April 8, 2022 (as amended,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the Borrowers, the Lenders and the Administrative Agent have agreed to enter into this Agreement in order to</w:t>
      </w:r>
    </w:p>
    <w:p>
      <w:pPr>
        <w:spacing w:after="0" w:line="28" w:lineRule="exact"/>
        <w:rPr>
          <w:sz w:val="20"/>
          <w:szCs w:val="20"/>
          <w:color w:val="auto"/>
        </w:rPr>
      </w:pPr>
    </w:p>
    <w:p>
      <w:pPr>
        <w:jc w:val="both"/>
        <w:ind w:firstLine="8"/>
        <w:spacing w:after="0" w:line="272" w:lineRule="auto"/>
        <w:tabs>
          <w:tab w:leader="none" w:pos="2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Borrowers.</w:t>
      </w:r>
    </w:p>
    <w:p>
      <w:pPr>
        <w:spacing w:after="0" w:line="20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modify and re-evidence the obligations and liabilities of the Borrowers and the Subsidiaries outstanding thereunder, which shall be payable in accordance with the terms hereof.</w:t>
      </w:r>
    </w:p>
    <w:p>
      <w:pPr>
        <w:spacing w:after="0" w:line="20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it is also the intent of the Borrowers and the Subsidiary Guarantors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spacing w:after="0" w:line="19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the parties hereto agree that the Existing Credit Agreement is hereby amended and restated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56"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2029 Senior Notes</w:t>
      </w:r>
      <w:r>
        <w:rPr>
          <w:rFonts w:ascii="Times New Roman" w:cs="Times New Roman" w:eastAsia="Times New Roman" w:hAnsi="Times New Roman"/>
          <w:sz w:val="20"/>
          <w:szCs w:val="20"/>
          <w:color w:val="auto"/>
        </w:rPr>
        <w:t>” means the Company’s 4.500% senior notes due 2029 issued pursuant to the 4.500% Indenture.</w:t>
      </w:r>
    </w:p>
    <w:p>
      <w:pPr>
        <w:spacing w:after="0" w:line="2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4.000% Indenture</w:t>
      </w:r>
      <w:r>
        <w:rPr>
          <w:rFonts w:ascii="Times New Roman" w:cs="Times New Roman" w:eastAsia="Times New Roman" w:hAnsi="Times New Roman"/>
          <w:sz w:val="20"/>
          <w:szCs w:val="20"/>
          <w:color w:val="auto"/>
        </w:rPr>
        <w:t>” means that certain Indenture, dated as of March 17, 2021, entered into by the Company and U.S. Bank National Association as trustee, together with all instruments and other agreements entered into by the Company and its Subsidiaries in connection therewith, as the same may be amended, supplemented, renewed or otherwise modified from time to time in accordance with Section 6.11.</w:t>
      </w:r>
    </w:p>
    <w:p>
      <w:pPr>
        <w:spacing w:after="0" w:line="19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4.375% Indenture</w:t>
      </w:r>
      <w:r>
        <w:rPr>
          <w:rFonts w:ascii="Times New Roman" w:cs="Times New Roman" w:eastAsia="Times New Roman" w:hAnsi="Times New Roman"/>
          <w:sz w:val="20"/>
          <w:szCs w:val="20"/>
          <w:color w:val="auto"/>
        </w:rPr>
        <w:t>” means that certain Indenture, dated as of August 13, 2021, entered into by the Company and U.S. Bank National Association as trustee, together with all instruments and other</w:t>
      </w:r>
    </w:p>
    <w:p>
      <w:pPr>
        <w:sectPr>
          <w:pgSz w:w="11900" w:h="16838" w:orient="portrait"/>
          <w:cols w:equalWidth="0" w:num="1">
            <w:col w:w="11240"/>
          </w:cols>
          <w:pgMar w:left="320" w:top="1372" w:right="339" w:bottom="1440" w:gutter="0" w:footer="0" w:header="0"/>
        </w:sectPr>
      </w:pPr>
    </w:p>
    <w:bookmarkStart w:id="13" w:name="page14"/>
    <w:bookmarkEnd w:id="13"/>
    <w:p>
      <w:pPr>
        <w:jc w:val="both"/>
        <w:spacing w:after="0" w:line="283" w:lineRule="auto"/>
        <w:rPr>
          <w:sz w:val="20"/>
          <w:szCs w:val="20"/>
          <w:color w:val="auto"/>
        </w:rPr>
      </w:pPr>
      <w:r>
        <w:rPr>
          <w:rFonts w:ascii="Times New Roman" w:cs="Times New Roman" w:eastAsia="Times New Roman" w:hAnsi="Times New Roman"/>
          <w:sz w:val="20"/>
          <w:szCs w:val="20"/>
          <w:color w:val="auto"/>
        </w:rPr>
        <w:t>agreements entered into by the Company and its Subsidiaries in connection therewith, as the same may be amended, supplemented, renewed or otherwise modified from time to time in accordance with Section 6.11.</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4.500% Indenture</w:t>
      </w:r>
      <w:r>
        <w:rPr>
          <w:rFonts w:ascii="Times New Roman" w:cs="Times New Roman" w:eastAsia="Times New Roman" w:hAnsi="Times New Roman"/>
          <w:sz w:val="20"/>
          <w:szCs w:val="20"/>
          <w:color w:val="auto"/>
        </w:rPr>
        <w:t>” means that certain Indenture, dated as of October 22, 2019, entered into by the Company and U.S. Bank National Association as trustee, together with all instruments and other agreements entered into by the Company and its Subsidiaries in connection therewith, as the same may be amended, supplemented, renewed or otherwise modified from time to time in accordance with Section 6.11.</w:t>
      </w:r>
    </w:p>
    <w:p>
      <w:pPr>
        <w:spacing w:after="0" w:line="21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5.250% Indenture</w:t>
      </w:r>
      <w:r>
        <w:rPr>
          <w:rFonts w:ascii="Times New Roman" w:cs="Times New Roman" w:eastAsia="Times New Roman" w:hAnsi="Times New Roman"/>
          <w:sz w:val="20"/>
          <w:szCs w:val="20"/>
          <w:color w:val="auto"/>
        </w:rPr>
        <w:t>” means that certain Indenture, dated as of December 15, 2016, entered into by the Company and U.S. Bank National Association as trustee, together with all instruments and other agreements entered into by the Company and its Subsidiaries in connection therewith, as the same may be amended, supplemented, renewed or otherwise modified from time to time in accordance with Section 6.11.</w:t>
      </w:r>
    </w:p>
    <w:p>
      <w:pPr>
        <w:spacing w:after="0" w:line="21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RFR</w:t>
      </w:r>
      <w:r>
        <w:rPr>
          <w:rFonts w:ascii="Times New Roman" w:cs="Times New Roman" w:eastAsia="Times New Roman" w:hAnsi="Times New Roman"/>
          <w:sz w:val="20"/>
          <w:szCs w:val="20"/>
          <w:color w:val="auto"/>
        </w:rPr>
        <w:t xml:space="preserve">” means, (i) with respect to any RFR Borrowing denominated in Pounds Sterling, an interest rate per annum equal to the Daily Simple RFR for Pounds Sterling, (ii) with respect to any RFR Borrowing denominated in Dollars, an interest rate per annum equal to the Daily Simple RFR for Dollars, and (iii) with respect to any RFR Borrowing denominated in Canadian Dollars, an interest rate per annum equal to (a) the Daily Simple RFR for Canadian Dollars,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0.29547%;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Daily Simple RFR as so determined would be less than the Floor, such rate shall be deemed to be equal to the Floor for the purposes of this Agreement.</w:t>
      </w:r>
    </w:p>
    <w:p>
      <w:pPr>
        <w:spacing w:after="0" w:line="21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 Rate</w:t>
      </w:r>
      <w:r>
        <w:rPr>
          <w:rFonts w:ascii="Times New Roman" w:cs="Times New Roman" w:eastAsia="Times New Roman" w:hAnsi="Times New Roman"/>
          <w:sz w:val="20"/>
          <w:szCs w:val="20"/>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EURIBO Rate as so determined would be less than the Floor, such rate shall be deemed to be equal to the Floor for the purposes of this Agreement.</w:t>
      </w:r>
    </w:p>
    <w:p>
      <w:pPr>
        <w:spacing w:after="0" w:line="22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Adjusted Term CORRA Rate</w:t>
      </w:r>
      <w:r>
        <w:rPr>
          <w:rFonts w:ascii="Times New Roman" w:cs="Times New Roman" w:eastAsia="Times New Roman" w:hAnsi="Times New Roman"/>
          <w:sz w:val="20"/>
          <w:szCs w:val="20"/>
          <w:color w:val="auto"/>
        </w:rPr>
        <w:t xml:space="preserve">” means, for purposes of any calculation, the rate per annum equal to (a) Term CORRA for such calculation plus (b) 0.29547% for a one month interest period or 0.32138% for a three month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0"/>
          <w:szCs w:val="20"/>
          <w:color w:val="auto"/>
        </w:rPr>
        <w:t xml:space="preserve"> that if Adjusted Term CORRA Rate as so determined would be less than the Floor, such rate shall be deemed to be equal to the Floor for the purposes of this Agreement.</w:t>
      </w:r>
    </w:p>
    <w:p>
      <w:pPr>
        <w:spacing w:after="0" w:line="19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with respect to any Term Benchmark Borrowing denominated in Dollars for any Interest Period, an interest rate per annum equal to the Term SOFR Rate for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8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(or any of its designated branch offices or affiliates), in its capacity as administrative agent for the Lenders hereunder.</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 to the Company or any Lender, as the context requires.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4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886" w:right="339"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has the meaning assigned to such term in Section 9.03(d).</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means (i) Dollars, (ii) euro, (iii) Pounds Sterling, (iv) Canadian Dollars, and (v) any other currency (other than Dollars) (x) that is a lawful currency that is readily available and freely transferable and convertible into Dollars and (y) that is agreed to by the Administrative Agent and each of the Global Tranche Lenders.</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introductory paragraph.</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means, for any day, a rate per annum equal to the greatest of (a) the Prime Rate in effect on such day,</w:t>
      </w:r>
    </w:p>
    <w:p>
      <w:pPr>
        <w:spacing w:after="0" w:line="28" w:lineRule="exact"/>
        <w:rPr>
          <w:sz w:val="20"/>
          <w:szCs w:val="20"/>
          <w:color w:val="auto"/>
        </w:rPr>
      </w:pPr>
    </w:p>
    <w:p>
      <w:pPr>
        <w:jc w:val="both"/>
        <w:ind w:firstLine="8"/>
        <w:spacing w:after="0" w:line="248" w:lineRule="auto"/>
        <w:tabs>
          <w:tab w:leader="none" w:pos="28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FRBNY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FRBNY Rate or the Adjusted Term SOFR Rate shall be effective from and including the effective date of such change in the Prime Rate, the FRBNY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it in Section 9.06.</w:t>
      </w:r>
    </w:p>
    <w:p>
      <w:pPr>
        <w:spacing w:after="0" w:line="24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Company or its Subsidiaries from time to time concerning or relating to bribery or corruption.</w:t>
      </w:r>
    </w:p>
    <w:p>
      <w:pPr>
        <w:spacing w:after="0" w:line="173"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applicable laws or regulations in any jurisdiction in which the Company or any Subsidiary is located or doing business that relates to money laundering, any predicate crime to money laundering, or any financial record keeping and reporting requirements related thereto.</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Lender</w:t>
      </w:r>
      <w:r>
        <w:rPr>
          <w:rFonts w:ascii="Times New Roman" w:cs="Times New Roman" w:eastAsia="Times New Roman" w:hAnsi="Times New Roman"/>
          <w:sz w:val="20"/>
          <w:szCs w:val="20"/>
          <w:color w:val="auto"/>
        </w:rPr>
        <w:t>” has the meaning assigned to such term in Section 2.06(d).</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Party</w:t>
      </w:r>
      <w:r>
        <w:rPr>
          <w:rFonts w:ascii="Times New Roman" w:cs="Times New Roman" w:eastAsia="Times New Roman" w:hAnsi="Times New Roman"/>
          <w:sz w:val="20"/>
          <w:szCs w:val="20"/>
          <w:color w:val="auto"/>
        </w:rPr>
        <w:t>” has the meaning assigned to it in Section 8.03(c).</w:t>
      </w:r>
    </w:p>
    <w:p>
      <w:pPr>
        <w:spacing w:after="0" w:line="24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(a) with respect to any Global Tranche Lender, its Global Tranche Percentage, (b) with respect to any US Tranche Lender, its US Tranche Percentage and (c) with respect to any Term Lender, a percentage equal to a fraction the numerator of which is such Term Lender’s outstanding principal amount of the Term Loans and the denominator of which is the aggregate outstanding principal amount of the Term Loans of all Term Lenders.</w:t>
      </w:r>
    </w:p>
    <w:p>
      <w:pPr>
        <w:spacing w:after="0" w:line="21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Commitment Fee Rate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Applicable Spread</w:t>
      </w:r>
      <w:r>
        <w:rPr>
          <w:rFonts w:ascii="Times New Roman" w:cs="Times New Roman" w:eastAsia="Times New Roman" w:hAnsi="Times New Roman"/>
          <w:sz w:val="20"/>
          <w:szCs w:val="20"/>
          <w:color w:val="auto"/>
        </w:rPr>
        <w:t>” means, for any day, (a) with respect to any Incremental Term Loan of any Series, the rate per annum specified in the Incremental Facility Agreement establishing the Incremental Term Loan Commitments of such Series and (b) with respect to any Term Benchmark Loan, RFR Loan, any ABR Loan or with respect to the commitment fees payable hereunder, as the case may be, the applicable rate per annum set forth below under the caption “Term Benchmark</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29" w:right="339" w:bottom="1440" w:gutter="0" w:footer="0" w:header="0"/>
        </w:sectPr>
      </w:pPr>
    </w:p>
    <w:bookmarkStart w:id="15" w:name="page16"/>
    <w:bookmarkEnd w:id="15"/>
    <w:p>
      <w:pPr>
        <w:spacing w:after="0" w:line="283" w:lineRule="auto"/>
        <w:rPr>
          <w:sz w:val="20"/>
          <w:szCs w:val="20"/>
          <w:color w:val="auto"/>
        </w:rPr>
      </w:pPr>
      <w:r>
        <w:rPr>
          <w:rFonts w:ascii="Times New Roman" w:cs="Times New Roman" w:eastAsia="Times New Roman" w:hAnsi="Times New Roman"/>
          <w:sz w:val="20"/>
          <w:szCs w:val="20"/>
          <w:color w:val="auto"/>
        </w:rPr>
        <w:t>Spread”, “RFR Spread”, “ABR Spread” or “Commitment Fee Rate”, as the case may be, based upon the Leverage Ratio applicable on such date:</w:t>
      </w:r>
    </w:p>
    <w:p>
      <w:pPr>
        <w:spacing w:after="0" w:line="54" w:lineRule="exact"/>
        <w:rPr>
          <w:sz w:val="20"/>
          <w:szCs w:val="20"/>
          <w:color w:val="auto"/>
        </w:rPr>
      </w:pPr>
    </w:p>
    <w:tbl>
      <w:tblPr>
        <w:tblLayout w:type="fixed"/>
        <w:tblInd w:w="890" w:type="dxa"/>
        <w:tblCellMar>
          <w:top w:w="0" w:type="dxa"/>
          <w:left w:w="0" w:type="dxa"/>
          <w:bottom w:w="0" w:type="dxa"/>
          <w:right w:w="0" w:type="dxa"/>
        </w:tblCellMar>
      </w:tblPr>
      <w:tr>
        <w:trPr>
          <w:trHeight w:val="41"/>
        </w:trPr>
        <w:tc>
          <w:tcPr>
            <w:tcW w:w="60" w:type="dxa"/>
            <w:vAlign w:val="bottom"/>
            <w:tcBorders>
              <w:top w:val="single" w:sz="8" w:color="00000A"/>
              <w:left w:val="single" w:sz="8" w:color="00000A"/>
              <w:bottom w:val="single" w:sz="8" w:color="00000A"/>
              <w:right w:val="single" w:sz="8" w:color="00000A"/>
            </w:tcBorders>
          </w:tcPr>
          <w:p>
            <w:pPr>
              <w:spacing w:after="0"/>
              <w:rPr>
                <w:sz w:val="3"/>
                <w:szCs w:val="3"/>
                <w:color w:val="auto"/>
              </w:rPr>
            </w:pPr>
          </w:p>
        </w:tc>
        <w:tc>
          <w:tcPr>
            <w:tcW w:w="240" w:type="dxa"/>
            <w:vAlign w:val="bottom"/>
            <w:tcBorders>
              <w:top w:val="single" w:sz="8" w:color="00000A"/>
              <w:bottom w:val="single" w:sz="8" w:color="00000A"/>
            </w:tcBorders>
          </w:tcPr>
          <w:p>
            <w:pPr>
              <w:spacing w:after="0"/>
              <w:rPr>
                <w:sz w:val="3"/>
                <w:szCs w:val="3"/>
                <w:color w:val="auto"/>
              </w:rPr>
            </w:pPr>
          </w:p>
        </w:tc>
        <w:tc>
          <w:tcPr>
            <w:tcW w:w="780" w:type="dxa"/>
            <w:vAlign w:val="bottom"/>
            <w:tcBorders>
              <w:top w:val="single" w:sz="8" w:color="00000A"/>
              <w:bottom w:val="single" w:sz="8" w:color="00000A"/>
            </w:tcBorders>
          </w:tcPr>
          <w:p>
            <w:pPr>
              <w:spacing w:after="0"/>
              <w:rPr>
                <w:sz w:val="3"/>
                <w:szCs w:val="3"/>
                <w:color w:val="auto"/>
              </w:rPr>
            </w:pPr>
          </w:p>
        </w:tc>
        <w:tc>
          <w:tcPr>
            <w:tcW w:w="320" w:type="dxa"/>
            <w:vAlign w:val="bottom"/>
            <w:tcBorders>
              <w:top w:val="single" w:sz="8" w:color="00000A"/>
              <w:bottom w:val="single" w:sz="8" w:color="00000A"/>
            </w:tcBorders>
          </w:tcPr>
          <w:p>
            <w:pPr>
              <w:spacing w:after="0"/>
              <w:rPr>
                <w:sz w:val="3"/>
                <w:szCs w:val="3"/>
                <w:color w:val="auto"/>
              </w:rPr>
            </w:pPr>
          </w:p>
        </w:tc>
        <w:tc>
          <w:tcPr>
            <w:tcW w:w="400" w:type="dxa"/>
            <w:vAlign w:val="bottom"/>
            <w:tcBorders>
              <w:top w:val="single" w:sz="8" w:color="00000A"/>
              <w:bottom w:val="single" w:sz="8" w:color="00000A"/>
            </w:tcBorders>
          </w:tcPr>
          <w:p>
            <w:pPr>
              <w:spacing w:after="0"/>
              <w:rPr>
                <w:sz w:val="3"/>
                <w:szCs w:val="3"/>
                <w:color w:val="auto"/>
              </w:rPr>
            </w:pPr>
          </w:p>
        </w:tc>
        <w:tc>
          <w:tcPr>
            <w:tcW w:w="1140" w:type="dxa"/>
            <w:vAlign w:val="bottom"/>
            <w:tcBorders>
              <w:top w:val="single" w:sz="8" w:color="00000A"/>
              <w:bottom w:val="single" w:sz="8" w:color="00000A"/>
            </w:tcBorders>
          </w:tcPr>
          <w:p>
            <w:pPr>
              <w:spacing w:after="0"/>
              <w:rPr>
                <w:sz w:val="3"/>
                <w:szCs w:val="3"/>
                <w:color w:val="auto"/>
              </w:rPr>
            </w:pPr>
          </w:p>
        </w:tc>
        <w:tc>
          <w:tcPr>
            <w:tcW w:w="440" w:type="dxa"/>
            <w:vAlign w:val="bottom"/>
            <w:tcBorders>
              <w:top w:val="single" w:sz="8" w:color="00000A"/>
              <w:bottom w:val="single" w:sz="8" w:color="00000A"/>
            </w:tcBorders>
          </w:tcPr>
          <w:p>
            <w:pPr>
              <w:spacing w:after="0"/>
              <w:rPr>
                <w:sz w:val="3"/>
                <w:szCs w:val="3"/>
                <w:color w:val="auto"/>
              </w:rPr>
            </w:pPr>
          </w:p>
        </w:tc>
        <w:tc>
          <w:tcPr>
            <w:tcW w:w="120" w:type="dxa"/>
            <w:vAlign w:val="bottom"/>
            <w:tcBorders>
              <w:top w:val="single" w:sz="8" w:color="00000A"/>
              <w:bottom w:val="single" w:sz="8" w:color="00000A"/>
            </w:tcBorders>
          </w:tcPr>
          <w:p>
            <w:pPr>
              <w:spacing w:after="0"/>
              <w:rPr>
                <w:sz w:val="3"/>
                <w:szCs w:val="3"/>
                <w:color w:val="auto"/>
              </w:rPr>
            </w:pPr>
          </w:p>
        </w:tc>
        <w:tc>
          <w:tcPr>
            <w:tcW w:w="360" w:type="dxa"/>
            <w:vAlign w:val="bottom"/>
            <w:tcBorders>
              <w:top w:val="single" w:sz="8" w:color="00000A"/>
              <w:bottom w:val="single" w:sz="8" w:color="00000A"/>
            </w:tcBorders>
          </w:tcPr>
          <w:p>
            <w:pPr>
              <w:spacing w:after="0"/>
              <w:rPr>
                <w:sz w:val="3"/>
                <w:szCs w:val="3"/>
                <w:color w:val="auto"/>
              </w:rPr>
            </w:pPr>
          </w:p>
        </w:tc>
        <w:tc>
          <w:tcPr>
            <w:tcW w:w="500" w:type="dxa"/>
            <w:vAlign w:val="bottom"/>
            <w:tcBorders>
              <w:top w:val="single" w:sz="8" w:color="00000A"/>
              <w:bottom w:val="single" w:sz="8" w:color="00000A"/>
            </w:tcBorders>
          </w:tcPr>
          <w:p>
            <w:pPr>
              <w:spacing w:after="0"/>
              <w:rPr>
                <w:sz w:val="3"/>
                <w:szCs w:val="3"/>
                <w:color w:val="auto"/>
              </w:rPr>
            </w:pPr>
          </w:p>
        </w:tc>
        <w:tc>
          <w:tcPr>
            <w:tcW w:w="380" w:type="dxa"/>
            <w:vAlign w:val="bottom"/>
            <w:tcBorders>
              <w:top w:val="single" w:sz="8" w:color="00000A"/>
              <w:bottom w:val="single" w:sz="8" w:color="00000A"/>
            </w:tcBorders>
          </w:tcPr>
          <w:p>
            <w:pPr>
              <w:spacing w:after="0"/>
              <w:rPr>
                <w:sz w:val="3"/>
                <w:szCs w:val="3"/>
                <w:color w:val="auto"/>
              </w:rPr>
            </w:pPr>
          </w:p>
        </w:tc>
        <w:tc>
          <w:tcPr>
            <w:tcW w:w="160" w:type="dxa"/>
            <w:vAlign w:val="bottom"/>
            <w:tcBorders>
              <w:top w:val="single" w:sz="8" w:color="00000A"/>
              <w:bottom w:val="single" w:sz="8" w:color="00000A"/>
            </w:tcBorders>
          </w:tcPr>
          <w:p>
            <w:pPr>
              <w:spacing w:after="0"/>
              <w:rPr>
                <w:sz w:val="3"/>
                <w:szCs w:val="3"/>
                <w:color w:val="auto"/>
              </w:rPr>
            </w:pPr>
          </w:p>
        </w:tc>
        <w:tc>
          <w:tcPr>
            <w:tcW w:w="300" w:type="dxa"/>
            <w:vAlign w:val="bottom"/>
            <w:tcBorders>
              <w:top w:val="single" w:sz="8" w:color="00000A"/>
              <w:bottom w:val="single" w:sz="8" w:color="00000A"/>
            </w:tcBorders>
          </w:tcPr>
          <w:p>
            <w:pPr>
              <w:spacing w:after="0"/>
              <w:rPr>
                <w:sz w:val="3"/>
                <w:szCs w:val="3"/>
                <w:color w:val="auto"/>
              </w:rPr>
            </w:pPr>
          </w:p>
        </w:tc>
        <w:tc>
          <w:tcPr>
            <w:tcW w:w="880" w:type="dxa"/>
            <w:vAlign w:val="bottom"/>
            <w:tcBorders>
              <w:top w:val="single" w:sz="8" w:color="00000A"/>
              <w:bottom w:val="single" w:sz="8" w:color="00000A"/>
            </w:tcBorders>
          </w:tcPr>
          <w:p>
            <w:pPr>
              <w:spacing w:after="0"/>
              <w:rPr>
                <w:sz w:val="3"/>
                <w:szCs w:val="3"/>
                <w:color w:val="auto"/>
              </w:rPr>
            </w:pPr>
          </w:p>
        </w:tc>
        <w:tc>
          <w:tcPr>
            <w:tcW w:w="340" w:type="dxa"/>
            <w:vAlign w:val="bottom"/>
            <w:tcBorders>
              <w:top w:val="single" w:sz="8" w:color="00000A"/>
              <w:bottom w:val="single" w:sz="8" w:color="00000A"/>
            </w:tcBorders>
          </w:tcPr>
          <w:p>
            <w:pPr>
              <w:spacing w:after="0"/>
              <w:rPr>
                <w:sz w:val="3"/>
                <w:szCs w:val="3"/>
                <w:color w:val="auto"/>
              </w:rPr>
            </w:pPr>
          </w:p>
        </w:tc>
        <w:tc>
          <w:tcPr>
            <w:tcW w:w="500" w:type="dxa"/>
            <w:vAlign w:val="bottom"/>
            <w:tcBorders>
              <w:top w:val="single" w:sz="8" w:color="00000A"/>
              <w:bottom w:val="single" w:sz="8" w:color="00000A"/>
            </w:tcBorders>
          </w:tcPr>
          <w:p>
            <w:pPr>
              <w:spacing w:after="0"/>
              <w:rPr>
                <w:sz w:val="3"/>
                <w:szCs w:val="3"/>
                <w:color w:val="auto"/>
              </w:rPr>
            </w:pPr>
          </w:p>
        </w:tc>
        <w:tc>
          <w:tcPr>
            <w:tcW w:w="40" w:type="dxa"/>
            <w:vAlign w:val="bottom"/>
            <w:tcBorders>
              <w:top w:val="single" w:sz="8" w:color="00000A"/>
              <w:bottom w:val="single" w:sz="8" w:color="00000A"/>
            </w:tcBorders>
          </w:tcPr>
          <w:p>
            <w:pPr>
              <w:spacing w:after="0"/>
              <w:rPr>
                <w:sz w:val="3"/>
                <w:szCs w:val="3"/>
                <w:color w:val="auto"/>
              </w:rPr>
            </w:pPr>
          </w:p>
        </w:tc>
        <w:tc>
          <w:tcPr>
            <w:tcW w:w="420" w:type="dxa"/>
            <w:vAlign w:val="bottom"/>
            <w:tcBorders>
              <w:top w:val="single" w:sz="8" w:color="00000A"/>
              <w:bottom w:val="single" w:sz="8" w:color="00000A"/>
            </w:tcBorders>
          </w:tcPr>
          <w:p>
            <w:pPr>
              <w:spacing w:after="0"/>
              <w:rPr>
                <w:sz w:val="3"/>
                <w:szCs w:val="3"/>
                <w:color w:val="auto"/>
              </w:rPr>
            </w:pPr>
          </w:p>
        </w:tc>
        <w:tc>
          <w:tcPr>
            <w:tcW w:w="40" w:type="dxa"/>
            <w:vAlign w:val="bottom"/>
            <w:tcBorders>
              <w:top w:val="single" w:sz="8" w:color="00000A"/>
              <w:bottom w:val="single" w:sz="8" w:color="00000A"/>
            </w:tcBorders>
          </w:tcPr>
          <w:p>
            <w:pPr>
              <w:spacing w:after="0"/>
              <w:rPr>
                <w:sz w:val="3"/>
                <w:szCs w:val="3"/>
                <w:color w:val="auto"/>
              </w:rPr>
            </w:pPr>
          </w:p>
        </w:tc>
        <w:tc>
          <w:tcPr>
            <w:tcW w:w="520" w:type="dxa"/>
            <w:vAlign w:val="bottom"/>
            <w:tcBorders>
              <w:top w:val="single" w:sz="8" w:color="00000A"/>
              <w:bottom w:val="single" w:sz="8" w:color="00000A"/>
            </w:tcBorders>
          </w:tcPr>
          <w:p>
            <w:pPr>
              <w:spacing w:after="0"/>
              <w:rPr>
                <w:sz w:val="3"/>
                <w:szCs w:val="3"/>
                <w:color w:val="auto"/>
              </w:rPr>
            </w:pPr>
          </w:p>
        </w:tc>
        <w:tc>
          <w:tcPr>
            <w:tcW w:w="120" w:type="dxa"/>
            <w:vAlign w:val="bottom"/>
            <w:tcBorders>
              <w:top w:val="single" w:sz="8" w:color="00000A"/>
              <w:bottom w:val="single" w:sz="8" w:color="00000A"/>
            </w:tcBorders>
          </w:tcPr>
          <w:p>
            <w:pPr>
              <w:spacing w:after="0"/>
              <w:rPr>
                <w:sz w:val="3"/>
                <w:szCs w:val="3"/>
                <w:color w:val="auto"/>
              </w:rPr>
            </w:pPr>
          </w:p>
        </w:tc>
        <w:tc>
          <w:tcPr>
            <w:tcW w:w="460" w:type="dxa"/>
            <w:vAlign w:val="bottom"/>
            <w:tcBorders>
              <w:top w:val="single" w:sz="8" w:color="00000A"/>
              <w:bottom w:val="single" w:sz="8" w:color="00000A"/>
            </w:tcBorders>
          </w:tcPr>
          <w:p>
            <w:pPr>
              <w:spacing w:after="0"/>
              <w:rPr>
                <w:sz w:val="3"/>
                <w:szCs w:val="3"/>
                <w:color w:val="auto"/>
              </w:rPr>
            </w:pPr>
          </w:p>
        </w:tc>
        <w:tc>
          <w:tcPr>
            <w:tcW w:w="340" w:type="dxa"/>
            <w:vAlign w:val="bottom"/>
            <w:tcBorders>
              <w:top w:val="single" w:sz="8" w:color="00000A"/>
              <w:bottom w:val="single" w:sz="8" w:color="00000A"/>
            </w:tcBorders>
          </w:tcPr>
          <w:p>
            <w:pPr>
              <w:spacing w:after="0"/>
              <w:rPr>
                <w:sz w:val="3"/>
                <w:szCs w:val="3"/>
                <w:color w:val="auto"/>
              </w:rPr>
            </w:pPr>
          </w:p>
        </w:tc>
        <w:tc>
          <w:tcPr>
            <w:tcW w:w="460" w:type="dxa"/>
            <w:vAlign w:val="bottom"/>
            <w:tcBorders>
              <w:top w:val="single" w:sz="8" w:color="00000A"/>
              <w:bottom w:val="single" w:sz="8" w:color="00000A"/>
            </w:tcBorders>
          </w:tcPr>
          <w:p>
            <w:pPr>
              <w:spacing w:after="0"/>
              <w:rPr>
                <w:sz w:val="3"/>
                <w:szCs w:val="3"/>
                <w:color w:val="auto"/>
              </w:rPr>
            </w:pPr>
          </w:p>
        </w:tc>
        <w:tc>
          <w:tcPr>
            <w:tcW w:w="140" w:type="dxa"/>
            <w:vAlign w:val="bottom"/>
            <w:tcBorders>
              <w:top w:val="single" w:sz="8" w:color="00000A"/>
              <w:bottom w:val="single" w:sz="8" w:color="00000A"/>
              <w:right w:val="single" w:sz="8" w:color="00000A"/>
            </w:tcBorders>
          </w:tcPr>
          <w:p>
            <w:pPr>
              <w:spacing w:after="0"/>
              <w:rPr>
                <w:sz w:val="3"/>
                <w:szCs w:val="3"/>
                <w:color w:val="auto"/>
              </w:rPr>
            </w:pPr>
          </w:p>
        </w:tc>
        <w:tc>
          <w:tcPr>
            <w:tcW w:w="40" w:type="dxa"/>
            <w:vAlign w:val="bottom"/>
            <w:tcBorders>
              <w:top w:val="single" w:sz="8" w:color="00000A"/>
              <w:bottom w:val="single" w:sz="8" w:color="00000A"/>
              <w:right w:val="single" w:sz="8" w:color="00000A"/>
            </w:tcBorders>
          </w:tcPr>
          <w:p>
            <w:pPr>
              <w:spacing w:after="0"/>
              <w:rPr>
                <w:sz w:val="3"/>
                <w:szCs w:val="3"/>
                <w:color w:val="auto"/>
              </w:rPr>
            </w:pPr>
          </w:p>
        </w:tc>
      </w:tr>
      <w:tr>
        <w:trPr>
          <w:trHeight w:val="196"/>
        </w:trPr>
        <w:tc>
          <w:tcPr>
            <w:tcW w:w="60" w:type="dxa"/>
            <w:vAlign w:val="bottom"/>
            <w:tcBorders>
              <w:left w:val="single" w:sz="8" w:color="00000A"/>
              <w:right w:val="single" w:sz="8" w:color="00000A"/>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gridSpan w:val="3"/>
          </w:tcPr>
          <w:p>
            <w:pPr>
              <w:ind w:left="400"/>
              <w:spacing w:after="0" w:line="196" w:lineRule="exact"/>
              <w:rPr>
                <w:sz w:val="20"/>
                <w:szCs w:val="20"/>
                <w:color w:val="auto"/>
              </w:rPr>
            </w:pPr>
            <w:r>
              <w:rPr>
                <w:rFonts w:ascii="Times New Roman" w:cs="Times New Roman" w:eastAsia="Times New Roman" w:hAnsi="Times New Roman"/>
                <w:sz w:val="18"/>
                <w:szCs w:val="18"/>
                <w:color w:val="auto"/>
              </w:rPr>
              <w:t>Leverage Ratio:</w:t>
            </w:r>
          </w:p>
        </w:tc>
        <w:tc>
          <w:tcPr>
            <w:tcW w:w="1520" w:type="dxa"/>
            <w:vAlign w:val="bottom"/>
            <w:tcBorders>
              <w:right w:val="single" w:sz="8" w:color="auto"/>
            </w:tcBorders>
            <w:gridSpan w:val="5"/>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Term Benchmark</w:t>
            </w:r>
          </w:p>
        </w:tc>
        <w:tc>
          <w:tcPr>
            <w:tcW w:w="1520" w:type="dxa"/>
            <w:vAlign w:val="bottom"/>
            <w:tcBorders>
              <w:right w:val="single" w:sz="8" w:color="auto"/>
            </w:tcBorders>
            <w:gridSpan w:val="3"/>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RFR Spread</w:t>
            </w:r>
          </w:p>
        </w:tc>
        <w:tc>
          <w:tcPr>
            <w:tcW w:w="500" w:type="dxa"/>
            <w:vAlign w:val="bottom"/>
          </w:tcPr>
          <w:p>
            <w:pPr>
              <w:spacing w:after="0"/>
              <w:rPr>
                <w:sz w:val="17"/>
                <w:szCs w:val="17"/>
                <w:color w:val="auto"/>
              </w:rPr>
            </w:pPr>
          </w:p>
        </w:tc>
        <w:tc>
          <w:tcPr>
            <w:tcW w:w="1020" w:type="dxa"/>
            <w:vAlign w:val="bottom"/>
            <w:tcBorders>
              <w:right w:val="single" w:sz="8" w:color="auto"/>
            </w:tcBorders>
            <w:gridSpan w:val="4"/>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ABR</w:t>
            </w:r>
          </w:p>
        </w:tc>
        <w:tc>
          <w:tcPr>
            <w:tcW w:w="1520" w:type="dxa"/>
            <w:vAlign w:val="bottom"/>
            <w:tcBorders>
              <w:right w:val="single" w:sz="8" w:color="00000A"/>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rPr>
              <w:t>Commitment Fee</w:t>
            </w:r>
          </w:p>
        </w:tc>
        <w:tc>
          <w:tcPr>
            <w:tcW w:w="40" w:type="dxa"/>
            <w:vAlign w:val="bottom"/>
            <w:tcBorders>
              <w:right w:val="single" w:sz="8" w:color="00000A"/>
            </w:tcBorders>
          </w:tcPr>
          <w:p>
            <w:pPr>
              <w:spacing w:after="0"/>
              <w:rPr>
                <w:sz w:val="17"/>
                <w:szCs w:val="17"/>
                <w:color w:val="auto"/>
              </w:rPr>
            </w:pPr>
          </w:p>
        </w:tc>
      </w:tr>
      <w:tr>
        <w:trPr>
          <w:trHeight w:val="20"/>
        </w:trPr>
        <w:tc>
          <w:tcPr>
            <w:tcW w:w="60" w:type="dxa"/>
            <w:vAlign w:val="bottom"/>
            <w:tcBorders>
              <w:left w:val="single" w:sz="8" w:color="00000A"/>
              <w:right w:val="single" w:sz="8" w:color="00000A"/>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r>
      <w:tr>
        <w:trPr>
          <w:trHeight w:val="196"/>
        </w:trPr>
        <w:tc>
          <w:tcPr>
            <w:tcW w:w="60" w:type="dxa"/>
            <w:vAlign w:val="bottom"/>
            <w:tcBorders>
              <w:left w:val="single" w:sz="8" w:color="00000A"/>
              <w:right w:val="single" w:sz="8" w:color="00000A"/>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Spread</w:t>
            </w:r>
          </w:p>
        </w:tc>
        <w:tc>
          <w:tcPr>
            <w:tcW w:w="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Spread</w:t>
            </w:r>
          </w:p>
        </w:tc>
        <w:tc>
          <w:tcPr>
            <w:tcW w:w="120" w:type="dxa"/>
            <w:vAlign w:val="bottom"/>
          </w:tcPr>
          <w:p>
            <w:pPr>
              <w:spacing w:after="0"/>
              <w:rPr>
                <w:sz w:val="17"/>
                <w:szCs w:val="17"/>
                <w:color w:val="auto"/>
              </w:rPr>
            </w:pPr>
          </w:p>
        </w:tc>
        <w:tc>
          <w:tcPr>
            <w:tcW w:w="1400" w:type="dxa"/>
            <w:vAlign w:val="bottom"/>
            <w:tcBorders>
              <w:right w:val="single" w:sz="8" w:color="00000A"/>
            </w:tcBorders>
            <w:gridSpan w:val="4"/>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Rate</w:t>
            </w:r>
          </w:p>
        </w:tc>
        <w:tc>
          <w:tcPr>
            <w:tcW w:w="40" w:type="dxa"/>
            <w:vAlign w:val="bottom"/>
            <w:tcBorders>
              <w:right w:val="single" w:sz="8" w:color="00000A"/>
            </w:tcBorders>
          </w:tcPr>
          <w:p>
            <w:pPr>
              <w:spacing w:after="0"/>
              <w:rPr>
                <w:sz w:val="17"/>
                <w:szCs w:val="17"/>
                <w:color w:val="auto"/>
              </w:rPr>
            </w:pPr>
          </w:p>
        </w:tc>
      </w:tr>
      <w:tr>
        <w:trPr>
          <w:trHeight w:val="223"/>
        </w:trPr>
        <w:tc>
          <w:tcPr>
            <w:tcW w:w="60" w:type="dxa"/>
            <w:vAlign w:val="bottom"/>
            <w:tcBorders>
              <w:left w:val="single" w:sz="8" w:color="00000A"/>
              <w:right w:val="single" w:sz="8" w:color="00000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00000A"/>
            </w:tcBorders>
          </w:tcPr>
          <w:p>
            <w:pPr>
              <w:spacing w:after="0"/>
              <w:rPr>
                <w:sz w:val="19"/>
                <w:szCs w:val="19"/>
                <w:color w:val="auto"/>
              </w:rPr>
            </w:pPr>
          </w:p>
        </w:tc>
        <w:tc>
          <w:tcPr>
            <w:tcW w:w="40" w:type="dxa"/>
            <w:vAlign w:val="bottom"/>
            <w:tcBorders>
              <w:right w:val="single" w:sz="8" w:color="00000A"/>
            </w:tcBorders>
          </w:tcPr>
          <w:p>
            <w:pPr>
              <w:spacing w:after="0"/>
              <w:rPr>
                <w:sz w:val="19"/>
                <w:szCs w:val="19"/>
                <w:color w:val="auto"/>
              </w:rPr>
            </w:pPr>
          </w:p>
        </w:tc>
      </w:tr>
      <w:tr>
        <w:trPr>
          <w:trHeight w:val="196"/>
        </w:trPr>
        <w:tc>
          <w:tcPr>
            <w:tcW w:w="60" w:type="dxa"/>
            <w:vAlign w:val="bottom"/>
            <w:tcBorders>
              <w:left w:val="single" w:sz="8" w:color="00000A"/>
              <w:right w:val="single" w:sz="8" w:color="00000A"/>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Category 1:</w:t>
            </w:r>
          </w:p>
        </w:tc>
        <w:tc>
          <w:tcPr>
            <w:tcW w:w="1980" w:type="dxa"/>
            <w:vAlign w:val="bottom"/>
            <w:tcBorders>
              <w:right w:val="single" w:sz="8" w:color="auto"/>
            </w:tcBorders>
            <w:gridSpan w:val="3"/>
          </w:tcPr>
          <w:p>
            <w:pPr>
              <w:spacing w:after="0" w:line="183" w:lineRule="exact"/>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3.50 to 1.00</w:t>
            </w:r>
          </w:p>
        </w:tc>
        <w:tc>
          <w:tcPr>
            <w:tcW w:w="980" w:type="dxa"/>
            <w:vAlign w:val="bottom"/>
            <w:gridSpan w:val="3"/>
          </w:tcPr>
          <w:p>
            <w:pPr>
              <w:jc w:val="center"/>
              <w:ind w:left="390"/>
              <w:spacing w:after="0" w:line="182" w:lineRule="exact"/>
              <w:rPr>
                <w:sz w:val="20"/>
                <w:szCs w:val="20"/>
                <w:color w:val="auto"/>
              </w:rPr>
            </w:pPr>
            <w:r>
              <w:rPr>
                <w:rFonts w:ascii="Times New Roman" w:cs="Times New Roman" w:eastAsia="Times New Roman" w:hAnsi="Times New Roman"/>
                <w:sz w:val="18"/>
                <w:szCs w:val="18"/>
                <w:color w:val="auto"/>
                <w:w w:val="98"/>
              </w:rPr>
              <w:t>1.50%</w:t>
            </w:r>
          </w:p>
        </w:tc>
        <w:tc>
          <w:tcPr>
            <w:tcW w:w="3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80" w:type="dxa"/>
            <w:vAlign w:val="bottom"/>
            <w:gridSpan w:val="2"/>
          </w:tcPr>
          <w:p>
            <w:pPr>
              <w:jc w:val="center"/>
              <w:ind w:left="210"/>
              <w:spacing w:after="0" w:line="182" w:lineRule="exact"/>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right w:val="single" w:sz="8" w:color="auto"/>
            </w:tcBorders>
          </w:tcPr>
          <w:p>
            <w:pPr>
              <w:spacing w:after="0"/>
              <w:rPr>
                <w:sz w:val="17"/>
                <w:szCs w:val="17"/>
                <w:color w:val="auto"/>
              </w:rPr>
            </w:pPr>
          </w:p>
        </w:tc>
        <w:tc>
          <w:tcPr>
            <w:tcW w:w="1000" w:type="dxa"/>
            <w:vAlign w:val="bottom"/>
            <w:gridSpan w:val="4"/>
          </w:tcPr>
          <w:p>
            <w:pPr>
              <w:jc w:val="center"/>
              <w:ind w:left="410"/>
              <w:spacing w:after="0" w:line="182" w:lineRule="exact"/>
              <w:rPr>
                <w:sz w:val="20"/>
                <w:szCs w:val="20"/>
                <w:color w:val="auto"/>
              </w:rPr>
            </w:pPr>
            <w:r>
              <w:rPr>
                <w:rFonts w:ascii="Times New Roman" w:cs="Times New Roman" w:eastAsia="Times New Roman" w:hAnsi="Times New Roman"/>
                <w:sz w:val="18"/>
                <w:szCs w:val="18"/>
                <w:color w:val="auto"/>
                <w:w w:val="98"/>
              </w:rPr>
              <w:t>0.50%</w:t>
            </w:r>
          </w:p>
        </w:tc>
        <w:tc>
          <w:tcPr>
            <w:tcW w:w="520" w:type="dxa"/>
            <w:vAlign w:val="bottom"/>
            <w:tcBorders>
              <w:right w:val="single" w:sz="8" w:color="auto"/>
            </w:tcBorders>
          </w:tcPr>
          <w:p>
            <w:pPr>
              <w:spacing w:after="0"/>
              <w:rPr>
                <w:sz w:val="17"/>
                <w:szCs w:val="17"/>
                <w:color w:val="auto"/>
              </w:rPr>
            </w:pPr>
          </w:p>
        </w:tc>
        <w:tc>
          <w:tcPr>
            <w:tcW w:w="1380" w:type="dxa"/>
            <w:vAlign w:val="bottom"/>
            <w:gridSpan w:val="4"/>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8"/>
              </w:rPr>
              <w:t>0.25%</w:t>
            </w:r>
          </w:p>
        </w:tc>
        <w:tc>
          <w:tcPr>
            <w:tcW w:w="140" w:type="dxa"/>
            <w:vAlign w:val="bottom"/>
            <w:tcBorders>
              <w:right w:val="single" w:sz="8" w:color="00000A"/>
            </w:tcBorders>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r>
      <w:tr>
        <w:trPr>
          <w:trHeight w:val="223"/>
        </w:trPr>
        <w:tc>
          <w:tcPr>
            <w:tcW w:w="60" w:type="dxa"/>
            <w:vAlign w:val="bottom"/>
            <w:tcBorders>
              <w:left w:val="single" w:sz="8" w:color="00000A"/>
              <w:right w:val="single" w:sz="8" w:color="00000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00000A"/>
            </w:tcBorders>
          </w:tcPr>
          <w:p>
            <w:pPr>
              <w:spacing w:after="0"/>
              <w:rPr>
                <w:sz w:val="19"/>
                <w:szCs w:val="19"/>
                <w:color w:val="auto"/>
              </w:rPr>
            </w:pPr>
          </w:p>
        </w:tc>
        <w:tc>
          <w:tcPr>
            <w:tcW w:w="40" w:type="dxa"/>
            <w:vAlign w:val="bottom"/>
            <w:tcBorders>
              <w:right w:val="single" w:sz="8" w:color="00000A"/>
            </w:tcBorders>
          </w:tcPr>
          <w:p>
            <w:pPr>
              <w:spacing w:after="0"/>
              <w:rPr>
                <w:sz w:val="19"/>
                <w:szCs w:val="19"/>
                <w:color w:val="auto"/>
              </w:rPr>
            </w:pPr>
          </w:p>
        </w:tc>
      </w:tr>
      <w:tr>
        <w:trPr>
          <w:trHeight w:val="196"/>
        </w:trPr>
        <w:tc>
          <w:tcPr>
            <w:tcW w:w="60" w:type="dxa"/>
            <w:vAlign w:val="bottom"/>
            <w:tcBorders>
              <w:left w:val="single" w:sz="8" w:color="00000A"/>
              <w:right w:val="single" w:sz="8" w:color="00000A"/>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Category 2:</w:t>
            </w:r>
          </w:p>
        </w:tc>
        <w:tc>
          <w:tcPr>
            <w:tcW w:w="1980" w:type="dxa"/>
            <w:vAlign w:val="bottom"/>
            <w:tcBorders>
              <w:right w:val="single" w:sz="8" w:color="auto"/>
            </w:tcBorders>
            <w:gridSpan w:val="3"/>
          </w:tcPr>
          <w:p>
            <w:pPr>
              <w:spacing w:after="0" w:line="183" w:lineRule="exact"/>
              <w:rPr>
                <w:sz w:val="20"/>
                <w:szCs w:val="20"/>
                <w:color w:val="auto"/>
              </w:rPr>
            </w:pPr>
            <w:r>
              <w:rPr>
                <w:rFonts w:ascii="Times New Roman" w:cs="Times New Roman" w:eastAsia="Times New Roman" w:hAnsi="Times New Roman"/>
                <w:sz w:val="20"/>
                <w:szCs w:val="20"/>
                <w:color w:val="auto"/>
              </w:rPr>
              <w:t xml:space="preserve">&gt; </w:t>
            </w:r>
            <w:r>
              <w:rPr>
                <w:rFonts w:ascii="Times New Roman" w:cs="Times New Roman" w:eastAsia="Times New Roman" w:hAnsi="Times New Roman"/>
                <w:sz w:val="17"/>
                <w:szCs w:val="17"/>
                <w:color w:val="auto"/>
              </w:rPr>
              <w:t>3.50 to 1.00 but</w:t>
            </w:r>
          </w:p>
        </w:tc>
        <w:tc>
          <w:tcPr>
            <w:tcW w:w="980" w:type="dxa"/>
            <w:vAlign w:val="bottom"/>
            <w:gridSpan w:val="3"/>
          </w:tcPr>
          <w:p>
            <w:pPr>
              <w:jc w:val="center"/>
              <w:ind w:left="390"/>
              <w:spacing w:after="0" w:line="182" w:lineRule="exact"/>
              <w:rPr>
                <w:sz w:val="20"/>
                <w:szCs w:val="20"/>
                <w:color w:val="auto"/>
              </w:rPr>
            </w:pPr>
            <w:r>
              <w:rPr>
                <w:rFonts w:ascii="Times New Roman" w:cs="Times New Roman" w:eastAsia="Times New Roman" w:hAnsi="Times New Roman"/>
                <w:sz w:val="18"/>
                <w:szCs w:val="18"/>
                <w:color w:val="auto"/>
                <w:w w:val="98"/>
              </w:rPr>
              <w:t>1.75%</w:t>
            </w:r>
          </w:p>
        </w:tc>
        <w:tc>
          <w:tcPr>
            <w:tcW w:w="3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80" w:type="dxa"/>
            <w:vAlign w:val="bottom"/>
            <w:gridSpan w:val="2"/>
          </w:tcPr>
          <w:p>
            <w:pPr>
              <w:jc w:val="center"/>
              <w:ind w:left="210"/>
              <w:spacing w:after="0" w:line="182" w:lineRule="exact"/>
              <w:rPr>
                <w:sz w:val="20"/>
                <w:szCs w:val="20"/>
                <w:color w:val="auto"/>
              </w:rPr>
            </w:pPr>
            <w:r>
              <w:rPr>
                <w:rFonts w:ascii="Times New Roman" w:cs="Times New Roman" w:eastAsia="Times New Roman" w:hAnsi="Times New Roman"/>
                <w:sz w:val="18"/>
                <w:szCs w:val="18"/>
                <w:color w:val="auto"/>
              </w:rPr>
              <w:t>1.75%</w:t>
            </w:r>
          </w:p>
        </w:tc>
        <w:tc>
          <w:tcPr>
            <w:tcW w:w="340" w:type="dxa"/>
            <w:vAlign w:val="bottom"/>
            <w:tcBorders>
              <w:right w:val="single" w:sz="8" w:color="auto"/>
            </w:tcBorders>
          </w:tcPr>
          <w:p>
            <w:pPr>
              <w:spacing w:after="0"/>
              <w:rPr>
                <w:sz w:val="17"/>
                <w:szCs w:val="17"/>
                <w:color w:val="auto"/>
              </w:rPr>
            </w:pPr>
          </w:p>
        </w:tc>
        <w:tc>
          <w:tcPr>
            <w:tcW w:w="1000" w:type="dxa"/>
            <w:vAlign w:val="bottom"/>
            <w:gridSpan w:val="4"/>
          </w:tcPr>
          <w:p>
            <w:pPr>
              <w:jc w:val="center"/>
              <w:ind w:left="410"/>
              <w:spacing w:after="0" w:line="182" w:lineRule="exact"/>
              <w:rPr>
                <w:sz w:val="20"/>
                <w:szCs w:val="20"/>
                <w:color w:val="auto"/>
              </w:rPr>
            </w:pPr>
            <w:r>
              <w:rPr>
                <w:rFonts w:ascii="Times New Roman" w:cs="Times New Roman" w:eastAsia="Times New Roman" w:hAnsi="Times New Roman"/>
                <w:sz w:val="18"/>
                <w:szCs w:val="18"/>
                <w:color w:val="auto"/>
                <w:w w:val="98"/>
              </w:rPr>
              <w:t>0.75%</w:t>
            </w:r>
          </w:p>
        </w:tc>
        <w:tc>
          <w:tcPr>
            <w:tcW w:w="520" w:type="dxa"/>
            <w:vAlign w:val="bottom"/>
            <w:tcBorders>
              <w:right w:val="single" w:sz="8" w:color="auto"/>
            </w:tcBorders>
          </w:tcPr>
          <w:p>
            <w:pPr>
              <w:spacing w:after="0"/>
              <w:rPr>
                <w:sz w:val="17"/>
                <w:szCs w:val="17"/>
                <w:color w:val="auto"/>
              </w:rPr>
            </w:pPr>
          </w:p>
        </w:tc>
        <w:tc>
          <w:tcPr>
            <w:tcW w:w="1380" w:type="dxa"/>
            <w:vAlign w:val="bottom"/>
            <w:gridSpan w:val="4"/>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8"/>
              </w:rPr>
              <w:t>0.30%</w:t>
            </w:r>
          </w:p>
        </w:tc>
        <w:tc>
          <w:tcPr>
            <w:tcW w:w="140" w:type="dxa"/>
            <w:vAlign w:val="bottom"/>
            <w:tcBorders>
              <w:right w:val="single" w:sz="8" w:color="00000A"/>
            </w:tcBorders>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r>
      <w:tr>
        <w:trPr>
          <w:trHeight w:val="269"/>
        </w:trPr>
        <w:tc>
          <w:tcPr>
            <w:tcW w:w="60" w:type="dxa"/>
            <w:vAlign w:val="bottom"/>
            <w:tcBorders>
              <w:left w:val="single" w:sz="8" w:color="00000A"/>
              <w:right w:val="single" w:sz="8" w:color="00000A"/>
            </w:tcBorders>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9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4.25 to 1.00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40" w:type="dxa"/>
            <w:vAlign w:val="bottom"/>
            <w:tcBorders>
              <w:right w:val="single" w:sz="8" w:color="00000A"/>
            </w:tcBorders>
          </w:tcPr>
          <w:p>
            <w:pPr>
              <w:spacing w:after="0"/>
              <w:rPr>
                <w:sz w:val="23"/>
                <w:szCs w:val="23"/>
                <w:color w:val="auto"/>
              </w:rPr>
            </w:pPr>
          </w:p>
        </w:tc>
      </w:tr>
      <w:tr>
        <w:trPr>
          <w:trHeight w:val="35"/>
        </w:trPr>
        <w:tc>
          <w:tcPr>
            <w:tcW w:w="60" w:type="dxa"/>
            <w:vAlign w:val="bottom"/>
            <w:tcBorders>
              <w:left w:val="single" w:sz="8" w:color="00000A"/>
              <w:right w:val="single" w:sz="8" w:color="00000A"/>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00000A"/>
            </w:tcBorders>
          </w:tcPr>
          <w:p>
            <w:pPr>
              <w:spacing w:after="0"/>
              <w:rPr>
                <w:sz w:val="3"/>
                <w:szCs w:val="3"/>
                <w:color w:val="auto"/>
              </w:rPr>
            </w:pPr>
          </w:p>
        </w:tc>
        <w:tc>
          <w:tcPr>
            <w:tcW w:w="40" w:type="dxa"/>
            <w:vAlign w:val="bottom"/>
            <w:tcBorders>
              <w:right w:val="single" w:sz="8" w:color="00000A"/>
            </w:tcBorders>
          </w:tcPr>
          <w:p>
            <w:pPr>
              <w:spacing w:after="0"/>
              <w:rPr>
                <w:sz w:val="3"/>
                <w:szCs w:val="3"/>
                <w:color w:val="auto"/>
              </w:rPr>
            </w:pPr>
          </w:p>
        </w:tc>
      </w:tr>
      <w:tr>
        <w:trPr>
          <w:trHeight w:val="196"/>
        </w:trPr>
        <w:tc>
          <w:tcPr>
            <w:tcW w:w="60" w:type="dxa"/>
            <w:vAlign w:val="bottom"/>
            <w:tcBorders>
              <w:left w:val="single" w:sz="8" w:color="00000A"/>
              <w:right w:val="single" w:sz="8" w:color="00000A"/>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Category 3:</w:t>
            </w:r>
          </w:p>
        </w:tc>
        <w:tc>
          <w:tcPr>
            <w:tcW w:w="1980" w:type="dxa"/>
            <w:vAlign w:val="bottom"/>
            <w:tcBorders>
              <w:right w:val="single" w:sz="8" w:color="auto"/>
            </w:tcBorders>
            <w:gridSpan w:val="3"/>
          </w:tcPr>
          <w:p>
            <w:pPr>
              <w:spacing w:after="0" w:line="183" w:lineRule="exact"/>
              <w:rPr>
                <w:sz w:val="20"/>
                <w:szCs w:val="20"/>
                <w:color w:val="auto"/>
              </w:rPr>
            </w:pPr>
            <w:r>
              <w:rPr>
                <w:rFonts w:ascii="Times New Roman" w:cs="Times New Roman" w:eastAsia="Times New Roman" w:hAnsi="Times New Roman"/>
                <w:sz w:val="20"/>
                <w:szCs w:val="20"/>
                <w:color w:val="auto"/>
              </w:rPr>
              <w:t xml:space="preserve">&gt; </w:t>
            </w:r>
            <w:r>
              <w:rPr>
                <w:rFonts w:ascii="Times New Roman" w:cs="Times New Roman" w:eastAsia="Times New Roman" w:hAnsi="Times New Roman"/>
                <w:sz w:val="17"/>
                <w:szCs w:val="17"/>
                <w:color w:val="auto"/>
              </w:rPr>
              <w:t>4.25 to 1.00</w:t>
            </w:r>
          </w:p>
        </w:tc>
        <w:tc>
          <w:tcPr>
            <w:tcW w:w="980" w:type="dxa"/>
            <w:vAlign w:val="bottom"/>
            <w:gridSpan w:val="3"/>
          </w:tcPr>
          <w:p>
            <w:pPr>
              <w:jc w:val="center"/>
              <w:ind w:left="390"/>
              <w:spacing w:after="0" w:line="182" w:lineRule="exact"/>
              <w:rPr>
                <w:sz w:val="20"/>
                <w:szCs w:val="20"/>
                <w:color w:val="auto"/>
              </w:rPr>
            </w:pPr>
            <w:r>
              <w:rPr>
                <w:rFonts w:ascii="Times New Roman" w:cs="Times New Roman" w:eastAsia="Times New Roman" w:hAnsi="Times New Roman"/>
                <w:sz w:val="18"/>
                <w:szCs w:val="18"/>
                <w:color w:val="auto"/>
                <w:w w:val="98"/>
              </w:rPr>
              <w:t>2.00%</w:t>
            </w:r>
          </w:p>
        </w:tc>
        <w:tc>
          <w:tcPr>
            <w:tcW w:w="3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180" w:type="dxa"/>
            <w:vAlign w:val="bottom"/>
            <w:gridSpan w:val="2"/>
          </w:tcPr>
          <w:p>
            <w:pPr>
              <w:jc w:val="center"/>
              <w:ind w:left="210"/>
              <w:spacing w:after="0" w:line="182" w:lineRule="exact"/>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right w:val="single" w:sz="8" w:color="auto"/>
            </w:tcBorders>
          </w:tcPr>
          <w:p>
            <w:pPr>
              <w:spacing w:after="0"/>
              <w:rPr>
                <w:sz w:val="17"/>
                <w:szCs w:val="17"/>
                <w:color w:val="auto"/>
              </w:rPr>
            </w:pPr>
          </w:p>
        </w:tc>
        <w:tc>
          <w:tcPr>
            <w:tcW w:w="1000" w:type="dxa"/>
            <w:vAlign w:val="bottom"/>
            <w:gridSpan w:val="4"/>
          </w:tcPr>
          <w:p>
            <w:pPr>
              <w:jc w:val="center"/>
              <w:ind w:left="410"/>
              <w:spacing w:after="0" w:line="182" w:lineRule="exact"/>
              <w:rPr>
                <w:sz w:val="20"/>
                <w:szCs w:val="20"/>
                <w:color w:val="auto"/>
              </w:rPr>
            </w:pPr>
            <w:r>
              <w:rPr>
                <w:rFonts w:ascii="Times New Roman" w:cs="Times New Roman" w:eastAsia="Times New Roman" w:hAnsi="Times New Roman"/>
                <w:sz w:val="18"/>
                <w:szCs w:val="18"/>
                <w:color w:val="auto"/>
                <w:w w:val="98"/>
              </w:rPr>
              <w:t>1.00%</w:t>
            </w:r>
          </w:p>
        </w:tc>
        <w:tc>
          <w:tcPr>
            <w:tcW w:w="520" w:type="dxa"/>
            <w:vAlign w:val="bottom"/>
            <w:tcBorders>
              <w:right w:val="single" w:sz="8" w:color="auto"/>
            </w:tcBorders>
          </w:tcPr>
          <w:p>
            <w:pPr>
              <w:spacing w:after="0"/>
              <w:rPr>
                <w:sz w:val="17"/>
                <w:szCs w:val="17"/>
                <w:color w:val="auto"/>
              </w:rPr>
            </w:pPr>
          </w:p>
        </w:tc>
        <w:tc>
          <w:tcPr>
            <w:tcW w:w="1380" w:type="dxa"/>
            <w:vAlign w:val="bottom"/>
            <w:gridSpan w:val="4"/>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8"/>
              </w:rPr>
              <w:t>0.35%</w:t>
            </w:r>
          </w:p>
        </w:tc>
        <w:tc>
          <w:tcPr>
            <w:tcW w:w="140" w:type="dxa"/>
            <w:vAlign w:val="bottom"/>
            <w:tcBorders>
              <w:right w:val="single" w:sz="8" w:color="00000A"/>
            </w:tcBorders>
          </w:tcPr>
          <w:p>
            <w:pPr>
              <w:spacing w:after="0"/>
              <w:rPr>
                <w:sz w:val="17"/>
                <w:szCs w:val="17"/>
                <w:color w:val="auto"/>
              </w:rPr>
            </w:pPr>
          </w:p>
        </w:tc>
        <w:tc>
          <w:tcPr>
            <w:tcW w:w="40" w:type="dxa"/>
            <w:vAlign w:val="bottom"/>
            <w:tcBorders>
              <w:right w:val="single" w:sz="8" w:color="00000A"/>
            </w:tcBorders>
          </w:tcPr>
          <w:p>
            <w:pPr>
              <w:spacing w:after="0"/>
              <w:rPr>
                <w:sz w:val="17"/>
                <w:szCs w:val="17"/>
                <w:color w:val="auto"/>
              </w:rPr>
            </w:pPr>
          </w:p>
        </w:tc>
      </w:tr>
      <w:tr>
        <w:trPr>
          <w:trHeight w:val="250"/>
        </w:trPr>
        <w:tc>
          <w:tcPr>
            <w:tcW w:w="60" w:type="dxa"/>
            <w:vAlign w:val="bottom"/>
            <w:tcBorders>
              <w:left w:val="single" w:sz="8" w:color="00000A"/>
              <w:bottom w:val="single" w:sz="8" w:color="00000A"/>
              <w:right w:val="single" w:sz="8" w:color="00000A"/>
            </w:tcBorders>
          </w:tcPr>
          <w:p>
            <w:pPr>
              <w:spacing w:after="0"/>
              <w:rPr>
                <w:sz w:val="21"/>
                <w:szCs w:val="21"/>
                <w:color w:val="auto"/>
              </w:rPr>
            </w:pPr>
          </w:p>
        </w:tc>
        <w:tc>
          <w:tcPr>
            <w:tcW w:w="240" w:type="dxa"/>
            <w:vAlign w:val="bottom"/>
            <w:tcBorders>
              <w:bottom w:val="single" w:sz="8" w:color="00000A"/>
            </w:tcBorders>
          </w:tcPr>
          <w:p>
            <w:pPr>
              <w:spacing w:after="0"/>
              <w:rPr>
                <w:sz w:val="21"/>
                <w:szCs w:val="21"/>
                <w:color w:val="auto"/>
              </w:rPr>
            </w:pPr>
          </w:p>
        </w:tc>
        <w:tc>
          <w:tcPr>
            <w:tcW w:w="780" w:type="dxa"/>
            <w:vAlign w:val="bottom"/>
            <w:tcBorders>
              <w:top w:val="single" w:sz="8" w:color="auto"/>
              <w:bottom w:val="single" w:sz="8" w:color="00000A"/>
            </w:tcBorders>
          </w:tcPr>
          <w:p>
            <w:pPr>
              <w:spacing w:after="0"/>
              <w:rPr>
                <w:sz w:val="21"/>
                <w:szCs w:val="21"/>
                <w:color w:val="auto"/>
              </w:rPr>
            </w:pPr>
          </w:p>
        </w:tc>
        <w:tc>
          <w:tcPr>
            <w:tcW w:w="320" w:type="dxa"/>
            <w:vAlign w:val="bottom"/>
            <w:tcBorders>
              <w:bottom w:val="single" w:sz="8" w:color="00000A"/>
              <w:right w:val="single" w:sz="8" w:color="auto"/>
            </w:tcBorders>
          </w:tcPr>
          <w:p>
            <w:pPr>
              <w:spacing w:after="0"/>
              <w:rPr>
                <w:sz w:val="21"/>
                <w:szCs w:val="21"/>
                <w:color w:val="auto"/>
              </w:rPr>
            </w:pPr>
          </w:p>
        </w:tc>
        <w:tc>
          <w:tcPr>
            <w:tcW w:w="400" w:type="dxa"/>
            <w:vAlign w:val="bottom"/>
            <w:tcBorders>
              <w:bottom w:val="single" w:sz="8" w:color="00000A"/>
            </w:tcBorders>
          </w:tcPr>
          <w:p>
            <w:pPr>
              <w:spacing w:after="0"/>
              <w:rPr>
                <w:sz w:val="21"/>
                <w:szCs w:val="21"/>
                <w:color w:val="auto"/>
              </w:rPr>
            </w:pPr>
          </w:p>
        </w:tc>
        <w:tc>
          <w:tcPr>
            <w:tcW w:w="1140" w:type="dxa"/>
            <w:vAlign w:val="bottom"/>
            <w:tcBorders>
              <w:bottom w:val="single" w:sz="8" w:color="00000A"/>
            </w:tcBorders>
          </w:tcPr>
          <w:p>
            <w:pPr>
              <w:spacing w:after="0"/>
              <w:rPr>
                <w:sz w:val="21"/>
                <w:szCs w:val="21"/>
                <w:color w:val="auto"/>
              </w:rPr>
            </w:pPr>
          </w:p>
        </w:tc>
        <w:tc>
          <w:tcPr>
            <w:tcW w:w="440" w:type="dxa"/>
            <w:vAlign w:val="bottom"/>
            <w:tcBorders>
              <w:bottom w:val="single" w:sz="8" w:color="00000A"/>
              <w:right w:val="single" w:sz="8" w:color="auto"/>
            </w:tcBorders>
          </w:tcPr>
          <w:p>
            <w:pPr>
              <w:spacing w:after="0"/>
              <w:rPr>
                <w:sz w:val="21"/>
                <w:szCs w:val="21"/>
                <w:color w:val="auto"/>
              </w:rPr>
            </w:pPr>
          </w:p>
        </w:tc>
        <w:tc>
          <w:tcPr>
            <w:tcW w:w="120" w:type="dxa"/>
            <w:vAlign w:val="bottom"/>
            <w:tcBorders>
              <w:bottom w:val="single" w:sz="8" w:color="00000A"/>
            </w:tcBorders>
          </w:tcPr>
          <w:p>
            <w:pPr>
              <w:spacing w:after="0"/>
              <w:rPr>
                <w:sz w:val="21"/>
                <w:szCs w:val="21"/>
                <w:color w:val="auto"/>
              </w:rPr>
            </w:pPr>
          </w:p>
        </w:tc>
        <w:tc>
          <w:tcPr>
            <w:tcW w:w="360" w:type="dxa"/>
            <w:vAlign w:val="bottom"/>
            <w:tcBorders>
              <w:bottom w:val="single" w:sz="8" w:color="00000A"/>
            </w:tcBorders>
          </w:tcPr>
          <w:p>
            <w:pPr>
              <w:spacing w:after="0"/>
              <w:rPr>
                <w:sz w:val="21"/>
                <w:szCs w:val="21"/>
                <w:color w:val="auto"/>
              </w:rPr>
            </w:pPr>
          </w:p>
        </w:tc>
        <w:tc>
          <w:tcPr>
            <w:tcW w:w="50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160" w:type="dxa"/>
            <w:vAlign w:val="bottom"/>
            <w:tcBorders>
              <w:bottom w:val="single" w:sz="8" w:color="00000A"/>
              <w:right w:val="single" w:sz="8" w:color="auto"/>
            </w:tcBorders>
          </w:tcPr>
          <w:p>
            <w:pPr>
              <w:spacing w:after="0"/>
              <w:rPr>
                <w:sz w:val="21"/>
                <w:szCs w:val="21"/>
                <w:color w:val="auto"/>
              </w:rPr>
            </w:pPr>
          </w:p>
        </w:tc>
        <w:tc>
          <w:tcPr>
            <w:tcW w:w="300" w:type="dxa"/>
            <w:vAlign w:val="bottom"/>
            <w:tcBorders>
              <w:bottom w:val="single" w:sz="8" w:color="00000A"/>
            </w:tcBorders>
          </w:tcPr>
          <w:p>
            <w:pPr>
              <w:spacing w:after="0"/>
              <w:rPr>
                <w:sz w:val="21"/>
                <w:szCs w:val="21"/>
                <w:color w:val="auto"/>
              </w:rPr>
            </w:pPr>
          </w:p>
        </w:tc>
        <w:tc>
          <w:tcPr>
            <w:tcW w:w="880" w:type="dxa"/>
            <w:vAlign w:val="bottom"/>
            <w:tcBorders>
              <w:bottom w:val="single" w:sz="8" w:color="00000A"/>
            </w:tcBorders>
          </w:tcPr>
          <w:p>
            <w:pPr>
              <w:spacing w:after="0"/>
              <w:rPr>
                <w:sz w:val="21"/>
                <w:szCs w:val="21"/>
                <w:color w:val="auto"/>
              </w:rPr>
            </w:pPr>
          </w:p>
        </w:tc>
        <w:tc>
          <w:tcPr>
            <w:tcW w:w="340" w:type="dxa"/>
            <w:vAlign w:val="bottom"/>
            <w:tcBorders>
              <w:bottom w:val="single" w:sz="8" w:color="00000A"/>
              <w:right w:val="single" w:sz="8" w:color="auto"/>
            </w:tcBorders>
          </w:tcPr>
          <w:p>
            <w:pPr>
              <w:spacing w:after="0"/>
              <w:rPr>
                <w:sz w:val="21"/>
                <w:szCs w:val="21"/>
                <w:color w:val="auto"/>
              </w:rPr>
            </w:pPr>
          </w:p>
        </w:tc>
        <w:tc>
          <w:tcPr>
            <w:tcW w:w="500" w:type="dxa"/>
            <w:vAlign w:val="bottom"/>
            <w:tcBorders>
              <w:bottom w:val="single" w:sz="8" w:color="00000A"/>
            </w:tcBorders>
          </w:tcPr>
          <w:p>
            <w:pPr>
              <w:spacing w:after="0"/>
              <w:rPr>
                <w:sz w:val="21"/>
                <w:szCs w:val="21"/>
                <w:color w:val="auto"/>
              </w:rPr>
            </w:pPr>
          </w:p>
        </w:tc>
        <w:tc>
          <w:tcPr>
            <w:tcW w:w="40" w:type="dxa"/>
            <w:vAlign w:val="bottom"/>
            <w:tcBorders>
              <w:bottom w:val="single" w:sz="8" w:color="00000A"/>
            </w:tcBorders>
          </w:tcPr>
          <w:p>
            <w:pPr>
              <w:spacing w:after="0"/>
              <w:rPr>
                <w:sz w:val="21"/>
                <w:szCs w:val="21"/>
                <w:color w:val="auto"/>
              </w:rPr>
            </w:pPr>
          </w:p>
        </w:tc>
        <w:tc>
          <w:tcPr>
            <w:tcW w:w="420" w:type="dxa"/>
            <w:vAlign w:val="bottom"/>
            <w:tcBorders>
              <w:bottom w:val="single" w:sz="8" w:color="00000A"/>
            </w:tcBorders>
          </w:tcPr>
          <w:p>
            <w:pPr>
              <w:spacing w:after="0"/>
              <w:rPr>
                <w:sz w:val="21"/>
                <w:szCs w:val="21"/>
                <w:color w:val="auto"/>
              </w:rPr>
            </w:pPr>
          </w:p>
        </w:tc>
        <w:tc>
          <w:tcPr>
            <w:tcW w:w="40" w:type="dxa"/>
            <w:vAlign w:val="bottom"/>
            <w:tcBorders>
              <w:bottom w:val="single" w:sz="8" w:color="00000A"/>
            </w:tcBorders>
          </w:tcPr>
          <w:p>
            <w:pPr>
              <w:spacing w:after="0"/>
              <w:rPr>
                <w:sz w:val="21"/>
                <w:szCs w:val="21"/>
                <w:color w:val="auto"/>
              </w:rPr>
            </w:pPr>
          </w:p>
        </w:tc>
        <w:tc>
          <w:tcPr>
            <w:tcW w:w="520" w:type="dxa"/>
            <w:vAlign w:val="bottom"/>
            <w:tcBorders>
              <w:bottom w:val="single" w:sz="8" w:color="00000A"/>
              <w:right w:val="single" w:sz="8" w:color="auto"/>
            </w:tcBorders>
          </w:tcPr>
          <w:p>
            <w:pPr>
              <w:spacing w:after="0"/>
              <w:rPr>
                <w:sz w:val="21"/>
                <w:szCs w:val="21"/>
                <w:color w:val="auto"/>
              </w:rPr>
            </w:pPr>
          </w:p>
        </w:tc>
        <w:tc>
          <w:tcPr>
            <w:tcW w:w="120" w:type="dxa"/>
            <w:vAlign w:val="bottom"/>
            <w:tcBorders>
              <w:bottom w:val="single" w:sz="8" w:color="00000A"/>
            </w:tcBorders>
          </w:tcPr>
          <w:p>
            <w:pPr>
              <w:spacing w:after="0"/>
              <w:rPr>
                <w:sz w:val="21"/>
                <w:szCs w:val="21"/>
                <w:color w:val="auto"/>
              </w:rPr>
            </w:pPr>
          </w:p>
        </w:tc>
        <w:tc>
          <w:tcPr>
            <w:tcW w:w="460" w:type="dxa"/>
            <w:vAlign w:val="bottom"/>
            <w:tcBorders>
              <w:bottom w:val="single" w:sz="8" w:color="00000A"/>
            </w:tcBorders>
          </w:tcPr>
          <w:p>
            <w:pPr>
              <w:spacing w:after="0"/>
              <w:rPr>
                <w:sz w:val="21"/>
                <w:szCs w:val="21"/>
                <w:color w:val="auto"/>
              </w:rPr>
            </w:pPr>
          </w:p>
        </w:tc>
        <w:tc>
          <w:tcPr>
            <w:tcW w:w="340" w:type="dxa"/>
            <w:vAlign w:val="bottom"/>
            <w:tcBorders>
              <w:bottom w:val="single" w:sz="8" w:color="00000A"/>
            </w:tcBorders>
          </w:tcPr>
          <w:p>
            <w:pPr>
              <w:spacing w:after="0"/>
              <w:rPr>
                <w:sz w:val="21"/>
                <w:szCs w:val="21"/>
                <w:color w:val="auto"/>
              </w:rPr>
            </w:pPr>
          </w:p>
        </w:tc>
        <w:tc>
          <w:tcPr>
            <w:tcW w:w="460" w:type="dxa"/>
            <w:vAlign w:val="bottom"/>
            <w:tcBorders>
              <w:bottom w:val="single" w:sz="8" w:color="00000A"/>
            </w:tcBorders>
          </w:tcPr>
          <w:p>
            <w:pPr>
              <w:spacing w:after="0"/>
              <w:rPr>
                <w:sz w:val="21"/>
                <w:szCs w:val="21"/>
                <w:color w:val="auto"/>
              </w:rPr>
            </w:pPr>
          </w:p>
        </w:tc>
        <w:tc>
          <w:tcPr>
            <w:tcW w:w="140" w:type="dxa"/>
            <w:vAlign w:val="bottom"/>
            <w:tcBorders>
              <w:bottom w:val="single" w:sz="8" w:color="00000A"/>
              <w:right w:val="single" w:sz="8" w:color="00000A"/>
            </w:tcBorders>
          </w:tcPr>
          <w:p>
            <w:pPr>
              <w:spacing w:after="0"/>
              <w:rPr>
                <w:sz w:val="21"/>
                <w:szCs w:val="21"/>
                <w:color w:val="auto"/>
              </w:rPr>
            </w:pPr>
          </w:p>
        </w:tc>
        <w:tc>
          <w:tcPr>
            <w:tcW w:w="40" w:type="dxa"/>
            <w:vAlign w:val="bottom"/>
            <w:tcBorders>
              <w:bottom w:val="single" w:sz="8" w:color="00000A"/>
              <w:right w:val="single" w:sz="8" w:color="00000A"/>
            </w:tcBorders>
          </w:tcPr>
          <w:p>
            <w:pPr>
              <w:spacing w:after="0"/>
              <w:rPr>
                <w:sz w:val="21"/>
                <w:szCs w:val="21"/>
                <w:color w:val="auto"/>
              </w:rPr>
            </w:pPr>
          </w:p>
        </w:tc>
      </w:tr>
      <w:tr>
        <w:trPr>
          <w:trHeight w:val="21"/>
        </w:trPr>
        <w:tc>
          <w:tcPr>
            <w:tcW w:w="6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40" w:type="dxa"/>
            <w:vAlign w:val="bottom"/>
            <w:tcBorders>
              <w:bottom w:val="single" w:sz="8" w:color="00000A"/>
            </w:tcBorders>
          </w:tcPr>
          <w:p>
            <w:pPr>
              <w:spacing w:after="0" w:line="20" w:lineRule="exact"/>
              <w:rPr>
                <w:sz w:val="1"/>
                <w:szCs w:val="1"/>
                <w:color w:val="auto"/>
              </w:rPr>
            </w:pPr>
          </w:p>
        </w:tc>
        <w:tc>
          <w:tcPr>
            <w:tcW w:w="780" w:type="dxa"/>
            <w:vAlign w:val="bottom"/>
            <w:tcBorders>
              <w:bottom w:val="single" w:sz="8" w:color="00000A"/>
            </w:tcBorders>
          </w:tcPr>
          <w:p>
            <w:pPr>
              <w:spacing w:after="0" w:line="20" w:lineRule="exact"/>
              <w:rPr>
                <w:sz w:val="1"/>
                <w:szCs w:val="1"/>
                <w:color w:val="auto"/>
              </w:rPr>
            </w:pPr>
          </w:p>
        </w:tc>
        <w:tc>
          <w:tcPr>
            <w:tcW w:w="32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tcBorders>
          </w:tcPr>
          <w:p>
            <w:pPr>
              <w:spacing w:after="0" w:line="20" w:lineRule="exact"/>
              <w:rPr>
                <w:sz w:val="1"/>
                <w:szCs w:val="1"/>
                <w:color w:val="auto"/>
              </w:rPr>
            </w:pPr>
          </w:p>
        </w:tc>
        <w:tc>
          <w:tcPr>
            <w:tcW w:w="1140" w:type="dxa"/>
            <w:vAlign w:val="bottom"/>
            <w:tcBorders>
              <w:bottom w:val="single" w:sz="8" w:color="00000A"/>
            </w:tcBorders>
          </w:tcPr>
          <w:p>
            <w:pPr>
              <w:spacing w:after="0" w:line="20" w:lineRule="exact"/>
              <w:rPr>
                <w:sz w:val="1"/>
                <w:szCs w:val="1"/>
                <w:color w:val="auto"/>
              </w:rPr>
            </w:pPr>
          </w:p>
        </w:tc>
        <w:tc>
          <w:tcPr>
            <w:tcW w:w="44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360" w:type="dxa"/>
            <w:vAlign w:val="bottom"/>
            <w:tcBorders>
              <w:bottom w:val="single" w:sz="8" w:color="00000A"/>
            </w:tcBorders>
          </w:tcPr>
          <w:p>
            <w:pPr>
              <w:spacing w:after="0" w:line="20" w:lineRule="exact"/>
              <w:rPr>
                <w:sz w:val="1"/>
                <w:szCs w:val="1"/>
                <w:color w:val="auto"/>
              </w:rPr>
            </w:pPr>
          </w:p>
        </w:tc>
        <w:tc>
          <w:tcPr>
            <w:tcW w:w="500" w:type="dxa"/>
            <w:vAlign w:val="bottom"/>
            <w:tcBorders>
              <w:bottom w:val="single" w:sz="8" w:color="00000A"/>
            </w:tcBorders>
          </w:tcPr>
          <w:p>
            <w:pPr>
              <w:spacing w:after="0" w:line="20" w:lineRule="exact"/>
              <w:rPr>
                <w:sz w:val="1"/>
                <w:szCs w:val="1"/>
                <w:color w:val="auto"/>
              </w:rPr>
            </w:pPr>
          </w:p>
        </w:tc>
        <w:tc>
          <w:tcPr>
            <w:tcW w:w="38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880" w:type="dxa"/>
            <w:vAlign w:val="bottom"/>
            <w:tcBorders>
              <w:bottom w:val="single" w:sz="8" w:color="00000A"/>
            </w:tcBorders>
          </w:tcPr>
          <w:p>
            <w:pPr>
              <w:spacing w:after="0" w:line="20" w:lineRule="exact"/>
              <w:rPr>
                <w:sz w:val="1"/>
                <w:szCs w:val="1"/>
                <w:color w:val="auto"/>
              </w:rPr>
            </w:pPr>
          </w:p>
        </w:tc>
        <w:tc>
          <w:tcPr>
            <w:tcW w:w="340" w:type="dxa"/>
            <w:vAlign w:val="bottom"/>
            <w:tcBorders>
              <w:bottom w:val="single" w:sz="8" w:color="00000A"/>
            </w:tcBorders>
          </w:tcPr>
          <w:p>
            <w:pPr>
              <w:spacing w:after="0" w:line="20" w:lineRule="exact"/>
              <w:rPr>
                <w:sz w:val="1"/>
                <w:szCs w:val="1"/>
                <w:color w:val="auto"/>
              </w:rPr>
            </w:pPr>
          </w:p>
        </w:tc>
        <w:tc>
          <w:tcPr>
            <w:tcW w:w="5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52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460" w:type="dxa"/>
            <w:vAlign w:val="bottom"/>
            <w:tcBorders>
              <w:bottom w:val="single" w:sz="8" w:color="00000A"/>
            </w:tcBorders>
          </w:tcPr>
          <w:p>
            <w:pPr>
              <w:spacing w:after="0" w:line="20" w:lineRule="exact"/>
              <w:rPr>
                <w:sz w:val="1"/>
                <w:szCs w:val="1"/>
                <w:color w:val="auto"/>
              </w:rPr>
            </w:pPr>
          </w:p>
        </w:tc>
        <w:tc>
          <w:tcPr>
            <w:tcW w:w="340" w:type="dxa"/>
            <w:vAlign w:val="bottom"/>
            <w:tcBorders>
              <w:bottom w:val="single" w:sz="8" w:color="00000A"/>
            </w:tcBorders>
          </w:tcPr>
          <w:p>
            <w:pPr>
              <w:spacing w:after="0" w:line="20" w:lineRule="exact"/>
              <w:rPr>
                <w:sz w:val="1"/>
                <w:szCs w:val="1"/>
                <w:color w:val="auto"/>
              </w:rPr>
            </w:pPr>
          </w:p>
        </w:tc>
        <w:tc>
          <w:tcPr>
            <w:tcW w:w="460" w:type="dxa"/>
            <w:vAlign w:val="bottom"/>
            <w:tcBorders>
              <w:bottom w:val="single" w:sz="8" w:color="00000A"/>
            </w:tcBorders>
          </w:tcPr>
          <w:p>
            <w:pPr>
              <w:spacing w:after="0" w:line="20" w:lineRule="exact"/>
              <w:rPr>
                <w:sz w:val="1"/>
                <w:szCs w:val="1"/>
                <w:color w:val="auto"/>
              </w:rPr>
            </w:pPr>
          </w:p>
        </w:tc>
        <w:tc>
          <w:tcPr>
            <w:tcW w:w="140" w:type="dxa"/>
            <w:vAlign w:val="bottom"/>
            <w:tcBorders>
              <w:bottom w:val="single" w:sz="8" w:color="00000A"/>
              <w:right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r>
    </w:tbl>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purposes of the foregoing,</w:t>
      </w:r>
    </w:p>
    <w:p>
      <w:pPr>
        <w:spacing w:after="0" w:line="243" w:lineRule="exact"/>
        <w:rPr>
          <w:sz w:val="20"/>
          <w:szCs w:val="20"/>
          <w:color w:val="auto"/>
        </w:rPr>
      </w:pPr>
    </w:p>
    <w:p>
      <w:pPr>
        <w:jc w:val="both"/>
        <w:ind w:firstLine="1304"/>
        <w:spacing w:after="0" w:line="258" w:lineRule="auto"/>
        <w:tabs>
          <w:tab w:leader="none" w:pos="153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Company fails to deliver the Financials on or before the date the Financials are due pursuant to Section 5.01, Category 3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spacing w:after="0" w:line="19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61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5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Category 2 shall be deemed to be applicable from and after the Effective Date until the Administrative Agent’s receipt of the applicable Financials for the Company’s fiscal quarter ending on or about December 31, 2025 and adjustments to the Category then in effect shall thereafter be effected in accordance with the preceding paragraphs.</w:t>
      </w:r>
    </w:p>
    <w:p>
      <w:pPr>
        <w:spacing w:after="0" w:line="2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Foreign Currency, the local time in the place of settlement for such Foreign Currency as may be determined by the Administrative Agent or the Issuing Bank, as the case may be, to be necessary for timely settlement on the relevant date in accordance with normal banking procedures in the place of payment.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Borrower Portal</w:t>
      </w:r>
      <w:r>
        <w:rPr>
          <w:rFonts w:ascii="Times New Roman" w:cs="Times New Roman" w:eastAsia="Times New Roman" w:hAnsi="Times New Roman"/>
          <w:sz w:val="20"/>
          <w:szCs w:val="20"/>
          <w:color w:val="auto"/>
        </w:rPr>
        <w:t>” has the meaning assigned to it in Section 8.11(a).</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such term in Section 8.03(a).</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such term in Section 9.04(b).</w:t>
      </w:r>
    </w:p>
    <w:p>
      <w:pPr>
        <w:spacing w:after="0" w:line="24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each of JPMorgan Chase Bank, N.A., BofA Securities, Inc., Mizuho Bank, Ltd., Wells Fargo Securities, LLC, Truist Securities, Inc., PNC Capital Markets LLC and Capital One, N.A. in its capacity as a joint bookrunner and a joint lead arranger hereunder.</w:t>
      </w:r>
    </w:p>
    <w:p>
      <w:pPr>
        <w:spacing w:after="0" w:line="2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or any other form approved by the Administrative Agent.</w:t>
      </w:r>
    </w:p>
    <w:p>
      <w:pPr>
        <w:spacing w:after="0" w:line="20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Revolving Maturity Date and the date of termination of the Revolving Commitments.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886" w:right="339" w:bottom="1440" w:gutter="0" w:footer="0" w:header="0"/>
          <w:type w:val="continuous"/>
        </w:sectPr>
      </w:pPr>
    </w:p>
    <w:bookmarkStart w:id="16" w:name="page17"/>
    <w:bookmarkEnd w:id="16"/>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Revolving Commitment</w:t>
      </w:r>
      <w:r>
        <w:rPr>
          <w:rFonts w:ascii="Times New Roman" w:cs="Times New Roman" w:eastAsia="Times New Roman" w:hAnsi="Times New Roman"/>
          <w:sz w:val="20"/>
          <w:szCs w:val="20"/>
          <w:color w:val="auto"/>
        </w:rPr>
        <w:t>” means, at any time with respect to any Lender, the Revolving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9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21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Average Consolidated Net Indebtedness</w:t>
      </w:r>
      <w:r>
        <w:rPr>
          <w:rFonts w:ascii="Times New Roman" w:cs="Times New Roman" w:eastAsia="Times New Roman" w:hAnsi="Times New Roman"/>
          <w:sz w:val="20"/>
          <w:szCs w:val="20"/>
          <w:color w:val="auto"/>
        </w:rPr>
        <w:t>” means the average of the Consolidated Net Indebtedness of the Company at the end of each of the four most recent consecutive fiscal quarters.</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1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statute.</w:t>
      </w:r>
    </w:p>
    <w:p>
      <w:pPr>
        <w:spacing w:after="0" w:line="20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with respect to any (i) RFR Loan in any Agreed Currency, the applicable Relevant Rate for such Agreed Currency or (ii) Term Benchmark Loan, the Relevant Rate for such Agreed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886" w:right="339" w:bottom="1440" w:gutter="0" w:footer="0" w:header="0"/>
        </w:sectPr>
      </w:pPr>
    </w:p>
    <w:bookmarkStart w:id="17" w:name="page18"/>
    <w:bookmarkEnd w:id="17"/>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Loan denominated in a Foreign Currency (other than any Loan denominated in Canadian Dollars), “Benchmark Replacement” shall mean the alternative set forth in (2) below:</w:t>
      </w:r>
    </w:p>
    <w:p>
      <w:pPr>
        <w:spacing w:after="0" w:line="199" w:lineRule="exact"/>
        <w:rPr>
          <w:sz w:val="20"/>
          <w:szCs w:val="20"/>
          <w:color w:val="auto"/>
        </w:rPr>
      </w:pPr>
    </w:p>
    <w:p>
      <w:pPr>
        <w:jc w:val="both"/>
        <w:ind w:firstLine="1304"/>
        <w:spacing w:after="0" w:line="268" w:lineRule="auto"/>
        <w:tabs>
          <w:tab w:leader="none" w:pos="175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the Adjusted Daily Simple RFR for RFR Borrowings denominated in Dollars and/or in the case of any Loan denominated in Canadian Dollars, the Adjusted Daily Simple RFR for RFR Borrowings denominated in Canadian Dollars; or</w:t>
      </w:r>
    </w:p>
    <w:p>
      <w:pPr>
        <w:spacing w:after="0" w:line="18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2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2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spacing w:after="0" w:line="20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clause (2) would be less than the Floor, the Benchmark Replacement will be deemed to be the Floor for the purposes of this Agreement and the other Loan Documents.</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means, with respect to any Benchmark Replacement and/or any Term Benchmark Revolving Loan denominated in Dollars or Canadian Dollars, as applicable, any technical, administrative or operational changes (including changes to the definition of “Alternate Base Rate,” the definition of “Canadian Prime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886" w:right="339" w:bottom="1440" w:gutter="0" w:footer="0" w:header="0"/>
        </w:sectPr>
      </w:pPr>
    </w:p>
    <w:bookmarkStart w:id="18" w:name="page19"/>
    <w:bookmarkEnd w:id="18"/>
    <w:p>
      <w:pPr>
        <w:spacing w:after="0" w:line="283" w:lineRule="auto"/>
        <w:rPr>
          <w:sz w:val="20"/>
          <w:szCs w:val="20"/>
          <w:color w:val="auto"/>
        </w:rPr>
      </w:pPr>
      <w:r>
        <w:rPr>
          <w:rFonts w:ascii="Times New Roman" w:cs="Times New Roman" w:eastAsia="Times New Roman" w:hAnsi="Times New Roman"/>
          <w:sz w:val="20"/>
          <w:szCs w:val="20"/>
          <w:color w:val="auto"/>
        </w:rPr>
        <w:t>the Administrative Agent decides is reasonably necessary in connection with the administration of this Agreement and the other Loan Documents).</w:t>
      </w:r>
    </w:p>
    <w:p>
      <w:pPr>
        <w:spacing w:after="0" w:line="173"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73" w:lineRule="exact"/>
        <w:rPr>
          <w:sz w:val="20"/>
          <w:szCs w:val="20"/>
          <w:color w:val="auto"/>
        </w:rPr>
      </w:pPr>
    </w:p>
    <w:p>
      <w:pPr>
        <w:jc w:val="both"/>
        <w:ind w:firstLine="1304"/>
        <w:spacing w:after="0" w:line="258" w:lineRule="auto"/>
        <w:tabs>
          <w:tab w:leader="none" w:pos="174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12"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or</w:t>
      </w:r>
    </w:p>
    <w:p>
      <w:pPr>
        <w:spacing w:after="0" w:line="219" w:lineRule="exact"/>
        <w:rPr>
          <w:rFonts w:ascii="Times New Roman" w:cs="Times New Roman" w:eastAsia="Times New Roman" w:hAnsi="Times New Roman"/>
          <w:sz w:val="20"/>
          <w:szCs w:val="20"/>
          <w:color w:val="auto"/>
        </w:rPr>
      </w:pPr>
    </w:p>
    <w:p>
      <w:pPr>
        <w:ind w:firstLine="1304"/>
        <w:spacing w:after="0" w:line="283" w:lineRule="auto"/>
        <w:tabs>
          <w:tab w:leader="none" w:pos="175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CORRA Reelection Event, the date that is thirty (30) days after the date a Term CORRA Notice (if any) is provided to the Lenders and the Company pursuant to Section 2.14(c).</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w:t>
      </w:r>
    </w:p>
    <w:p>
      <w:pPr>
        <w:spacing w:after="0" w:line="2" w:lineRule="exact"/>
        <w:rPr>
          <w:sz w:val="20"/>
          <w:szCs w:val="20"/>
          <w:color w:val="auto"/>
        </w:rPr>
      </w:pPr>
    </w:p>
    <w:p>
      <w:pPr>
        <w:ind w:firstLine="8"/>
        <w:spacing w:after="0" w:line="253" w:lineRule="auto"/>
        <w:tabs>
          <w:tab w:leader="none" w:pos="30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215"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73" w:lineRule="exact"/>
        <w:rPr>
          <w:sz w:val="20"/>
          <w:szCs w:val="20"/>
          <w:color w:val="auto"/>
        </w:rPr>
      </w:pPr>
    </w:p>
    <w:p>
      <w:pPr>
        <w:jc w:val="both"/>
        <w:ind w:firstLine="1304"/>
        <w:spacing w:after="0" w:line="257" w:lineRule="auto"/>
        <w:tabs>
          <w:tab w:leader="none" w:pos="185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99"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the NYFRB, the CME Term SOFR Administrator, the CORRA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at the time of such statement or publication, there is no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886" w:right="339" w:bottom="1440" w:gutter="0" w:footer="0" w:header="0"/>
        </w:sectPr>
      </w:pPr>
    </w:p>
    <w:bookmarkStart w:id="19" w:name="page20"/>
    <w:bookmarkEnd w:id="19"/>
    <w:p>
      <w:pPr>
        <w:ind w:right="20"/>
        <w:spacing w:after="0" w:line="283" w:lineRule="auto"/>
        <w:rPr>
          <w:sz w:val="20"/>
          <w:szCs w:val="20"/>
          <w:color w:val="auto"/>
        </w:rPr>
      </w:pPr>
      <w:r>
        <w:rPr>
          <w:rFonts w:ascii="Times New Roman" w:cs="Times New Roman" w:eastAsia="Times New Roman" w:hAnsi="Times New Roman"/>
          <w:sz w:val="20"/>
          <w:szCs w:val="20"/>
          <w:color w:val="auto"/>
        </w:rPr>
        <w:t>successor administrator that will continue to provide such Benchmark (or such component thereof) or, if such Benchmark is a term rate, any Available Tenor of such Benchmark (or such component thereof); or</w:t>
      </w:r>
    </w:p>
    <w:p>
      <w:pPr>
        <w:spacing w:after="0" w:line="173" w:lineRule="exact"/>
        <w:rPr>
          <w:sz w:val="20"/>
          <w:szCs w:val="20"/>
          <w:color w:val="auto"/>
        </w:rPr>
      </w:pPr>
    </w:p>
    <w:p>
      <w:pPr>
        <w:jc w:val="both"/>
        <w:ind w:firstLine="1304"/>
        <w:spacing w:after="0" w:line="258" w:lineRule="auto"/>
        <w:tabs>
          <w:tab w:leader="none" w:pos="1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21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95" w:lineRule="exact"/>
        <w:rPr>
          <w:sz w:val="20"/>
          <w:szCs w:val="20"/>
          <w:color w:val="auto"/>
        </w:rPr>
      </w:pPr>
    </w:p>
    <w:p>
      <w:pPr>
        <w:jc w:val="both"/>
        <w:ind w:firstLine="1377"/>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20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4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Bonnie</w:t>
      </w:r>
      <w:r>
        <w:rPr>
          <w:rFonts w:ascii="Times New Roman" w:cs="Times New Roman" w:eastAsia="Times New Roman" w:hAnsi="Times New Roman"/>
          <w:sz w:val="20"/>
          <w:szCs w:val="20"/>
          <w:color w:val="auto"/>
        </w:rPr>
        <w:t>” has the meaning assigned to it under the definition of Subsidiary.</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the Company or any Subsidiary Borrower.</w:t>
      </w:r>
    </w:p>
    <w:p>
      <w:pPr>
        <w:spacing w:after="0" w:line="24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Communications</w:t>
      </w:r>
      <w:r>
        <w:rPr>
          <w:rFonts w:ascii="Times New Roman" w:cs="Times New Roman" w:eastAsia="Times New Roman" w:hAnsi="Times New Roman"/>
          <w:sz w:val="20"/>
          <w:szCs w:val="20"/>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spacing w:after="0" w:line="21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Loans of the same Type and Tranche, made, converted or continued on the same date and, in the case of Term Benchmark Loans, as to which a single Interest Period is in effect, (b) a Term Loan of the same Type, made, converted or continued on the same date and, in the case of Term Benchmark Loans, as to which a single Interest Period is in effect or (c) a Swingline Loan.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886" w:right="339" w:bottom="1440" w:gutter="0" w:footer="0" w:header="0"/>
        </w:sectPr>
      </w:pPr>
    </w:p>
    <w:bookmarkStart w:id="20" w:name="page21"/>
    <w:bookmarkEnd w:id="20"/>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means a request by any Borrower (or the Company on behalf of the applicable Borrower) for a Borrowing in accordance with Section 2.03, which shall be substantially in the form approved by the Administrative Agent or the Swingline Lender, as applicable and separately provided to the Company.</w:t>
      </w:r>
    </w:p>
    <w:p>
      <w:pPr>
        <w:spacing w:after="0" w:line="20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or Chicago;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foregoing, a Business Day shall be (i) in relation to Loans denominated in Pounds Sterling, any day (other than a Saturday or a Sunday) on which banks are open for business in London, (ii) in relation to Loans denominated in euro and in relation to the calculation or computation of the EURIBO Rate, any day which is a TARGET Day, (iii) in relation to Loans denominated in Canadian Dollars and in relation to the calculation or computation of CORRA or the Canadian Prime Rate, any day (other than a Saturday or a Sunday) on which banks are open for business in Toronto, (iv) in relation to RFR Loans and any interest rate settings, fundings, disbursements, settlements or payments of any such RFR Loan, or any other dealings in the applicable Agreed Currency of such RFR Loan, any such day that is only an RFR Business Day and (v)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w:t>
      </w:r>
      <w:r>
        <w:rPr>
          <w:rFonts w:ascii="Times New Roman" w:cs="Times New Roman" w:eastAsia="Times New Roman" w:hAnsi="Times New Roman"/>
          <w:sz w:val="20"/>
          <w:szCs w:val="20"/>
          <w:color w:val="auto"/>
        </w:rPr>
        <w:t xml:space="preserve">” means the exchange of the Lenders’ interests provided for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 Date</w:t>
      </w:r>
      <w:r>
        <w:rPr>
          <w:rFonts w:ascii="Times New Roman" w:cs="Times New Roman" w:eastAsia="Times New Roman" w:hAnsi="Times New Roman"/>
          <w:sz w:val="20"/>
          <w:szCs w:val="20"/>
          <w:color w:val="auto"/>
        </w:rPr>
        <w:t xml:space="preserve">” means the first date on which there shall occur (a) any event referred to in clause (f)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with respect to the Company or (b) an acceleration of Loans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Percentage</w:t>
      </w:r>
      <w:r>
        <w:rPr>
          <w:rFonts w:ascii="Times New Roman" w:cs="Times New Roman" w:eastAsia="Times New Roman" w:hAnsi="Times New Roman"/>
          <w:sz w:val="20"/>
          <w:szCs w:val="20"/>
          <w:color w:val="auto"/>
        </w:rPr>
        <w:t>” means, as to each Revolving Lender, a fraction, expressed as a decimal, of which (a) the numerator shall be the aggregate Dollar Amount (determined on the CAM Exchange Date) of the Designated Obligations owed to such Lender (whether or not at the time due and payable) on the date immediately prior to the CAM Exchange Date and (b) the denominator shall be the Dollar Amount (as so determined) of the Designated Obligations owed to all the Revolving Lenders (whether or not at the time due and payable) on the date immediately prior to the CAM Exchange Date.</w:t>
      </w:r>
    </w:p>
    <w:p>
      <w:pPr>
        <w:spacing w:after="0" w:line="20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means (i) the Initial Canadian Borrower and (ii) any other Borrower that is organized under the laws of Canada or any province or territory thereof.</w:t>
      </w:r>
    </w:p>
    <w:p>
      <w:pPr>
        <w:spacing w:after="0" w:line="18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Defined Benefit Plan</w:t>
      </w:r>
      <w:r>
        <w:rPr>
          <w:rFonts w:ascii="Times New Roman" w:cs="Times New Roman" w:eastAsia="Times New Roman" w:hAnsi="Times New Roman"/>
          <w:sz w:val="20"/>
          <w:szCs w:val="20"/>
          <w:color w:val="auto"/>
        </w:rPr>
        <w:t>” means a “registered pension plan” which contains a “defined benefit provision”, as those terms are defined in the Income Tax Act (Canada).</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means the lawful currency of Canada.</w:t>
      </w:r>
    </w:p>
    <w:p>
      <w:pPr>
        <w:spacing w:after="0" w:line="24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Plan</w:t>
      </w:r>
      <w:r>
        <w:rPr>
          <w:rFonts w:ascii="Times New Roman" w:cs="Times New Roman" w:eastAsia="Times New Roman" w:hAnsi="Times New Roman"/>
          <w:sz w:val="20"/>
          <w:szCs w:val="20"/>
          <w:color w:val="auto"/>
        </w:rPr>
        <w:t>” means a pension plan which is or is required to be registered under the Income Tax Act (Canada) or any federal or provincial pension standards legislation in Canada which is sponsored, administered or contributed to by any Loan Party or in respect of which any Loan Party has any actual or contingent liability.</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Adjusted Term CORRA Rate for an interest period of one month in effect on such day, plus 1.00%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of the above rates shall be less than 1.00%, such rate shall be deemed to be 1.00% for purposes of this Agreement. Any change in the Canadian Prime Rate due to a change in the PRIMCAN Index or the Adjusted Term CORRA Rate shall be effective from 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88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including the effective date of such change in the PRIMCAN Index or the Adjusted Term CORRA Rate, respectively.</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Swingline Loan</w:t>
      </w:r>
      <w:r>
        <w:rPr>
          <w:rFonts w:ascii="Times New Roman" w:cs="Times New Roman" w:eastAsia="Times New Roman" w:hAnsi="Times New Roman"/>
          <w:sz w:val="20"/>
          <w:szCs w:val="20"/>
          <w:color w:val="auto"/>
        </w:rPr>
        <w:t>” means a Loan made to a Borrower in Canadian Dollars pursuant to Section 2.05.</w:t>
      </w:r>
    </w:p>
    <w:p>
      <w:pPr>
        <w:spacing w:after="0" w:line="24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Swingline Rate</w:t>
      </w:r>
      <w:r>
        <w:rPr>
          <w:rFonts w:ascii="Times New Roman" w:cs="Times New Roman" w:eastAsia="Times New Roman" w:hAnsi="Times New Roman"/>
          <w:sz w:val="20"/>
          <w:szCs w:val="20"/>
          <w:color w:val="auto"/>
        </w:rPr>
        <w:t xml:space="preserve">” means, with respect to any Canadian Swingline Loan, a rate in respect of such Canadian Swingline Loan that is agreed upon by the Company and the Swingline Lender (it being understood and agreed that if a Canadian Swingline Rate cannot be so agreed upon by the Company and the Swingline Lender in respect of such Canadian Swingline Loan, then, at the Company’s election, either (i) the “Canadian Swingline Rate” for such Canadian Swingline Loan shall be equal to the Canadian Prime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Spread for ABR Borrowings or (ii) the request for such Canadian Swingline Loan made by the applicable Borrower shall be deemed automatically terminated and cancelled and of no further force or effect).</w:t>
      </w:r>
    </w:p>
    <w:p>
      <w:pPr>
        <w:spacing w:after="0" w:line="2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2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 securities with maturities of one year or less issued or fully guaranteed by any Governmental Authority and such securities are rated at least A by S&amp;P or A by Moody’s; (b) commercial paper rated A-1 or better by S&amp;P or P-1 or better by Moody’s; (c) certificates of deposit issued by and time deposits with commercial banks having capital and surplus in excess of $300,000,000; and (d) money-market funds or money-market mutual funds which (i) seek to maintain a constant net asset value, (ii) maintain fund assets under management having an aggregate market value of at least $1,000,000,000 and (iii) invest primarily in instruments referred to in clauses (a) through (c) above and/or repurchase agreements thereon having a term not more than 30 days.</w:t>
      </w:r>
    </w:p>
    <w:p>
      <w:pPr>
        <w:spacing w:after="0" w:line="20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that bears interest at a rate determined by reference to the Central Bank Rate or the Canadian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Prime Rate.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Spread</w:t>
      </w:r>
      <w:r>
        <w:rPr>
          <w:rFonts w:ascii="Times New Roman" w:cs="Times New Roman" w:eastAsia="Times New Roman" w:hAnsi="Times New Roman"/>
          <w:sz w:val="20"/>
          <w:szCs w:val="20"/>
          <w:color w:val="auto"/>
        </w:rPr>
        <w:t>” means the Applicable Spread applicable to such Loan that is replaced by a CBR Loan.</w:t>
      </w:r>
    </w:p>
    <w:p>
      <w:pPr>
        <w:spacing w:after="0" w:line="25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Foreign Currency determined after the Effective Date, a central bank rate as determined by the Administrative Agent in its reasonable discretion; plus (B) the applicable Central Bank Rate Adjustment and (ii) the Floor.</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means, for any day, for any Loan denominated in:</w:t>
      </w:r>
    </w:p>
    <w:p>
      <w:pPr>
        <w:spacing w:after="0" w:line="243" w:lineRule="exact"/>
        <w:rPr>
          <w:sz w:val="20"/>
          <w:szCs w:val="20"/>
          <w:color w:val="auto"/>
        </w:rPr>
      </w:pPr>
    </w:p>
    <w:p>
      <w:pPr>
        <w:jc w:val="both"/>
        <w:ind w:firstLine="1304"/>
        <w:spacing w:after="0" w:line="268" w:lineRule="auto"/>
        <w:tabs>
          <w:tab w:leader="none" w:pos="173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Pounds Sterling, a rate equal to the difference (which may be a positive or negative value or zero) of (i) the average of Adjusted Daily Simple RFR for Pounds Sterling Borrowings for the five most recent RFR Business Days preceding such day for which the Adjusted Daily Simple RFR for Pounds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886"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20"/>
          <w:szCs w:val="20"/>
          <w:color w:val="auto"/>
        </w:rPr>
        <w:t>Sterling Borrowings was available (excluding, from such averaging, the highest and the lowest such Adjusted Daily Simple RFR applicable during such period of five RFR Business Days) minus (ii) the Central Bank Rate in respect of Pounds Sterling in effect on the last RFR Business Day in such period,</w:t>
      </w:r>
    </w:p>
    <w:p>
      <w:pPr>
        <w:spacing w:after="0" w:line="208" w:lineRule="exact"/>
        <w:rPr>
          <w:sz w:val="20"/>
          <w:szCs w:val="20"/>
          <w:color w:val="auto"/>
        </w:rPr>
      </w:pPr>
    </w:p>
    <w:p>
      <w:pPr>
        <w:jc w:val="both"/>
        <w:ind w:firstLine="1304"/>
        <w:spacing w:after="0" w:line="258" w:lineRule="auto"/>
        <w:tabs>
          <w:tab w:leader="none" w:pos="172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minus (ii) the Central Bank Rate in respect of euro in effect on the last Business Day in such period, and</w:t>
      </w:r>
    </w:p>
    <w:p>
      <w:pPr>
        <w:spacing w:after="0" w:line="199" w:lineRule="exact"/>
        <w:rPr>
          <w:rFonts w:ascii="Times New Roman" w:cs="Times New Roman" w:eastAsia="Times New Roman" w:hAnsi="Times New Roman"/>
          <w:sz w:val="20"/>
          <w:szCs w:val="20"/>
          <w:color w:val="auto"/>
        </w:rPr>
      </w:pPr>
    </w:p>
    <w:p>
      <w:pPr>
        <w:ind w:firstLine="1304"/>
        <w:spacing w:after="0" w:line="283" w:lineRule="auto"/>
        <w:tabs>
          <w:tab w:leader="none" w:pos="178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Foreign Currency determined after the Effective Date, an adjustment as determined by the Administrative Agent in its reasonable discretion.</w:t>
      </w:r>
    </w:p>
    <w:p>
      <w:pPr>
        <w:spacing w:after="0" w:line="17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spacing w:after="0" w:line="18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Section 2.15(b), by any lending office of such Lender or by such Lender’s or such Issuing Bank’s holding company, if any) with any request, rule, guideline, requirement or directive (whether or not having the force of law) of any Governmental Authority made or issued after the date of this Agreement;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2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Charitable Foundation</w:t>
      </w:r>
      <w:r>
        <w:rPr>
          <w:rFonts w:ascii="Times New Roman" w:cs="Times New Roman" w:eastAsia="Times New Roman" w:hAnsi="Times New Roman"/>
          <w:sz w:val="20"/>
          <w:szCs w:val="20"/>
          <w:color w:val="auto"/>
        </w:rPr>
        <w:t>” means The Scotts Miracle-Gro Foundation, an Ohio non-profit corporation, which qualifies as an exempt organization under 501(c)(3) of the Code and is organized solely for charitable purposes.</w:t>
      </w:r>
    </w:p>
    <w:p>
      <w:pPr>
        <w:spacing w:after="0" w:line="20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 any Loan or Borrowing, refers to whether such Loan, or the Loans comprising such Borrowing, are US Tranche Revolving Loans, Global Tranche Revolving Loans, Tranche A Term Loans, Incremental Loans of any Series or Swingline Loans, (b) any Commitment, refers to whether such Commitment is a US Tranche Commitment, a Global Tranche Commitment, a Tranche A Term Loan Commitment or an Incremental Commitment of any Series and (c) any Lender, refers to whether such Lender is a Global Tranche Lender, a US Tranche Lender or a Term Lender.</w:t>
      </w:r>
    </w:p>
    <w:p>
      <w:pPr>
        <w:spacing w:after="0" w:line="21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w:t>
      </w:r>
      <w:r>
        <w:rPr>
          <w:rFonts w:ascii="Times New Roman" w:cs="Times New Roman" w:eastAsia="Times New Roman" w:hAnsi="Times New Roman"/>
          <w:sz w:val="20"/>
          <w:szCs w:val="20"/>
          <w:color w:val="auto"/>
        </w:rPr>
        <w:t>” means each of Farm Credit Canada, TD Bank, N.A., Coöperatieve Rabobank U.A., New York Branch, U.S. Bank National Association and Citizens Bank, N.A. in its capacity as co-documentation agent for the credit facilities evidenced by this Agreement.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886" w:right="339" w:bottom="1440" w:gutter="0" w:footer="0" w:header="0"/>
        </w:sectPr>
      </w:pPr>
    </w:p>
    <w:bookmarkStart w:id="23" w:name="page24"/>
    <w:bookmarkEnd w:id="23"/>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Specified Property, now owned or hereafter acquired, upon which a Lien is purported to be created by any Security Document for so long as required under the terms of this Agreement and the Security Documents.</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each Lender, the sum of such Lender’s US Tranche Commitment, Global Tranche Commitment, Tranche A Term Loan Commitment and Incremental Term Loan Commitment of any Series (as the context requires). The initial amount of each Lender’s Commitment is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or in the Assignment and Assumption or other documentation contemplated hereby pursuant to which such Lender shall have assumed its Commitment, as applicable.</w:t>
      </w:r>
    </w:p>
    <w:p>
      <w:pPr>
        <w:spacing w:after="0" w:line="213"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2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Commonly Controlled Entity</w:t>
      </w:r>
      <w:r>
        <w:rPr>
          <w:rFonts w:ascii="Times New Roman" w:cs="Times New Roman" w:eastAsia="Times New Roman" w:hAnsi="Times New Roman"/>
          <w:sz w:val="20"/>
          <w:szCs w:val="20"/>
          <w:color w:val="auto"/>
        </w:rPr>
        <w:t>” means any entity, whether or not incorporated, that is under common control with the Company within the meaning of Section 4001(a)(14) of ERISA or any entity that is treated as a single employer under Section 414 of the Code.</w:t>
      </w:r>
    </w:p>
    <w:p>
      <w:pPr>
        <w:spacing w:after="0" w:line="20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Borrower pursuant to any Loan Document or the transactions contemplated therein which is distributed by the Administrative Agent, any Lender or any Issuing Bank by means of electronic communications pursuant to Section 8.03(c), including through an Approved Electronic Platform.</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The Scotts Miracle-Gro Company, an Ohio corporation.</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Persons that are reasonably determined by the Company to be competitors of the Company or its Subsidiaries and which have been specifically identified by the Company to the Administrative Agent and the Lenders in writing prior to the Effective Date.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Computation Date</w:t>
      </w:r>
      <w:r>
        <w:rPr>
          <w:rFonts w:ascii="Times New Roman" w:cs="Times New Roman" w:eastAsia="Times New Roman" w:hAnsi="Times New Roman"/>
          <w:sz w:val="20"/>
          <w:szCs w:val="20"/>
          <w:color w:val="auto"/>
        </w:rPr>
        <w:t>” has the meaning assigned to such term in Section 2.04.</w:t>
      </w:r>
    </w:p>
    <w:p>
      <w:pPr>
        <w:spacing w:after="0" w:line="25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Adjusted EBITDA</w:t>
      </w:r>
      <w:r>
        <w:rPr>
          <w:rFonts w:ascii="Times New Roman" w:cs="Times New Roman" w:eastAsia="Times New Roman" w:hAnsi="Times New Roman"/>
          <w:sz w:val="19"/>
          <w:szCs w:val="19"/>
          <w:color w:val="auto"/>
        </w:rPr>
        <w:t xml:space="preserve">” means, for any period of determination thereof, Consolidated EBITDA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without duplication, and to the extent deducted from revenues in determining Consolidated Net Income, (i) non-recurring losses and (ii) non-cash charges or expenses (including, without limitation, non-cash expenses related to stock based compensation)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to the extent included in Consolidated Net Income, (1) non-recurring gains and (2) any cash payments made during such period in respect of items described in clause</w:t>
      </w:r>
    </w:p>
    <w:p>
      <w:pPr>
        <w:spacing w:after="0" w:line="2" w:lineRule="exact"/>
        <w:rPr>
          <w:sz w:val="20"/>
          <w:szCs w:val="20"/>
          <w:color w:val="auto"/>
        </w:rPr>
      </w:pPr>
    </w:p>
    <w:p>
      <w:pPr>
        <w:ind w:firstLine="8"/>
        <w:spacing w:after="0" w:line="260" w:lineRule="auto"/>
        <w:tabs>
          <w:tab w:leader="none" w:pos="33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subsequent to the fiscal quarter in which the relevant non-cash expenses or losses were incurred, all as determined on a consolidated basis for the Company and its Subsidiaries.</w:t>
      </w:r>
    </w:p>
    <w:p>
      <w:pPr>
        <w:spacing w:after="0" w:line="19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of determination thereof, Consolidated Net Income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without duplication and to the extent deducted from revenues in determining Consolidated Net Income, (i) income tax expenses, (ii) depreciation expense, (iii) interest expense, (iv) amortization expense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to the extent included in Consolidated Net Income, (1) interest income and (2) income tax credits and refunds (to the extent not netted from tax expense), all as determined on a consolidated basis for the Company and its Subsidiaries.</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for any period of determination thereof, the interest expense of the Company and its Subsidiaries for such period, as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items that are non-cash items in the period when recognized and (b) all non-recurring or extraordinary items in any fiscal period, including, without limitation, all costs, expenses and amortization of</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129" w:right="339" w:bottom="1440" w:gutter="0" w:footer="0" w:header="0"/>
        </w:sectPr>
      </w:pPr>
    </w:p>
    <w:bookmarkStart w:id="24" w:name="page25"/>
    <w:bookmarkEnd w:id="24"/>
    <w:p>
      <w:pPr>
        <w:jc w:val="both"/>
        <w:spacing w:after="0" w:line="283" w:lineRule="auto"/>
        <w:rPr>
          <w:sz w:val="20"/>
          <w:szCs w:val="20"/>
          <w:color w:val="auto"/>
        </w:rPr>
      </w:pPr>
      <w:r>
        <w:rPr>
          <w:rFonts w:ascii="Times New Roman" w:cs="Times New Roman" w:eastAsia="Times New Roman" w:hAnsi="Times New Roman"/>
          <w:sz w:val="20"/>
          <w:szCs w:val="20"/>
          <w:color w:val="auto"/>
        </w:rPr>
        <w:t>premiums, discounts and deferred issue costs of any Indebtedness, shall be excluded for the purpose of determining Consolidated Interest Expense for any period.</w:t>
      </w:r>
    </w:p>
    <w:p>
      <w:pPr>
        <w:spacing w:after="0" w:line="17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of determination thereof, net income of the Company and its Subsidiaries for such period, as determined in accordance with GAAP.</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Indebtedness</w:t>
      </w:r>
      <w:r>
        <w:rPr>
          <w:rFonts w:ascii="Times New Roman" w:cs="Times New Roman" w:eastAsia="Times New Roman" w:hAnsi="Times New Roman"/>
          <w:sz w:val="20"/>
          <w:szCs w:val="20"/>
          <w:color w:val="auto"/>
        </w:rPr>
        <w:t xml:space="preserve">” means, for any date of determination thereof, Indebtedness plus the aggregate outstanding principal amount of the obligations secured by Sold Receivables Assets (to the extent such obligations are required to be accounted for as indebtedness on the Company’s balance sheet or such obligations are Recourse Obligations),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lesser of (i) $150,000,000 and (ii) cash and Cash Equivalents, all as determined on a consolidated basis, without duplication, for the Company and its Subsidiaries.</w:t>
      </w:r>
    </w:p>
    <w:p>
      <w:pPr>
        <w:spacing w:after="0" w:line="21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at any date, all amounts that would be set forth opposite the caption “total assets” (or any like caption) on a consolidated balance sheet of the Company and its Subsidiaries at such date in accordance with GAAP.</w:t>
      </w:r>
    </w:p>
    <w:p>
      <w:pPr>
        <w:spacing w:after="0" w:line="200"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material provision of any material security issued by such Person or of any material agreement, instrument or undertaking to which such Person is a party or by which it or any of its property is bound.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208"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Group</w:t>
      </w:r>
      <w:r>
        <w:rPr>
          <w:rFonts w:ascii="Times New Roman" w:cs="Times New Roman" w:eastAsia="Times New Roman" w:hAnsi="Times New Roman"/>
          <w:sz w:val="20"/>
          <w:szCs w:val="20"/>
          <w:color w:val="auto"/>
        </w:rPr>
        <w:t>” means the Hagedorn Partnership, L.P., the general partners of the Hagedorn Partnership, L.P. and, in the case of such individuals, their respective executors, administrators and heirs and their families and trusts for their benefit.</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Administrator</w:t>
      </w:r>
      <w:r>
        <w:rPr>
          <w:rFonts w:ascii="Times New Roman" w:cs="Times New Roman" w:eastAsia="Times New Roman" w:hAnsi="Times New Roman"/>
          <w:sz w:val="20"/>
          <w:szCs w:val="20"/>
          <w:color w:val="auto"/>
        </w:rPr>
        <w:t>” means the Bank of Canada (or any successor administrator).</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Determination Date</w:t>
      </w:r>
      <w:r>
        <w:rPr>
          <w:rFonts w:ascii="Times New Roman" w:cs="Times New Roman" w:eastAsia="Times New Roman" w:hAnsi="Times New Roman"/>
          <w:sz w:val="20"/>
          <w:szCs w:val="20"/>
          <w:color w:val="auto"/>
        </w:rPr>
        <w:t>” has the meaning specified in the definition of “Daily Simple CORRA”.</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Rate Day</w:t>
      </w:r>
      <w:r>
        <w:rPr>
          <w:rFonts w:ascii="Times New Roman" w:cs="Times New Roman" w:eastAsia="Times New Roman" w:hAnsi="Times New Roman"/>
          <w:sz w:val="20"/>
          <w:szCs w:val="20"/>
          <w:color w:val="auto"/>
        </w:rPr>
        <w:t>” has the meaning specified in the definition of “Daily Simple CORRA”.</w:t>
      </w:r>
    </w:p>
    <w:p>
      <w:pPr>
        <w:spacing w:after="0" w:line="25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Co-Syndication Agent</w:t>
      </w:r>
      <w:r>
        <w:rPr>
          <w:rFonts w:ascii="Times New Roman" w:cs="Times New Roman" w:eastAsia="Times New Roman" w:hAnsi="Times New Roman"/>
          <w:sz w:val="20"/>
          <w:szCs w:val="20"/>
          <w:color w:val="auto"/>
        </w:rPr>
        <w:t>” means each of Bank of America, N.A., Mizuho Bank, Ltd., Wells Fargo Bank, National Association, Truist Bank, PNC Bank, National Association and Capital One, N.A., in its capacity as co-syndication agent for the credit facilities evidenced by this Agreement.</w:t>
      </w:r>
    </w:p>
    <w:p>
      <w:pPr>
        <w:spacing w:after="0" w:line="208"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a Borrowing, the issuance, amendment or extension of a Letter of Credit, an LC Disbursement or any of the foregoing.</w:t>
      </w:r>
    </w:p>
    <w:p>
      <w:pPr>
        <w:spacing w:after="0" w:line="17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means, as to any Lender at any time, the sum of (a) such Lender’s Revolving Credit Exposure at such time, plus (b) an amount equal to the aggregate principal amount of its Term Loans outstanding at such time.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886"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Facility</w:t>
      </w:r>
      <w:r>
        <w:rPr>
          <w:rFonts w:ascii="Times New Roman" w:cs="Times New Roman" w:eastAsia="Times New Roman" w:hAnsi="Times New Roman"/>
          <w:sz w:val="20"/>
          <w:szCs w:val="20"/>
          <w:color w:val="auto"/>
        </w:rPr>
        <w:t>” means a category of Commitments and extensions of credit thereunder.</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any Issuing Bank, the Swingline Lender or any other Lender.</w:t>
      </w:r>
    </w:p>
    <w:p>
      <w:pPr>
        <w:spacing w:after="0" w:line="200" w:lineRule="exact"/>
        <w:rPr>
          <w:sz w:val="20"/>
          <w:szCs w:val="20"/>
          <w:color w:val="auto"/>
        </w:rPr>
      </w:pPr>
    </w:p>
    <w:p>
      <w:pPr>
        <w:spacing w:after="0" w:line="2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CORRA</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CORRA Rate Day</w:t>
      </w:r>
      <w:r>
        <w:rPr>
          <w:rFonts w:ascii="Times New Roman" w:cs="Times New Roman" w:eastAsia="Times New Roman" w:hAnsi="Times New Roman"/>
          <w:sz w:val="19"/>
          <w:szCs w:val="19"/>
          <w:color w:val="auto"/>
        </w:rPr>
        <w:t>”), a rate per annum equal to CORRA for the day (such day, the “</w:t>
      </w:r>
      <w:r>
        <w:rPr>
          <w:rFonts w:ascii="Times New Roman" w:cs="Times New Roman" w:eastAsia="Times New Roman" w:hAnsi="Times New Roman"/>
          <w:sz w:val="19"/>
          <w:szCs w:val="19"/>
          <w:u w:val="single" w:color="auto"/>
          <w:color w:val="auto"/>
        </w:rPr>
        <w:t>CORRA Determination Date</w:t>
      </w:r>
      <w:r>
        <w:rPr>
          <w:rFonts w:ascii="Times New Roman" w:cs="Times New Roman" w:eastAsia="Times New Roman" w:hAnsi="Times New Roman"/>
          <w:sz w:val="19"/>
          <w:szCs w:val="19"/>
          <w:color w:val="auto"/>
        </w:rPr>
        <w:t>”)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Company.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RFR Business Days prior to such CORRA Determination Date.</w:t>
      </w:r>
    </w:p>
    <w:p>
      <w:pPr>
        <w:spacing w:after="0" w:line="19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for any RFR Loan denominated in (i) Pounds Sterling, SONIA for the day that is five (5) RFR Business Days prior to (A) if such RFR Interest Day is an RFR Business Day, such RFR Interest Day or (B) if such RFR Interest Day is not an RFR Business Day, the RFR Business Day immediately preceding such RFR Interest Day, (ii) Dollars, Daily Simple SOFR (following a Benchmark Transition Event and a Benchmark Replacement Date with respect to the Term SOFR Rate) and (iii) Canadian Dollars, Daily Simple CORRA (following a Benchmark Transition Event and a Benchmark Replacement Date with respect to Term CORRA).</w:t>
      </w:r>
    </w:p>
    <w:p>
      <w:pPr>
        <w:spacing w:after="0" w:line="21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(such date, a “</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 If by 5:00 p.m. (New York City time) on the second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21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129" w:right="339" w:bottom="1440" w:gutter="0" w:footer="0" w:header="0"/>
        </w:sectPr>
      </w:pPr>
    </w:p>
    <w:bookmarkStart w:id="26" w:name="page27"/>
    <w:bookmarkEnd w:id="26"/>
    <w:p>
      <w:pPr>
        <w:jc w:val="both"/>
        <w:spacing w:after="0" w:line="250" w:lineRule="auto"/>
        <w:rPr>
          <w:sz w:val="20"/>
          <w:szCs w:val="20"/>
          <w:color w:val="auto"/>
        </w:rPr>
      </w:pPr>
      <w:r>
        <w:rPr>
          <w:rFonts w:ascii="Times New Roman" w:cs="Times New Roman" w:eastAsia="Times New Roman" w:hAnsi="Times New Roman"/>
          <w:sz w:val="20"/>
          <w:szCs w:val="20"/>
          <w:color w:val="auto"/>
        </w:rPr>
        <w:t>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Obligations</w:t>
      </w:r>
      <w:r>
        <w:rPr>
          <w:rFonts w:ascii="Times New Roman" w:cs="Times New Roman" w:eastAsia="Times New Roman" w:hAnsi="Times New Roman"/>
          <w:sz w:val="20"/>
          <w:szCs w:val="20"/>
          <w:color w:val="auto"/>
        </w:rPr>
        <w:t>” means all obligations of the Borrowers with respect to (a) principal of and interest on the Revolving Loans, (b) participations in Swingline Loans funded by the Revolving Lenders, (c) unreimbursed LC Disbursements and interest thereon and (d) all commitment fees and Letter of Credit participation fees.</w:t>
      </w:r>
    </w:p>
    <w:p>
      <w:pPr>
        <w:spacing w:after="0" w:line="2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Disinterested Director</w:t>
      </w:r>
      <w:r>
        <w:rPr>
          <w:rFonts w:ascii="Times New Roman" w:cs="Times New Roman" w:eastAsia="Times New Roman" w:hAnsi="Times New Roman"/>
          <w:sz w:val="20"/>
          <w:szCs w:val="20"/>
          <w:color w:val="auto"/>
        </w:rPr>
        <w:t>” means, with respect to any Person and transaction, a member of the board of directors (or similar governing body) of such Person who does not have any direct or indirect material financial interest in or with respect to such transaction. It is understood and agreed that no such Person shall be deemed to have an indirect material financial interest if such Person would not be deemed to have an “indirect material interest” within the meaning of Item 404(a) of Regulation S-K.</w:t>
      </w:r>
    </w:p>
    <w:p>
      <w:pPr>
        <w:spacing w:after="0" w:line="19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with respect to any property, any sale, lease, sale and leaseback, assignment, conveyance, transfer or other disposition thereof. The terms “Dispose” and “Disposed of” shall have correlative meanings.</w:t>
      </w:r>
    </w:p>
    <w:p>
      <w:pPr>
        <w:spacing w:after="0" w:line="17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Institution</w:t>
      </w:r>
      <w:r>
        <w:rPr>
          <w:rFonts w:ascii="Times New Roman" w:cs="Times New Roman" w:eastAsia="Times New Roman" w:hAnsi="Times New Roman"/>
          <w:sz w:val="19"/>
          <w:szCs w:val="19"/>
          <w:color w:val="auto"/>
        </w:rPr>
        <w:t>” means, on any date, (a) any Competitor or any other Person designated by the Company as a “Disqualified Institution” by written notice delivered to the Administrative Agent in accordance with Section 9.01 on or prior to the date hereof and (b) any other Person that directly competes with the Company and its Subsidiaries in a principal line of business of the Company and its Subsidiaries, considered as a whole, which Person has been designated by the Company as a “Disqualified Institution” by written notice to the Administrative Agent in accordance with Section 9.01 (including by posting such notice to an Approved Electronic Platform) not less than five (5) Business Days prior to such date. It is understood and agreed that (i) any supplement to the list of Persons that are Disqualified Institutions contemplated by the foregoing clause (b) shall not apply retroactively to disqualify any Persons that have a pending or previously acquired assignment or participation interest in the Loans (but solely with respect to such Loans), (ii) the Administrative Agent shall have no responsibility or liability to determine or monitor whether any Lender or potential Lender is a Disqualified Institution, (iii) the Company’s failure to deliver such list (or supplement thereto) in accordance with Section 9.01 shall render such list (or supplement) not received and not effective and (iv) “Disqualified Institution” shall exclude any Person that the Company has designated as no longer being a “Disqualified Institution” by written notice delivered to the Administrative Agent from time to time in accordance with Section 9.01.</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has the meaning assigned to such term in Section 9.04(e)(iv).</w:t>
      </w:r>
    </w:p>
    <w:p>
      <w:pPr>
        <w:spacing w:after="0" w:line="25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Amount</w:t>
      </w:r>
      <w:r>
        <w:rPr>
          <w:rFonts w:ascii="Times New Roman" w:cs="Times New Roman" w:eastAsia="Times New Roman" w:hAnsi="Times New Roman"/>
          <w:sz w:val="20"/>
          <w:szCs w:val="20"/>
          <w:color w:val="auto"/>
        </w:rPr>
        <w:t>” of any currency means, at the time of determination thereof, (a) if such amount is expressed in Dollars, such amount, (b) if such amount is expressed in a Foreign Currency, the equivalent of such amount in Dollars determined by using the rate of exchange for the purchase of the Dollars with such Foreign Currency in the London foreign exchange market at or about 11:00 a.m. London time (or New York time, as applicable) on a particular day as displayed by ICE Data Services as the “ask price”, or as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886"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20"/>
          <w:szCs w:val="20"/>
          <w:color w:val="auto"/>
        </w:rPr>
        <w:t>displayed on such other information service which publishes that rate of exchange from time to time in place of ICE Data Services (or if such service ceases to be available, the equivalent of such amount in Dollars as determined by the Administrative Agent, in consultation with the Company, using any method of determination it deems reasonably appropriate) and (c) if such amount is denominated in any other currency, the equivalent of such amount in Dollars as determined by the Administrative Agent, in consultation with the Company, using any method of determination it deems reasonably appropriate.</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Swingline Loan</w:t>
      </w:r>
      <w:r>
        <w:rPr>
          <w:rFonts w:ascii="Times New Roman" w:cs="Times New Roman" w:eastAsia="Times New Roman" w:hAnsi="Times New Roman"/>
          <w:sz w:val="20"/>
          <w:szCs w:val="20"/>
          <w:color w:val="auto"/>
        </w:rPr>
        <w:t>” means a Loan made to a Borrower in Dollars pursuant to Section 2.05.</w:t>
      </w:r>
    </w:p>
    <w:p>
      <w:pPr>
        <w:spacing w:after="0" w:line="25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Swingline Rate</w:t>
      </w:r>
      <w:r>
        <w:rPr>
          <w:rFonts w:ascii="Times New Roman" w:cs="Times New Roman" w:eastAsia="Times New Roman" w:hAnsi="Times New Roman"/>
          <w:sz w:val="20"/>
          <w:szCs w:val="20"/>
          <w:color w:val="auto"/>
        </w:rPr>
        <w:t xml:space="preserve">” means, with respect to any Dollar Swingline Loan, a rate in respect of such Dollar Swingline Loan that is agreed upon by the Company and the Swingline Lender (it being understood and agreed that if a Dollar Swingline Rate cannot be so agreed upon by the Company and the Swingline Lender in respect of such Dollar Swingline Loan, then, at the Company’s election, either (i) the “Dollar Swingline Rate” for such Dollar Swingline Loan shall be equal to the Alternate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Spread for ABR Borrowings or (ii) the request for such Dollar Swingline Loan made by the applicable Borrower shall be deemed automatically terminated and cancelled and of no further force or effect).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5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Assets</w:t>
      </w:r>
      <w:r>
        <w:rPr>
          <w:rFonts w:ascii="Times New Roman" w:cs="Times New Roman" w:eastAsia="Times New Roman" w:hAnsi="Times New Roman"/>
          <w:sz w:val="20"/>
          <w:szCs w:val="20"/>
          <w:color w:val="auto"/>
        </w:rPr>
        <w:t>” means the assets of the Company and any Domestic Subsidiary, wherever located, and the assets of any Foreign Subsidiary located or domiciled in any jurisdiction within the United States.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a jurisdiction located in the United States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America.</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 Borrower</w:t>
      </w:r>
      <w:r>
        <w:rPr>
          <w:rFonts w:ascii="Times New Roman" w:cs="Times New Roman" w:eastAsia="Times New Roman" w:hAnsi="Times New Roman"/>
          <w:sz w:val="20"/>
          <w:szCs w:val="20"/>
          <w:color w:val="auto"/>
        </w:rPr>
        <w:t>” means any Borrower which is a Domestic Subsidiary.</w:t>
      </w:r>
    </w:p>
    <w:p>
      <w:pPr>
        <w:spacing w:after="0" w:line="25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200"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5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date on which the conditions specified in Section 4.01 are satisfied.</w:t>
      </w:r>
    </w:p>
    <w:p>
      <w:pPr>
        <w:spacing w:after="0" w:line="25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886" w:right="339" w:bottom="1440" w:gutter="0" w:footer="0" w:header="0"/>
        </w:sectPr>
      </w:pPr>
    </w:p>
    <w:bookmarkStart w:id="28" w:name="page29"/>
    <w:bookmarkEnd w:id="28"/>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Foreign Jurisdiction</w:t>
      </w:r>
      <w:r>
        <w:rPr>
          <w:rFonts w:ascii="Times New Roman" w:cs="Times New Roman" w:eastAsia="Times New Roman" w:hAnsi="Times New Roman"/>
          <w:sz w:val="20"/>
          <w:szCs w:val="20"/>
          <w:color w:val="auto"/>
        </w:rPr>
        <w:t>” means Canada and any other jurisdiction that is approved from time to time by the Administrative Agent and each of the Global Tranche Lenders.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Subsidiary</w:t>
      </w:r>
      <w:r>
        <w:rPr>
          <w:rFonts w:ascii="Times New Roman" w:cs="Times New Roman" w:eastAsia="Times New Roman" w:hAnsi="Times New Roman"/>
          <w:sz w:val="20"/>
          <w:szCs w:val="20"/>
          <w:color w:val="auto"/>
        </w:rPr>
        <w:t>” means (i) the Initial Subsidiary Borrowers, (ii) any Domestic Subsidiary, (iii) any Subsidiary organized under the laws of an Eligible Foreign Jurisdiction and (iv) any other Subsidiary that is approved from time to time by the Administrative Agent and each of the Global Tranche Lenders (each such approval not to be unreasonably withheld or delayed).</w:t>
      </w:r>
    </w:p>
    <w:p>
      <w:pPr>
        <w:spacing w:after="0" w:line="2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foreign, Federal, state, local or municipal laws, rules, orders, regulations, statutes, ordinances, codes, decrees, legally binding requirements of any Governmental Authority or requirements of law (including common law) regulating, relating to or imposing liability or standards of conduct concerning protection of human health or the environment, as now or may at any time hereafter be in effect.</w:t>
      </w:r>
    </w:p>
    <w:p>
      <w:pPr>
        <w:spacing w:after="0" w:line="19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9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with respect to a Single Employer Plan; (b) the failure to satisfy the “minimum funding standard” (as defined in Section 412 of the Code or Section 302 of ERISA), whether or not waived with respect to a Single Employer Plan; (c) the filing pursuant to Section 412(c) of the Code or Section 302(c) of ERISA of an application for a waiver of the minimum funding standard with respect to any Single Employer Plan; (d) the incurrence by the Company or any of its ERISA Affiliates of any liability under Title IV of ERISA with respect to the termination of any Single Employer Plan; (e) the receipt by the Company or any ERISA Affiliate from the PBGC or a plan administrator of any notice relating to an intention to terminate any Single Employer Plan or Single Employer Plans or to appoint a trustee to administer any Single Employer Plan; (f) the incurrence by the Company or any of its ERISA Affiliates of any liability with respect to the withdrawal or partial withdrawal of the Company or any of its ERISA Affiliates from any Single Employer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ETA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Excise Tax Act</w:t>
      </w:r>
      <w:r>
        <w:rPr>
          <w:rFonts w:ascii="Times New Roman" w:cs="Times New Roman" w:eastAsia="Times New Roman" w:hAnsi="Times New Roman"/>
          <w:sz w:val="20"/>
          <w:szCs w:val="20"/>
          <w:color w:val="auto"/>
        </w:rPr>
        <w:t xml:space="preserve"> (Canada).</w:t>
      </w:r>
    </w:p>
    <w:p>
      <w:pPr>
        <w:spacing w:after="0" w:line="26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129" w:right="339" w:bottom="1440" w:gutter="0" w:footer="0" w:header="0"/>
        </w:sectPr>
      </w:pPr>
    </w:p>
    <w:bookmarkStart w:id="29" w:name="page30"/>
    <w:bookmarkEnd w:id="29"/>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 Rate</w:t>
      </w:r>
      <w:r>
        <w:rPr>
          <w:rFonts w:ascii="Times New Roman" w:cs="Times New Roman" w:eastAsia="Times New Roman" w:hAnsi="Times New Roman"/>
          <w:sz w:val="20"/>
          <w:szCs w:val="20"/>
          <w:color w:val="auto"/>
        </w:rPr>
        <w:t>” means, with respect to any Term Benchmark Borrowing denominated in euro and for any Interest Period, the EURIBO Screen Rate, two (2) TARGET Days prior to the commencement of such Interest Period.</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 Screen Rate</w:t>
      </w:r>
      <w:r>
        <w:rPr>
          <w:rFonts w:ascii="Times New Roman" w:cs="Times New Roman" w:eastAsia="Times New Roman" w:hAnsi="Times New Roman"/>
          <w:sz w:val="20"/>
          <w:szCs w:val="20"/>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such date of determination. If such page or service ceases to be available, the Administrative Agent may specify another page or service displaying the relevant rate after consultation with the Company.</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single currency of the Participating Member States.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Swingline Loan</w:t>
      </w:r>
      <w:r>
        <w:rPr>
          <w:rFonts w:ascii="Times New Roman" w:cs="Times New Roman" w:eastAsia="Times New Roman" w:hAnsi="Times New Roman"/>
          <w:sz w:val="20"/>
          <w:szCs w:val="20"/>
          <w:color w:val="auto"/>
        </w:rPr>
        <w:t>” means a Loan made to a Borrower in euro pursuant to Section 2.05.</w:t>
      </w:r>
    </w:p>
    <w:p>
      <w:pPr>
        <w:spacing w:after="0" w:line="25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Swingline Rate</w:t>
      </w:r>
      <w:r>
        <w:rPr>
          <w:rFonts w:ascii="Times New Roman" w:cs="Times New Roman" w:eastAsia="Times New Roman" w:hAnsi="Times New Roman"/>
          <w:sz w:val="20"/>
          <w:szCs w:val="20"/>
          <w:color w:val="auto"/>
        </w:rPr>
        <w:t>” means, with respect to any euro Swingline Loan, a rate in respect of such euro Swingline Loan that is agreed upon by the Company and the Swingline Lender (it being understood and agreed that if a euro Swingline Rate cannot be so agreed upon by the Company and the Swingline Lender in respect of such euro Swingline Loan, then the request for such euro Swingline Loan made by the applicable Borrower shall be deemed automatically terminated and cancelled and of no further force or effect).</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Domestic Subsidiary</w:t>
      </w:r>
      <w:r>
        <w:rPr>
          <w:rFonts w:ascii="Times New Roman" w:cs="Times New Roman" w:eastAsia="Times New Roman" w:hAnsi="Times New Roman"/>
          <w:sz w:val="20"/>
          <w:szCs w:val="20"/>
          <w:color w:val="auto"/>
        </w:rPr>
        <w:t xml:space="preserve">” means (i) any Receivables Subsidiary, (ii) each Domestic Subsidiary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xml:space="preserve"> and (iii) the Charitable Foundation.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Entities</w:t>
      </w:r>
      <w:r>
        <w:rPr>
          <w:rFonts w:ascii="Times New Roman" w:cs="Times New Roman" w:eastAsia="Times New Roman" w:hAnsi="Times New Roman"/>
          <w:sz w:val="20"/>
          <w:szCs w:val="20"/>
          <w:color w:val="auto"/>
        </w:rPr>
        <w:t>” means each of (i) Bonnie and (ii) Laketon.</w:t>
      </w:r>
    </w:p>
    <w:p>
      <w:pPr>
        <w:spacing w:after="0" w:line="25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20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886"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20"/>
          <w:szCs w:val="20"/>
          <w:color w:val="auto"/>
        </w:rPr>
        <w:t>Commitment or to such Lender immediately before it changed its lending office, (c) Taxes attributable to such Recipient’s failure to comply with Section 2.17(f), (d) any withholding Taxes imposed under FATCA and (e) any Canadian withholding taxes imposed on a payment of interest to such Recipient by a Canadian Borrower by reason of such Recipient not dealing at arm’s length (for purposes of the Income Tax Act (Canada)) with such Canadian Borrower at the time of payment (other than where the non-arm’s length relationship arises as a result of such Recipient having executed, delivered, become a party to, performed its obligations under, received payments under, received or perfected a security interest under, or enforced its rights under, any Loan Document).</w:t>
      </w:r>
    </w:p>
    <w:p>
      <w:pPr>
        <w:spacing w:after="0" w:line="21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Exclusive Agency and Marketing Agreement</w:t>
      </w:r>
      <w:r>
        <w:rPr>
          <w:rFonts w:ascii="Times New Roman" w:cs="Times New Roman" w:eastAsia="Times New Roman" w:hAnsi="Times New Roman"/>
          <w:sz w:val="20"/>
          <w:szCs w:val="20"/>
          <w:color w:val="auto"/>
        </w:rPr>
        <w:t>” means the Third Amended and Restated Exclusive Agency and Marketing Agreement, dated as of August 1, 2019, by and between Monsanto Company and The Scotts Company LLC, as the same may be amended, modified, restated, extended, renewed or replaced from time to time.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is defined in the recitals hereof.</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has the meaning assigned to such term in Section 2.06(a).</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Revolving Loans</w:t>
      </w:r>
      <w:r>
        <w:rPr>
          <w:rFonts w:ascii="Times New Roman" w:cs="Times New Roman" w:eastAsia="Times New Roman" w:hAnsi="Times New Roman"/>
          <w:sz w:val="20"/>
          <w:szCs w:val="20"/>
          <w:color w:val="auto"/>
        </w:rPr>
        <w:t>” has the meaning assigned to such term in Section 2.01(a).</w:t>
      </w:r>
    </w:p>
    <w:p>
      <w:pPr>
        <w:spacing w:after="0" w:line="24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Senior Notes Indentures</w:t>
      </w:r>
      <w:r>
        <w:rPr>
          <w:rFonts w:ascii="Times New Roman" w:cs="Times New Roman" w:eastAsia="Times New Roman" w:hAnsi="Times New Roman"/>
          <w:sz w:val="20"/>
          <w:szCs w:val="20"/>
          <w:color w:val="auto"/>
        </w:rPr>
        <w:t>” means, collectively, (i) the 4.000% Indenture, (ii) the 4.375% Indenture, (iii) the 4.500% Indenture and (iv) the 5.250% Indenture.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Senior Notes</w:t>
      </w:r>
      <w:r>
        <w:rPr>
          <w:rFonts w:ascii="Times New Roman" w:cs="Times New Roman" w:eastAsia="Times New Roman" w:hAnsi="Times New Roman"/>
          <w:sz w:val="20"/>
          <w:szCs w:val="20"/>
          <w:color w:val="auto"/>
        </w:rPr>
        <w:t>” means, collectively, (i) the Company’s existing $500,000,000 aggregate principal amount of 4.000% senior notes issued under the 4.000% Indenture, (ii) the Company’s existing $400,000,000 aggregate principal amount of 4.375% senior notes issued under the 4.375% Indenture, (iii) the Company’s existing $450,000,000 aggregate principal amount of 4.500% senior notes issued under the 4.500% Indenture and (iv) the Company’s existing $250,000,000 aggregate principal amount of 5.250% senior notes issued under the 5.250% Indenture.</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FRBNY based on such day’s federal funds transactions by depositary institutions (as determined in such manner as shall be set forth on the FRBNY’s Website from time to time) and published on the next succeeding Business Day by the FRBNY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21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Lease Obligations</w:t>
      </w:r>
      <w:r>
        <w:rPr>
          <w:rFonts w:ascii="Times New Roman" w:cs="Times New Roman" w:eastAsia="Times New Roman" w:hAnsi="Times New Roman"/>
          <w:sz w:val="20"/>
          <w:szCs w:val="20"/>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for the purposes of this Agreement, the amount of such obligations at any time shall be the capitalized amount thereof at such time determined in accordance with GAAP.</w:t>
      </w:r>
    </w:p>
    <w:p>
      <w:pPr>
        <w:spacing w:after="0" w:line="21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Financials</w:t>
      </w:r>
      <w:r>
        <w:rPr>
          <w:rFonts w:ascii="Times New Roman" w:cs="Times New Roman" w:eastAsia="Times New Roman" w:hAnsi="Times New Roman"/>
          <w:sz w:val="20"/>
          <w:szCs w:val="20"/>
          <w:color w:val="auto"/>
        </w:rPr>
        <w:t>” means the annual or quarterly financial statements, and accompanying certificates and other documents, of the Company and its Subsidiaries required to be delivered pursuant to Section 5.01(a) or 5.01(b).</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886" w:right="339" w:bottom="1440" w:gutter="0" w:footer="0" w:header="0"/>
        </w:sectPr>
      </w:pPr>
    </w:p>
    <w:bookmarkStart w:id="31" w:name="page32"/>
    <w:bookmarkEnd w:id="31"/>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Adjusted Term SOFR Rate, the Adjusted EURIBO Rate, the Adjusted Term CORRA Rate, each Adjusted Daily Simple RFR, the Canadian Prime Rate or the Central Bank Rate, as applicable. For the avoidance of doubt, the initial Floor for each of the Adjusted Term SOFR Rate, the Adjusted EURIBO Rate, the Adjusted Term CORRA Rate, each Adjusted Daily Simple RFR, the Canadian Prime Rate or the Central Bank Rate shall be zero.</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Borrower Sublimit</w:t>
      </w:r>
      <w:r>
        <w:rPr>
          <w:rFonts w:ascii="Times New Roman" w:cs="Times New Roman" w:eastAsia="Times New Roman" w:hAnsi="Times New Roman"/>
          <w:sz w:val="20"/>
          <w:szCs w:val="20"/>
          <w:color w:val="auto"/>
        </w:rPr>
        <w:t>” means $350,000,000.</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Currencies</w:t>
      </w:r>
      <w:r>
        <w:rPr>
          <w:rFonts w:ascii="Times New Roman" w:cs="Times New Roman" w:eastAsia="Times New Roman" w:hAnsi="Times New Roman"/>
          <w:sz w:val="20"/>
          <w:szCs w:val="20"/>
          <w:color w:val="auto"/>
        </w:rPr>
        <w:t>” means Agreed Currencies other than Dollars.</w:t>
      </w:r>
    </w:p>
    <w:p>
      <w:pPr>
        <w:spacing w:after="0" w:line="243"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LC Exposure</w:t>
      </w:r>
      <w:r>
        <w:rPr>
          <w:rFonts w:ascii="Times New Roman" w:cs="Times New Roman" w:eastAsia="Times New Roman" w:hAnsi="Times New Roman"/>
          <w:sz w:val="20"/>
          <w:szCs w:val="20"/>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Letter of Credit</w:t>
      </w:r>
      <w:r>
        <w:rPr>
          <w:rFonts w:ascii="Times New Roman" w:cs="Times New Roman" w:eastAsia="Times New Roman" w:hAnsi="Times New Roman"/>
          <w:sz w:val="20"/>
          <w:szCs w:val="20"/>
          <w:color w:val="auto"/>
        </w:rPr>
        <w:t>” means a Global Tranche Letter of Credit denominated in a Foreign Currency.</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Payment Office</w:t>
      </w:r>
      <w:r>
        <w:rPr>
          <w:rFonts w:ascii="Times New Roman" w:cs="Times New Roman" w:eastAsia="Times New Roman" w:hAnsi="Times New Roman"/>
          <w:sz w:val="20"/>
          <w:szCs w:val="20"/>
          <w:color w:val="auto"/>
        </w:rPr>
        <w:t>” of the Administrative Agent means, for each Foreign Currency, the office, branch, affiliate or correspondent bank of the Administrative Agent for such currency as specified from time to time by the Administrative Agent to the Company and each Lender.</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Sublimit</w:t>
      </w:r>
      <w:r>
        <w:rPr>
          <w:rFonts w:ascii="Times New Roman" w:cs="Times New Roman" w:eastAsia="Times New Roman" w:hAnsi="Times New Roman"/>
          <w:sz w:val="20"/>
          <w:szCs w:val="20"/>
          <w:color w:val="auto"/>
        </w:rPr>
        <w:t>” means $350,000,000.</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w:t>
      </w:r>
    </w:p>
    <w:p>
      <w:pPr>
        <w:spacing w:after="0" w:line="2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means each employee benefit plan (within the meaning of Section 3(3) of ERISA, whether or not subject to ERISA) that is not subject to the laws of the United States of America and is maintained or contributed to by the Company, any Subsidiary Borrower or any Commonly Controlled Entity.</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 Event</w:t>
      </w:r>
      <w:r>
        <w:rPr>
          <w:rFonts w:ascii="Times New Roman" w:cs="Times New Roman" w:eastAsia="Times New Roman" w:hAnsi="Times New Roman"/>
          <w:sz w:val="20"/>
          <w:szCs w:val="20"/>
          <w:color w:val="auto"/>
        </w:rPr>
        <w:t>” means, with respect to any Foreign Plan, (a) the failure to make or, if applicable, accrue in accordance with normal accounting practices, any employer or employee contributions required by applicable law or by the terms of such Foreign Plan;</w:t>
      </w:r>
    </w:p>
    <w:p>
      <w:pPr>
        <w:spacing w:after="0" w:line="1"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register or loss of good standing with applicable regulatory authorities of any such Foreign Plan required to be registered; or</w:t>
      </w:r>
    </w:p>
    <w:p>
      <w:pPr>
        <w:spacing w:after="0" w:line="17"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Foreign Plan to comply with any material provisions of applicable law and regulations or with the material terms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Foreign Plan.</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Pledge Agreements</w:t>
      </w:r>
      <w:r>
        <w:rPr>
          <w:rFonts w:ascii="Times New Roman" w:cs="Times New Roman" w:eastAsia="Times New Roman" w:hAnsi="Times New Roman"/>
          <w:sz w:val="20"/>
          <w:szCs w:val="20"/>
          <w:color w:val="auto"/>
        </w:rPr>
        <w:t>” means each pledge agreement, charge or collateral security instrument creating a security interest in the Capital Stock of the Foreign Subsidiary Borrowers and certain other first-tier Foreign Subsidiaries of the Company, in each case, in form and substance reasonably satisfactory to the Administrative Agent, as such agreements may be amended, supplemented or otherwise modified from time to time.</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Borrower</w:t>
      </w:r>
      <w:r>
        <w:rPr>
          <w:rFonts w:ascii="Times New Roman" w:cs="Times New Roman" w:eastAsia="Times New Roman" w:hAnsi="Times New Roman"/>
          <w:sz w:val="20"/>
          <w:szCs w:val="20"/>
          <w:color w:val="auto"/>
        </w:rPr>
        <w:t>” means any Borrower which is a Foreign Subsidiary.</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FRBNY</w:t>
      </w:r>
      <w:r>
        <w:rPr>
          <w:rFonts w:ascii="Times New Roman" w:cs="Times New Roman" w:eastAsia="Times New Roman" w:hAnsi="Times New Roman"/>
          <w:sz w:val="20"/>
          <w:szCs w:val="20"/>
          <w:color w:val="auto"/>
        </w:rPr>
        <w:t>” means the Federal Reserve Bank of New York.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129" w:right="339" w:bottom="1440" w:gutter="0" w:footer="0" w:header="0"/>
        </w:sectPr>
      </w:pPr>
    </w:p>
    <w:bookmarkStart w:id="32" w:name="page33"/>
    <w:bookmarkEnd w:id="32"/>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FRBNY Rate</w:t>
      </w:r>
      <w:r>
        <w:rPr>
          <w:rFonts w:ascii="Times New Roman" w:cs="Times New Roman" w:eastAsia="Times New Roman" w:hAnsi="Times New Roman"/>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“FRBNY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of the aforesaid rates as so determined would be less than zero, such rate shall be deemed to be zero for purposes of this Agreement.</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FRBNY’s Website</w:t>
      </w:r>
      <w:r>
        <w:rPr>
          <w:rFonts w:ascii="Times New Roman" w:cs="Times New Roman" w:eastAsia="Times New Roman" w:hAnsi="Times New Roman"/>
          <w:sz w:val="20"/>
          <w:szCs w:val="20"/>
          <w:color w:val="auto"/>
        </w:rPr>
        <w:t>” means the website of the FRBNY at http://www.newyorkfed.org, or any successor source.</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Full Security Period</w:t>
      </w:r>
      <w:r>
        <w:rPr>
          <w:rFonts w:ascii="Times New Roman" w:cs="Times New Roman" w:eastAsia="Times New Roman" w:hAnsi="Times New Roman"/>
          <w:sz w:val="20"/>
          <w:szCs w:val="20"/>
          <w:color w:val="auto"/>
        </w:rPr>
        <w:t>” shall have the meaning specified in the Guarantee and Collateral Agreement.</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4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Tranche Commitment</w:t>
      </w:r>
      <w:r>
        <w:rPr>
          <w:rFonts w:ascii="Times New Roman" w:cs="Times New Roman" w:eastAsia="Times New Roman" w:hAnsi="Times New Roman"/>
          <w:sz w:val="20"/>
          <w:szCs w:val="20"/>
          <w:color w:val="auto"/>
        </w:rPr>
        <w:t xml:space="preserve">” means, with respect to each Global Tranche Lender, the commitment of such Global Tranche Lender to make Global Tranche Revolving Loans and to acquire participations in Global Tranche Letters of Credit and Swingline Loans hereunder, as such commitment may be (a) reduced or terminated from time to time pursuant to Section 2.09, (b) increased or assumed from time to time pursuant to an Incremental Facility Agreement pursuant to Section 2.20 and (c) reduced or increased from time to time pursuant to assignments by or to such Lender pursuant to Section 9.04. The initial amount of each Global Tranche Lender’s Global Tranche Commitment is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or in the Assignment and Assumption (or other documentation contemplated by this Agreement) pursuant to which such Global Tranche Lender shall have assumed its Global Tranche Commitment, as applicable. The aggregate principal amount of the Global Tranche Commitments on the Effective Date is $1,409,775,000.00.</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Tranche LC Exposure</w:t>
      </w:r>
      <w:r>
        <w:rPr>
          <w:rFonts w:ascii="Times New Roman" w:cs="Times New Roman" w:eastAsia="Times New Roman" w:hAnsi="Times New Roman"/>
          <w:sz w:val="20"/>
          <w:szCs w:val="20"/>
          <w:color w:val="auto"/>
        </w:rPr>
        <w:t>” means, at any time, the sum of (a) the aggregate undrawn Dollar Amount of all outstanding Global Tranche Letters of Credit at such time plus (b) the aggregate Dollar Amount of all LC Disbursements in respect of Global Tranche Letters of Credit that have not yet been reimbursed by or on behalf of the Company at such time. The Global Tranche LC Exposure of any Global Tranche Lender at any time shall be its Global Tranche Percentage of the total Global Tranche LC Exposure at such time.</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Global Tranche Lender</w:t>
      </w:r>
      <w:r>
        <w:rPr>
          <w:rFonts w:ascii="Times New Roman" w:cs="Times New Roman" w:eastAsia="Times New Roman" w:hAnsi="Times New Roman"/>
          <w:sz w:val="19"/>
          <w:szCs w:val="19"/>
          <w:color w:val="auto"/>
        </w:rPr>
        <w:t>” means a Lender with a Global Tranche Commitment or holding Global Tranche Revolving Loans.</w:t>
      </w: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Tranche Letter of Credit</w:t>
      </w:r>
      <w:r>
        <w:rPr>
          <w:rFonts w:ascii="Times New Roman" w:cs="Times New Roman" w:eastAsia="Times New Roman" w:hAnsi="Times New Roman"/>
          <w:sz w:val="20"/>
          <w:szCs w:val="20"/>
          <w:color w:val="auto"/>
        </w:rPr>
        <w:t>” means any letter of credit issued under the Global Tranche Commitments pursuant to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2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Tranche Percentage</w:t>
      </w:r>
      <w:r>
        <w:rPr>
          <w:rFonts w:ascii="Times New Roman" w:cs="Times New Roman" w:eastAsia="Times New Roman" w:hAnsi="Times New Roman"/>
          <w:sz w:val="20"/>
          <w:szCs w:val="20"/>
          <w:color w:val="auto"/>
        </w:rPr>
        <w:t xml:space="preserve">” means the percentage equal to a fraction the numerator of which is such Lender’s Global Tranche Commitment and the denominator of which is the aggregate Global Tranche Commitments of all Global Tranche Lenders (if the Global Tranche Commitments have terminated or expired, the Global Tranche Percentages shall be determined based upon the Global Tranche Commitments most recently in effect, giving effect to any assignments);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Section 2.22 when a Defaulting Lender shall exist, any such Defaulting Lender’s Global Tranche Commitment shall be disregarded in the calculation.</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Tranche Revolving Borrowing</w:t>
      </w:r>
      <w:r>
        <w:rPr>
          <w:rFonts w:ascii="Times New Roman" w:cs="Times New Roman" w:eastAsia="Times New Roman" w:hAnsi="Times New Roman"/>
          <w:sz w:val="20"/>
          <w:szCs w:val="20"/>
          <w:color w:val="auto"/>
        </w:rPr>
        <w:t>” means a Borrowing comprised of Global Tranche Revolving Loans.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129" w:right="339" w:bottom="1440" w:gutter="0" w:footer="0" w:header="0"/>
        </w:sectPr>
      </w:pPr>
    </w:p>
    <w:bookmarkStart w:id="33" w:name="page34"/>
    <w:bookmarkEnd w:id="33"/>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Tranche Revolving Credit Exposure</w:t>
      </w:r>
      <w:r>
        <w:rPr>
          <w:rFonts w:ascii="Times New Roman" w:cs="Times New Roman" w:eastAsia="Times New Roman" w:hAnsi="Times New Roman"/>
          <w:sz w:val="20"/>
          <w:szCs w:val="20"/>
          <w:color w:val="auto"/>
        </w:rPr>
        <w:t>” means, with respect to any Global Tranche Lender at any time, and without duplication, the sum of the outstanding principal amount of such Global Tranche Lender’s Global Tranche Revolving Loans and its Global Tranche LC Exposure and its Swingline Exposure at such time.</w:t>
      </w:r>
    </w:p>
    <w:p>
      <w:pPr>
        <w:spacing w:after="0" w:line="208"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Global Tranche Revolving Loan</w:t>
      </w:r>
      <w:r>
        <w:rPr>
          <w:rFonts w:ascii="Times New Roman" w:cs="Times New Roman" w:eastAsia="Times New Roman" w:hAnsi="Times New Roman"/>
          <w:sz w:val="19"/>
          <w:szCs w:val="19"/>
          <w:color w:val="auto"/>
        </w:rPr>
        <w:t>” means a Loan made by a Global Tranche Lender pursuant to Section 2.01(b). Each Global Tranche Revolving Loan shall be a Term Benchmark Loan denominated in an Agreed Currency or an ABR Loan denominated in Dollars.</w:t>
      </w:r>
    </w:p>
    <w:p>
      <w:pPr>
        <w:spacing w:after="0" w:line="17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any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spacing w:after="0" w:line="20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GST/HST</w:t>
      </w:r>
      <w:r>
        <w:rPr>
          <w:rFonts w:ascii="Times New Roman" w:cs="Times New Roman" w:eastAsia="Times New Roman" w:hAnsi="Times New Roman"/>
          <w:sz w:val="20"/>
          <w:szCs w:val="20"/>
          <w:color w:val="auto"/>
        </w:rPr>
        <w:t>” means all taxes payable under Part IX of the ETA (including where applicable both the federal and provincial portion of those taxes) or under any Canadian provincial legislation imposed a similar value added or multi-staged tax.</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payment obligation of any other Person (the “</w:t>
      </w:r>
      <w:r>
        <w:rPr>
          <w:rFonts w:ascii="Times New Roman" w:cs="Times New Roman" w:eastAsia="Times New Roman" w:hAnsi="Times New Roman"/>
          <w:sz w:val="20"/>
          <w:szCs w:val="20"/>
          <w:u w:val="single" w:color="auto"/>
          <w:color w:val="auto"/>
        </w:rPr>
        <w:t>primary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payment obligation or to purchase (or to advance or supply funds for the purchase of) any security for the payment thereof, (b) to purchase or lease property, securities or services for the purpose of assuring the owner of such Indebtedness or other payment obligation of the payment thereof, (c) to maintain working capital, equity capital or any other financial statement condition or liquidity of the primary obligor so as to enable the primary obligor to pay such Indebtedness or other payment obligation or (d) as an account party in respect of any letter of credit or letter of guaranty issued to support such Indebtedness or payment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 “Guarantee” shall not include endorsements for collection or deposit, in either case, in the ordinary course of business.</w:t>
      </w:r>
    </w:p>
    <w:p>
      <w:pPr>
        <w:spacing w:after="0" w:line="223"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and Collateral Agreement</w:t>
      </w:r>
      <w:r>
        <w:rPr>
          <w:rFonts w:ascii="Times New Roman" w:cs="Times New Roman" w:eastAsia="Times New Roman" w:hAnsi="Times New Roman"/>
          <w:sz w:val="19"/>
          <w:szCs w:val="19"/>
          <w:color w:val="auto"/>
        </w:rPr>
        <w:t xml:space="preserve">” means that certain Seventh Amended and Restated Guarantee and Collateral Agreement (including any and all supplements thereto), dated as of the date hereof, among the Company, the Domestic Subsidiary Borrowers, the Subsidiary Guarantors and the Administrative Agent, for the benefit of the Administrative Agent and the other Secured Parties, substantially in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as the same may be amended, restated, supplemented or otherwise modified from time to time.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any explosive or radioactive substance or waste and any hazardous or toxic substance, waste or other pollutant, including petroleum or petroleum distillates, asbestos or asbestos containing materials, polychlorinated biphenyls, radon gas, infectious or medical wastes and any other substances or wastes of any nature regulated pursuant to any Environmental Law.</w:t>
      </w:r>
    </w:p>
    <w:p>
      <w:pPr>
        <w:spacing w:after="0" w:line="2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Agreements</w:t>
      </w:r>
      <w:r>
        <w:rPr>
          <w:rFonts w:ascii="Times New Roman" w:cs="Times New Roman" w:eastAsia="Times New Roman" w:hAnsi="Times New Roman"/>
          <w:sz w:val="20"/>
          <w:szCs w:val="20"/>
          <w:color w:val="auto"/>
        </w:rPr>
        <w:t>” means (a) any interest rate protection agreement, interest rate future, interest rate option, interest rate swap, interest rate cap, interest rate exchange (from fixed to floating rates, from one floating rate to another floating rate or otherwise) or other interest rate hedge or arrangement under which the Company is a party or a beneficiary and (b) any agreement or arrangement designed to limit or eliminate the risk and/or exposure of the Company to fluctuations in currency exchange rates or in commodity prices.</w:t>
      </w:r>
    </w:p>
    <w:p>
      <w:pPr>
        <w:spacing w:after="0" w:line="19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Lender</w:t>
      </w:r>
      <w:r>
        <w:rPr>
          <w:rFonts w:ascii="Times New Roman" w:cs="Times New Roman" w:eastAsia="Times New Roman" w:hAnsi="Times New Roman"/>
          <w:sz w:val="20"/>
          <w:szCs w:val="20"/>
          <w:color w:val="auto"/>
        </w:rPr>
        <w:t>” means any Lender or affiliate thereof which from time to time enters into a Hedging Agreement with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886" w:right="339" w:bottom="1440" w:gutter="0" w:footer="0" w:header="0"/>
        </w:sectPr>
      </w:pPr>
    </w:p>
    <w:bookmarkStart w:id="34" w:name="page35"/>
    <w:bookmarkEnd w:id="34"/>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w:t>
      </w:r>
      <w:r>
        <w:rPr>
          <w:rFonts w:ascii="Times New Roman" w:cs="Times New Roman" w:eastAsia="Times New Roman" w:hAnsi="Times New Roman"/>
          <w:sz w:val="20"/>
          <w:szCs w:val="20"/>
          <w:color w:val="auto"/>
        </w:rPr>
        <w:t>” means The Hawthorne Gardening Company LLC, a Delaware limited liability company, a Subsidiary which is, as of the Effective Date, a Subsidiary Guarantor and a Loan Party.</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Divestiture</w:t>
      </w:r>
      <w:r>
        <w:rPr>
          <w:rFonts w:ascii="Times New Roman" w:cs="Times New Roman" w:eastAsia="Times New Roman" w:hAnsi="Times New Roman"/>
          <w:sz w:val="20"/>
          <w:szCs w:val="20"/>
          <w:color w:val="auto"/>
        </w:rPr>
        <w:t>” means the divestiture by the Company of HGC and/or its business (and/or one or more of HGC’s subsidiaries) to a third party (whether by way of a stock sale, asset sale, merger or otherwise).</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Divestiture Initial Non-Cash Consideration</w:t>
      </w:r>
      <w:r>
        <w:rPr>
          <w:rFonts w:ascii="Times New Roman" w:cs="Times New Roman" w:eastAsia="Times New Roman" w:hAnsi="Times New Roman"/>
          <w:sz w:val="20"/>
          <w:szCs w:val="20"/>
          <w:color w:val="auto"/>
        </w:rPr>
        <w:t>” means any non-cash consideration received by the Company or any of its Subsidiaries upon the consummation of the HGC Divestiture.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Divestiture Subsequent Non-Cash Consideration</w:t>
      </w:r>
      <w:r>
        <w:rPr>
          <w:rFonts w:ascii="Times New Roman" w:cs="Times New Roman" w:eastAsia="Times New Roman" w:hAnsi="Times New Roman"/>
          <w:sz w:val="20"/>
          <w:szCs w:val="20"/>
          <w:color w:val="auto"/>
        </w:rPr>
        <w:t>” means any non-cash consideration received by the Company or any of its Subsidiaries from a third party entity as consideration from the Disposition of the HGC Divestiture Initial Non-Cash Consideration to such third party entity.</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w:t>
      </w:r>
      <w:r>
        <w:rPr>
          <w:rFonts w:ascii="Times New Roman" w:cs="Times New Roman" w:eastAsia="Times New Roman" w:hAnsi="Times New Roman"/>
          <w:sz w:val="20"/>
          <w:szCs w:val="20"/>
          <w:color w:val="auto"/>
        </w:rPr>
        <w:t>” means an Incremental Revolving Commitment or an Incremental Term Loan Commitment.</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Notes</w:t>
      </w:r>
      <w:r>
        <w:rPr>
          <w:rFonts w:ascii="Times New Roman" w:cs="Times New Roman" w:eastAsia="Times New Roman" w:hAnsi="Times New Roman"/>
          <w:sz w:val="20"/>
          <w:szCs w:val="20"/>
          <w:color w:val="auto"/>
        </w:rPr>
        <w:t>” has the meaning assigned to such term in Section 6.05(n).</w:t>
      </w:r>
    </w:p>
    <w:p>
      <w:pPr>
        <w:spacing w:after="0" w:line="25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Agreement</w:t>
      </w:r>
      <w:r>
        <w:rPr>
          <w:rFonts w:ascii="Times New Roman" w:cs="Times New Roman" w:eastAsia="Times New Roman" w:hAnsi="Times New Roman"/>
          <w:sz w:val="20"/>
          <w:szCs w:val="20"/>
          <w:color w:val="auto"/>
        </w:rPr>
        <w:t>” means an Incremental Facility Agreement, in form and substance reasonably satisfactory to the Administrative Agent, among the Company, the Subsidiary Borrowers, if any, the Administrative Agent and one or more Incremental Lenders, establishing Incremental Term Loan Commitments of any Series or Incremental Revolving Commitments and effecting such other amendments hereto and to the other Loan Documents as are contemplated by Section 2.20.</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means an Incremental Revolving Lender or an Incremental Term Lender.</w:t>
      </w:r>
    </w:p>
    <w:p>
      <w:pPr>
        <w:spacing w:after="0" w:line="25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means, with respect to any Lender, the commitment, if any, of such Lender, established pursuant to an Incremental Facility Agreement and Section 2.20, to make Revolving Loans and to acquire participations in Letters of Credit and Swingline Loans (in each case in respect of Global Tranche Commitments or US Tranche Commitments, as applicable, as set forth in the Incremental Facility Agreement) hereunder, expressed as an amount representing the maximum aggregate permitted amount of such Lender’s Revolving Credit Exposure under such Incremental Facility Agreement.</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means a Lender with an Incremental Revolving Commitment.</w:t>
      </w:r>
    </w:p>
    <w:p>
      <w:pPr>
        <w:spacing w:after="0" w:line="25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means, with respect to any Lender, the commitment, if any, of such Lender, established pursuant an Incremental Facility Agreement and Section 2.20, to make Incremental Term Loans of any Series hereunder, expressed as an amount representing the maximum principal amount of the Incremental Term Loans of such Series to be made by such Lender.</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means any term loans made pursuant to Section 2.20(a).</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Lender</w:t>
      </w:r>
      <w:r>
        <w:rPr>
          <w:rFonts w:ascii="Times New Roman" w:cs="Times New Roman" w:eastAsia="Times New Roman" w:hAnsi="Times New Roman"/>
          <w:sz w:val="20"/>
          <w:szCs w:val="20"/>
          <w:color w:val="auto"/>
        </w:rPr>
        <w:t>” means a Lender with an Incremental Term Loan Commitment or an outstanding Incremental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Loan.</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Maturity Date</w:t>
      </w:r>
      <w:r>
        <w:rPr>
          <w:rFonts w:ascii="Times New Roman" w:cs="Times New Roman" w:eastAsia="Times New Roman" w:hAnsi="Times New Roman"/>
          <w:sz w:val="20"/>
          <w:szCs w:val="20"/>
          <w:color w:val="auto"/>
        </w:rPr>
        <w:t xml:space="preserve">” means, with respect to Incremental Term Loans of any Series, the earlier of (i) the scheduled date on which such Incremental Term Loans shall become due and payable in full hereunder, as specified in the applicable Incremental Facility Agreement and (ii) the Springing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each case if such date is not a Business Day, the Incremental Term Maturity Date shall be the next preceding Business Day.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886" w:right="339" w:bottom="1440" w:gutter="0" w:footer="0" w:header="0"/>
        </w:sectPr>
      </w:pPr>
    </w:p>
    <w:bookmarkStart w:id="35" w:name="page36"/>
    <w:bookmarkEnd w:id="35"/>
    <w:p>
      <w:pPr>
        <w:jc w:val="both"/>
        <w:ind w:firstLine="1296"/>
        <w:spacing w:after="0" w:line="23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in respect of any Person, at a particular date, without duplication, (a) indebtedness of such Person for borrowed money or for the deferred purchase price of property or services (including, without limitation, any such indebtedness which is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recourse to the credit of such Person but is secured by assets of such Person, but excluding current amounts payable incurred in the ordinary course of business; it being understood that current amounts payable to an intermediary in connection with an inventory management financing arrangement shall be deemed to be incurred in the ordinary course of business on and after the entry by such Person into any such arrangement), (b) obligations of such Person under leases which shall have been or should be, in accordance with GAAP, recorded as capital leases or finance leases, (c) indebtedness of such Person arising under acceptance facilities, (d) indebtedness of such Person arising under unpaid reimbursement obligations in respect of all drafts drawn under letters of credit issued for the account of such Person, (e) liabilities arising under Hedging Agreements of such Person (calculated without giving effect to any mark-to-market adjustments, including embedded derivatives contained in other debt or equity instruments under ASC 815), (f) indebtedness of such Person under any synthetic lease and (g) all Guarantees by such Person of Indebtedness of others.</w:t>
      </w:r>
    </w:p>
    <w:p>
      <w:pPr>
        <w:spacing w:after="0" w:line="2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Canadian Borrower</w:t>
      </w:r>
      <w:r>
        <w:rPr>
          <w:rFonts w:ascii="Times New Roman" w:cs="Times New Roman" w:eastAsia="Times New Roman" w:hAnsi="Times New Roman"/>
          <w:sz w:val="20"/>
          <w:szCs w:val="20"/>
          <w:color w:val="auto"/>
        </w:rPr>
        <w:t>” means Scotts Canada Ltd., a company organized under the laws of Canada.</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Domestic Subsidiary Borrowers</w:t>
      </w:r>
      <w:r>
        <w:rPr>
          <w:rFonts w:ascii="Times New Roman" w:cs="Times New Roman" w:eastAsia="Times New Roman" w:hAnsi="Times New Roman"/>
          <w:sz w:val="20"/>
          <w:szCs w:val="20"/>
          <w:color w:val="auto"/>
        </w:rPr>
        <w:t>” means (i) The Scotts Company LLC, an Ohio limited liability company, (ii) Hyponex Corporation, a Delaware corporation, (iii) Scotts Manufacturing Company, a Delaware corporation, (iv) Scotts Temecula Operations, LLC, a Delaware limited liability company and (v) SMG Growing Media LLC, an Ohio limited liability company.</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Subsidiary Borrowers</w:t>
      </w:r>
      <w:r>
        <w:rPr>
          <w:rFonts w:ascii="Times New Roman" w:cs="Times New Roman" w:eastAsia="Times New Roman" w:hAnsi="Times New Roman"/>
          <w:sz w:val="20"/>
          <w:szCs w:val="20"/>
          <w:color w:val="auto"/>
        </w:rPr>
        <w:t>” means the Initial Domestic Subsidiary Borrower and the Initial Canadian Borrower.</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shall have the meaning specified in the Guarantee and Collateral Agreement.</w:t>
      </w:r>
    </w:p>
    <w:p>
      <w:pPr>
        <w:spacing w:after="0" w:line="24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xml:space="preserve">” shall mean, as at the last day of any fiscal quarter of the Company, the ratio of (a) the sum of Consolidated Adjusted EBITDA for the four consecutive fiscal quarters ending on such day to (b) Consolidated Interest Expense for the four consecutive fiscal quarters ending on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calculation of the above ratio following any acquisition or disposition made during the four-quarter period covered by such calculation, by purchase, sale or otherwise, of all or substantially all of the business or assets of, any Person or of any line of business of any Person shall be determined on a pro forma basis without duplication as if such acquisition or disposition had occurred on the first day of the relevant period and any savings associated with such acquisition or disposition had been achieved beginning on the first day of the relevant period.</w:t>
      </w:r>
    </w:p>
    <w:p>
      <w:pPr>
        <w:spacing w:after="0" w:line="22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the applicable Borrower to convert or continue a Borrowing in accordance with Section 2.08, which shall be substantially in the form approved by the Administrative Agent and separately provided to the Company.</w:t>
      </w:r>
    </w:p>
    <w:p>
      <w:pPr>
        <w:spacing w:after="0" w:line="20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and any Swingline Loan,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Business Day after the last day of each March, June, September and December and the Maturity Date, (b) with respect to any RFR Loan, each date that is on the numerically corresponding day in each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129"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20"/>
          <w:szCs w:val="20"/>
          <w:color w:val="auto"/>
        </w:rPr>
        <w:t>calendar month that is one month after the Borrowing of such RFR Loan (or, if there is no such numerically corresponding day in such month, then the last day of such month) and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21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means with respect to any Term Benchmark Borrowing, the period commencing on the date of such Borrowing and ending on the numerically corresponding day in the calendar month that is one, three or, other than with respect to a Term Benchmark Borrowing denominated in Canadian Dollars, six months thereafter (in each case, subject to the availability for the Benchmark applicable to the relevant Loan or Commitment for any Agreed Currency), as the applicable Borrower (or the Company on behalf of the applicable 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Security Agreements</w:t>
      </w:r>
      <w:r>
        <w:rPr>
          <w:rFonts w:ascii="Times New Roman" w:cs="Times New Roman" w:eastAsia="Times New Roman" w:hAnsi="Times New Roman"/>
          <w:sz w:val="20"/>
          <w:szCs w:val="20"/>
          <w:color w:val="auto"/>
        </w:rPr>
        <w:t>” shall have the meaning specified in the Guarantee and Collateral Agreement.</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4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each of JPMorgan Chase Bank, N.A., Bank of America, N.A., Mizuho Bank, Ltd., Wells Fargo Bank, National Association, Truist Bank, PNC Bank, National Association, Capital One, N.A. and each other Lender designated by the Company as an “Issuing Bank” hereunder that has agreed to such designation (and is reasonably acceptable to the Administrative Agent), each in its capacity as the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Laketon</w:t>
      </w:r>
      <w:r>
        <w:rPr>
          <w:rFonts w:ascii="Times New Roman" w:cs="Times New Roman" w:eastAsia="Times New Roman" w:hAnsi="Times New Roman"/>
          <w:sz w:val="20"/>
          <w:szCs w:val="20"/>
          <w:color w:val="auto"/>
        </w:rPr>
        <w:t>” has the meaning assigned to it under the definition of Subsidiary.</w:t>
      </w:r>
    </w:p>
    <w:p>
      <w:pPr>
        <w:spacing w:after="0" w:line="24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as of any date of determination, the latest Maturity Date applicable to any Loans outstanding or Commitments in effect hereunder.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5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Global Tranche Lender at any time shall be its Global Tranche Percentage of the total Global Tranche LC Exposure at such time and the LC Exposure of any US Tranche Lender at any time shall be its US Tranche Percentage of the total US Tranche LC Exposure at such time. For all purposes of this Agreement, if on any date of determination a Letter of Credit has expired by its terms but any amount may still be drawn thereunder by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886" w:right="339" w:bottom="1440" w:gutter="0" w:footer="0" w:header="0"/>
        </w:sectPr>
      </w:pPr>
    </w:p>
    <w:bookmarkStart w:id="37" w:name="page38"/>
    <w:bookmarkEnd w:id="37"/>
    <w:p>
      <w:pPr>
        <w:jc w:val="both"/>
        <w:spacing w:after="0" w:line="251" w:lineRule="auto"/>
        <w:rPr>
          <w:sz w:val="20"/>
          <w:szCs w:val="20"/>
          <w:color w:val="auto"/>
        </w:rPr>
      </w:pPr>
      <w:r>
        <w:rPr>
          <w:rFonts w:ascii="Times New Roman" w:cs="Times New Roman" w:eastAsia="Times New Roman" w:hAnsi="Times New Roman"/>
          <w:sz w:val="20"/>
          <w:szCs w:val="20"/>
          <w:color w:val="auto"/>
        </w:rPr>
        <w:t>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of the Letter of Credit itself, or if compliant documents have been presented but not yet honored, such Letter of Credit shall be deemed to be “outstanding” and “undrawn” in the amount so remaining available to be paid, and the obligations of the Borrowers and each Revolving Lender shall remain in full force and effect until the Issuing Banks and the Revolving Lenders shall have no further obligations to make any payments or disbursements under any circumstances with respect to any Letter of Credit.</w:t>
      </w:r>
    </w:p>
    <w:p>
      <w:pPr>
        <w:spacing w:after="0" w:line="22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Cash Management Agreements</w:t>
      </w:r>
      <w:r>
        <w:rPr>
          <w:rFonts w:ascii="Times New Roman" w:cs="Times New Roman" w:eastAsia="Times New Roman" w:hAnsi="Times New Roman"/>
          <w:sz w:val="20"/>
          <w:szCs w:val="20"/>
          <w:color w:val="auto"/>
        </w:rPr>
        <w:t>” means all agreements providing for treasury, depositary or cash management services, including in connection with any automated clearing house transfers of funds or any similar transactions between the Company or any Subsidiary and any Lender (or any Affiliate of any Lender), including any overdraft or similar credit facility in connection therewith and including credit cards for commercial customers (including, without limitation, commercial credit cards and purchasing cards).</w:t>
      </w:r>
    </w:p>
    <w:p>
      <w:pPr>
        <w:spacing w:after="0" w:line="19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Hedging Agreements</w:t>
      </w:r>
      <w:r>
        <w:rPr>
          <w:rFonts w:ascii="Times New Roman" w:cs="Times New Roman" w:eastAsia="Times New Roman" w:hAnsi="Times New Roman"/>
          <w:sz w:val="20"/>
          <w:szCs w:val="20"/>
          <w:color w:val="auto"/>
        </w:rPr>
        <w:t>” means all Hedging Agreements entered into by the Company or any Subsidiary with a Hedging Lender.</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Parent</w:t>
      </w:r>
      <w:r>
        <w:rPr>
          <w:rFonts w:ascii="Times New Roman" w:cs="Times New Roman" w:eastAsia="Times New Roman" w:hAnsi="Times New Roman"/>
          <w:sz w:val="20"/>
          <w:szCs w:val="20"/>
          <w:color w:val="auto"/>
        </w:rPr>
        <w:t>” means, with respect to any Lender, any Person as to which such Lender is, directly or indirectly,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24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Qualified Bilateral Letters of Credit</w:t>
      </w:r>
      <w:r>
        <w:rPr>
          <w:rFonts w:ascii="Times New Roman" w:cs="Times New Roman" w:eastAsia="Times New Roman" w:hAnsi="Times New Roman"/>
          <w:sz w:val="20"/>
          <w:szCs w:val="20"/>
          <w:color w:val="auto"/>
        </w:rPr>
        <w:t>” means one or more letters of credit issued for the benefit of the Company or any of its Subsidiaries in an aggregate principal amount not to exceed $75,000,000 for all such letters of credit which are issued by a Lender (or any affiliate of a Lender) pursuant to a bilateral facility and not under this Agreement or any other Loan Document, all to the extent such letters of credit are confirmed to such Lender in writing by the Administrative Agent, in its good faith, reasonable credit judgment (such confirmation not to be unreasonably withheld or delayed), as “Qualified Bilateral Letters of Credit” secured by the Collateral.</w:t>
      </w:r>
    </w:p>
    <w:p>
      <w:pPr>
        <w:spacing w:after="0" w:line="20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Presentation</w:t>
      </w:r>
      <w:r>
        <w:rPr>
          <w:rFonts w:ascii="Times New Roman" w:cs="Times New Roman" w:eastAsia="Times New Roman" w:hAnsi="Times New Roman"/>
          <w:sz w:val="20"/>
          <w:szCs w:val="20"/>
          <w:color w:val="auto"/>
        </w:rPr>
        <w:t>” means the lender presentation distributed to the Lenders, dated November 3, 2025 (including the updated financial projections included therein).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has the meaning assigned to such term in Section 9.03(d).</w:t>
      </w:r>
    </w:p>
    <w:p>
      <w:pPr>
        <w:spacing w:after="0" w:line="24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 Supply Chain Financing Agreements</w:t>
      </w:r>
      <w:r>
        <w:rPr>
          <w:rFonts w:ascii="Times New Roman" w:cs="Times New Roman" w:eastAsia="Times New Roman" w:hAnsi="Times New Roman"/>
          <w:sz w:val="19"/>
          <w:szCs w:val="19"/>
          <w:color w:val="auto"/>
        </w:rPr>
        <w:t>” means all agreements between the Company or any Subsidiary and any Lender (or any Affiliate of any Lender) providing for credit support and/or payment obligations in respect of trade payables of the Company or any Subsidiary, in each case issued for the benefit of, or payable to, any bank, financial institution or other person that has acquired such trade payables pursuant to “supply chain” or other similar financing for vendors and suppliers of the Company or any Subsidiaries, so long as</w:t>
      </w:r>
    </w:p>
    <w:p>
      <w:pPr>
        <w:spacing w:after="0" w:line="2" w:lineRule="exact"/>
        <w:rPr>
          <w:sz w:val="20"/>
          <w:szCs w:val="20"/>
          <w:color w:val="auto"/>
        </w:rPr>
      </w:pPr>
    </w:p>
    <w:p>
      <w:pPr>
        <w:jc w:val="both"/>
        <w:ind w:firstLine="8"/>
        <w:spacing w:after="0" w:line="248" w:lineRule="auto"/>
        <w:tabs>
          <w:tab w:leader="none" w:pos="25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pursuant to this Agreement and the Security Documents, such payment obligations are unsecured, (ii) the payment maturity date of such trade payables shall not have been extended after such trade payables have been acquired in connection with the Lender Supply Chain Financing Agreement, (iii) such payment obligations represent amounts not in excess of those which the Company or any of its Subsidiaries would otherwise have been obligated to pay to its vendor or supplier in respect of the applicable trade payables, (iv) the aggregate amount of all obligations under Lender Supply Chain Financing Agreements that constitute “Obligations” under this Agreement and the other Loan Documents secured by the Collateral does not exceed $125,000,000 and (v) (A) the Company has delivered to the Administrative Agent, promptly after the entry into the relevant Lender Supply Chain Financing Agreement, written notice (I) setting forth the details of such Lender Supply Chain Financing Agreement, including the provider and amount of such Lender Supply Chain Financing Agreement, (II) confirming that the aggregate amount of all obligations under Lender Supply Chain Financing Agreements that constitute “Obligations” under this Agreement and the other Loan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886"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20"/>
          <w:szCs w:val="20"/>
          <w:color w:val="auto"/>
        </w:rPr>
        <w:t>Documents secured by the Collateral (including for the purposes of such calculation, such Lender Supply Chain Financing Agreement) does not exceed $125,000,000 and (III) designating the obligations in respect of such Lender Supply Chain Financing Agreement as “Obligations” under this Agreement and the other Loan Documents secured by the Collateral pursuant to the terms of the Loan Documents and (B) in respect of which the Administrative Agent has acknowledged in writing its receipt of such written notice (and, for the avoidance of doubt, if the Administrative Agent has not provided such acknowledgement in respect of such supply chain financing agreement, then such supply chain financing agreement shall not be included as “Obligations” under this Agreement and the other Loan Documents secured by the Collateral pursuant to the terms of the Loan Documents).</w:t>
      </w:r>
    </w:p>
    <w:p>
      <w:pPr>
        <w:spacing w:after="0" w:line="20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and any other Person that shall have become a Lender hereunder pursuant to Section 2.20 or pursuant to an Assignment and Assumption, an Incremental Facility Agreement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w:t>
      </w:r>
    </w:p>
    <w:p>
      <w:pPr>
        <w:spacing w:after="0" w:line="200"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Global Tranche Letter of Credit or US Tranche Letter of Credit (it being understood and agreed that, for the avoidance of doubt, Lender Qualified Bilateral Letters of Credit shall not be deemed to be letters of credit issued pursuant to this Agreement).</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has the meaning assigned to such term in Section 2.06(b).</w:t>
      </w:r>
    </w:p>
    <w:p>
      <w:pPr>
        <w:spacing w:after="0" w:line="25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means, with respect to each Issuing Bank, the commitment of such Issuing Bank to issue Letters of Credit hereunder. The initial amount of each Issuing Bank’s Letter of Credit Commitment is set forth on </w:t>
      </w:r>
      <w:r>
        <w:rPr>
          <w:rFonts w:ascii="Times New Roman" w:cs="Times New Roman" w:eastAsia="Times New Roman" w:hAnsi="Times New Roman"/>
          <w:sz w:val="20"/>
          <w:szCs w:val="20"/>
          <w:u w:val="single" w:color="auto"/>
          <w:color w:val="auto"/>
        </w:rPr>
        <w:t>Schedule 2.01B</w:t>
      </w:r>
      <w:r>
        <w:rPr>
          <w:rFonts w:ascii="Times New Roman" w:cs="Times New Roman" w:eastAsia="Times New Roman" w:hAnsi="Times New Roman"/>
          <w:sz w:val="20"/>
          <w:szCs w:val="20"/>
          <w:color w:val="auto"/>
        </w:rPr>
        <w:t>, or if an Issuing Bank has entered into an Assignment and Assumption, the amount set forth for such Issuing Bank as its Letter of Credit Commitment in the Register maintained by the Administrative Agent.</w:t>
      </w:r>
    </w:p>
    <w:p>
      <w:pPr>
        <w:spacing w:after="0" w:line="21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w:t>
      </w:r>
      <w:r>
        <w:rPr>
          <w:rFonts w:ascii="Times New Roman" w:cs="Times New Roman" w:eastAsia="Times New Roman" w:hAnsi="Times New Roman"/>
          <w:sz w:val="20"/>
          <w:szCs w:val="20"/>
          <w:color w:val="auto"/>
        </w:rPr>
        <w:t xml:space="preserve">” means, as at the last day of any fiscal quarter of the Company, the ratio of (i) the Average Consolidated Net Indebtedness to (ii) Consolidated Adjusted EBITDA for the four consecutive fiscal quarters ending on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calculation of the above ratio following any acquisition or disposition made during the four-quarter period covered by such calculation, by purchase, sale or otherwise, of all or substantially all of the business or assets of, any Person or of any line of business of any Person shall be determined on a pro forma basis without duplication as if such acquisition or disposition had occurred on the first day of the relevant period and any savings associated with such acquisition or disposition had been achieved beginning on the first day of the relevant period.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25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Conditionality Acquisition</w:t>
      </w:r>
      <w:r>
        <w:rPr>
          <w:rFonts w:ascii="Times New Roman" w:cs="Times New Roman" w:eastAsia="Times New Roman" w:hAnsi="Times New Roman"/>
          <w:sz w:val="20"/>
          <w:szCs w:val="20"/>
          <w:color w:val="auto"/>
        </w:rPr>
        <w:t>” has the meaning assigned to such term in Section 2.20(c).</w:t>
      </w:r>
    </w:p>
    <w:p>
      <w:pPr>
        <w:spacing w:after="0" w:line="25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Conditionality Acquisition Agreement</w:t>
      </w:r>
      <w:r>
        <w:rPr>
          <w:rFonts w:ascii="Times New Roman" w:cs="Times New Roman" w:eastAsia="Times New Roman" w:hAnsi="Times New Roman"/>
          <w:sz w:val="20"/>
          <w:szCs w:val="20"/>
          <w:color w:val="auto"/>
        </w:rPr>
        <w:t>” has the meaning assigned to such term in Section 2.20(c).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886" w:right="339" w:bottom="1440" w:gutter="0" w:footer="0" w:header="0"/>
        </w:sectPr>
      </w:pPr>
    </w:p>
    <w:bookmarkStart w:id="39" w:name="page40"/>
    <w:bookmarkEnd w:id="39"/>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any Notes, the Letters of Credit, Letter of Credit applications, Letter of Credit Agreements, the Security Documents and any Incremental Facility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Company, each Subsidiary Borrower and each other Subsidiary Guarantor.</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made by the Lenders to the Borrowers pursuant to this Agreement.</w:t>
      </w:r>
    </w:p>
    <w:p>
      <w:pPr>
        <w:spacing w:after="0" w:line="24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Local Time</w:t>
      </w:r>
      <w:r>
        <w:rPr>
          <w:rFonts w:ascii="Times New Roman" w:cs="Times New Roman" w:eastAsia="Times New Roman" w:hAnsi="Times New Roman"/>
          <w:sz w:val="19"/>
          <w:szCs w:val="19"/>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(a) Toronto, Canada time with respect to Canadian Dollars, (b) London, England time with respect to any Foreign Currency (other than Canadian Dollars or euro) and (c) Brussels, Belgium time with respect to euro, in each case of the foregoing clauses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and (c) unless otherwise notified by the Administrative Agent).</w:t>
      </w:r>
    </w:p>
    <w:p>
      <w:pPr>
        <w:spacing w:after="0" w:line="22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Majority in Interest</w:t>
      </w:r>
      <w:r>
        <w:rPr>
          <w:rFonts w:ascii="Times New Roman" w:cs="Times New Roman" w:eastAsia="Times New Roman" w:hAnsi="Times New Roman"/>
          <w:sz w:val="19"/>
          <w:szCs w:val="19"/>
          <w:color w:val="auto"/>
        </w:rPr>
        <w:t>”, when used in reference to Lenders of any Class, means, at any time (i) in the case of the Global Tranche Lenders, Lenders having Global Tranche Revolving Credit Exposures and unused Global Tranche Commitments representing more than 50% of the sum of the aggregate Global Tranche Revolving Credit Exposures and the aggregate unused Global Tranche Commitments at such time, (ii) in the case of the US Tranche Lenders, Lenders having US Tranche Revolving Credit Exposures and unused US Tranche Commitments representing more than 50% of the sum of the aggregate US Tranche Revolving Credit Exposures and the aggregate unused US Tranche Commitments at such time and (iii) in the case of the Term Lenders, Lenders having outstanding Term Loans of the applicable Class representing more than 50% of the sum of the aggregate principal amount of all Term Loans of such Class outstanding at such time.</w:t>
      </w:r>
    </w:p>
    <w:p>
      <w:pPr>
        <w:spacing w:after="0" w:line="20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operations, property or financial condition of the Company and its Subsidiaries taken as a whole or (b) the validity or enforceability of any material term of this Agreement or the other Loan Documents, taken as a whole, or the rights or remedies of the Administrative Agent or the Lenders hereunder or thereunder.</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Domestic Subsidiary</w:t>
      </w:r>
      <w:r>
        <w:rPr>
          <w:rFonts w:ascii="Times New Roman" w:cs="Times New Roman" w:eastAsia="Times New Roman" w:hAnsi="Times New Roman"/>
          <w:sz w:val="20"/>
          <w:szCs w:val="20"/>
          <w:color w:val="auto"/>
        </w:rPr>
        <w:t>” means a Domestic Subsidiary that is a Material Subsidiary.</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means Intellectual Property that is material to the business operations of the Company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Subsidiaries.</w:t>
      </w:r>
    </w:p>
    <w:p>
      <w:pPr>
        <w:spacing w:after="0" w:line="23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at any time (i) any Subsidiary Borrower, (ii) any Subsidiary which, as of the most recent fiscal quarter of the Company, for the period of four consecutive fiscal quarters then ended, for which financial statements have been delivered pursuant to Section 5.01(a) or (b), contributed greater than five percent (5%) of Consolidated Adjusted EBITDA for such period or (iii) any Subsidiary designated in writing by the Company as a Material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amount of Consolidated Adjusted EBITDA attributable to all Subsidiaries that are not Material Subsidiaries exceeds ten percent (10%) of Consolidated Adjusted EBITDA for any such period, then the term Material Subsidiary shall be deemed to include such Subsidiaries of the Company as may be required so that this proviso shall not be true.</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Materials of Environmental Concern</w:t>
      </w:r>
      <w:r>
        <w:rPr>
          <w:rFonts w:ascii="Times New Roman" w:cs="Times New Roman" w:eastAsia="Times New Roman" w:hAnsi="Times New Roman"/>
          <w:sz w:val="20"/>
          <w:szCs w:val="20"/>
          <w:color w:val="auto"/>
        </w:rPr>
        <w:t>” means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 and any other substance that could reasonably be expected to give rise to liability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129" w:right="339" w:bottom="1440" w:gutter="0" w:footer="0" w:header="0"/>
        </w:sectPr>
      </w:pPr>
    </w:p>
    <w:bookmarkStart w:id="40" w:name="page41"/>
    <w:bookmarkEnd w:id="40"/>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the Tranche A Term Loan Maturity Date, the Incremental Term Maturity Date with respect to Incremental Term Loans of any Series or the Revolving Maturity Date, as the context requires.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 that is subject to Title IV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ERISA.</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Required Subsidiary</w:t>
      </w:r>
      <w:r>
        <w:rPr>
          <w:rFonts w:ascii="Times New Roman" w:cs="Times New Roman" w:eastAsia="Times New Roman" w:hAnsi="Times New Roman"/>
          <w:sz w:val="20"/>
          <w:szCs w:val="20"/>
          <w:color w:val="auto"/>
        </w:rPr>
        <w:t>” has the meaning assigned to it in Section 5.11(b).</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Non-Quoted Currency</w:t>
      </w:r>
      <w:r>
        <w:rPr>
          <w:rFonts w:ascii="Times New Roman" w:cs="Times New Roman" w:eastAsia="Times New Roman" w:hAnsi="Times New Roman"/>
          <w:sz w:val="20"/>
          <w:szCs w:val="20"/>
          <w:color w:val="auto"/>
        </w:rPr>
        <w:t>” means Canadian Dollars.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has the meaning assigned to such term in Section 2.10(e).</w:t>
      </w:r>
    </w:p>
    <w:p>
      <w:pPr>
        <w:spacing w:after="0" w:line="256" w:lineRule="exact"/>
        <w:rPr>
          <w:sz w:val="20"/>
          <w:szCs w:val="20"/>
          <w:color w:val="auto"/>
        </w:rPr>
      </w:pPr>
    </w:p>
    <w:p>
      <w:pPr>
        <w:jc w:val="both"/>
        <w:ind w:firstLine="1296"/>
        <w:spacing w:after="0" w:line="238"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interest on the Loans, all LC Exposure, all unpaid fees, and all indemnities, costs, expenses (including, without limitation, interest and fees accruing after the maturity of the Loans and interest thereon accruing after the filing of any petition in bankruptcy, or the commencement of any insolvency, reorganization or like proceeding, relating to the Company or any Subsidiary, whether or not a claim for post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filing or post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petition interest is allowed in such proceeding) and all other obligations and liabilities of the Company or any Subsidiary to the Administrative Agent or the Lenders (or, in the case of Lender Hedging Agreements, Lender Cash Management Agreements, Lender Qualified Bilateral Letters of Credit or Lender Supply Chain Financing Agreements, any Affiliate of a Lender), whether direct or indirect, absolute or contingent, due or to become due, now existing or hereafter incurred, which may arise under, out of, or in connection with, this Agreement, the other Loan Documents, any Lender Hedging Agreement, any Lender Cash Management Agreement, any Lender Qualified Bilateral Letters of Credit, any Lender Supply Chain Financing Agreements or any thereof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determining any Guarantor Obligations (as defined in the Guarantee and Collateral Agreement) of any Guarantor under this Agreement or any other Loan Document, the definition of “Obligations” shall not include any Excluded Swap Obligation.</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5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21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registration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or Section 2.20(e)).</w:t>
      </w:r>
    </w:p>
    <w:p>
      <w:pPr>
        <w:spacing w:after="0" w:line="21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88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14105 of August 9, 2023, or any similar law or regulation; as of the date of this Agreement, and as codified at 31 C.F.R. § 850.101 et seq.</w:t>
      </w:r>
    </w:p>
    <w:p>
      <w:pPr>
        <w:spacing w:after="0" w:line="25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FRBNY as set forth on the FRBNY’s Website from time to time, and published on the next succeeding Business Day by the FRBNY as an overnight bank funding rate.</w:t>
      </w:r>
    </w:p>
    <w:p>
      <w:pPr>
        <w:spacing w:after="0" w:line="21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FRBNY Rate and (b) with respect to any amount denominated in a Foreign Currency, an overnight rate determined by the Administrative Agent or the Issuing Banks, as the case may be, in accordance with banking industry rules on interbank compensation.</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25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USA PATRIOT Act (Title III of Pub. L. 107-56 (signed into law October 26, 2001)).</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such term in Section 8.06(c).</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such term in Section 8.06(c).</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established pursuant to Section 4002 of ERISA (or any successor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has the meaning assigned to such term in the definition of “Term CORRA.”</w:t>
      </w:r>
    </w:p>
    <w:p>
      <w:pPr>
        <w:spacing w:after="0" w:line="256"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xml:space="preserve">” means any acquisition of all or substantially all the assets of, or shares or other equity interests in, a Person or division or line of business of a Person or other significant assets of a Person (other than inventory, leases, materials and equipment and other assets in the ordinary course of business) if immediately after giving effect thereto: (i) no Default or Event of Default shall have occurred and be continuing or would result therefrom, (ii) such acquired subsidiary or newly formed subsidiary owning the acquired assets shall be a Subsidiary of the Company and all actions required to be taken, if any, with respect to such acquired or newly formed subsidiary under Section 5.11 shall have been taken or shall be planned to be taken in a manner reasonably satisfactory to the Administrative Agent, (iii) no Material Adverse Effect would result therefrom and (iv) the Company shall be in compliance, on a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basis after giving effect to such acquisition or formation, with the covenants contained in Section 5.09 and 5.10 recomputed as at the last day of the most recently ended fiscal quarter of the Company as if such acquisition had occurred on the first day of each relevant period for testing such compliance and any savings associated with such acquisition had been achieved on the first day of such relevant period, and, in the case of an acquisition involving consideration in excess of $125,000,000, the Company shall have delivered to the Administrative Agent an officers’ certificate to such effect, together with all relevant financial information for such subsidiary or assets (to the extent reasonably available).</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Foreign Debt</w:t>
      </w:r>
      <w:r>
        <w:rPr>
          <w:rFonts w:ascii="Times New Roman" w:cs="Times New Roman" w:eastAsia="Times New Roman" w:hAnsi="Times New Roman"/>
          <w:sz w:val="20"/>
          <w:szCs w:val="20"/>
          <w:color w:val="auto"/>
        </w:rPr>
        <w:t>” shall have the meaning specified in Section 6.05(i).</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886" w:right="339" w:bottom="1440" w:gutter="0" w:footer="0" w:header="0"/>
        </w:sectPr>
      </w:pPr>
    </w:p>
    <w:bookmarkStart w:id="42" w:name="page43"/>
    <w:bookmarkEnd w:id="42"/>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partnership, a corporation, a limited liability company, a business trust, a joint stock company, a trust, an unincorporated association, a joint venture, a Governmental Authority or any other entity of whatever nature.</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means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Pounds Sterling</w:t>
      </w:r>
      <w:r>
        <w:rPr>
          <w:rFonts w:ascii="Times New Roman" w:cs="Times New Roman" w:eastAsia="Times New Roman" w:hAnsi="Times New Roman"/>
          <w:sz w:val="20"/>
          <w:szCs w:val="20"/>
          <w:color w:val="auto"/>
        </w:rPr>
        <w:t>” means the lawful currency of the United Kingdom.</w:t>
      </w:r>
    </w:p>
    <w:p>
      <w:pPr>
        <w:spacing w:after="0" w:line="256"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has the meaning assigned to such term in Section 5.02(b).</w:t>
      </w:r>
    </w:p>
    <w:p>
      <w:pPr>
        <w:spacing w:after="0" w:line="25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jc w:val="both"/>
        <w:ind w:firstLine="137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it in Section 9.19.</w:t>
      </w:r>
    </w:p>
    <w:p>
      <w:pPr>
        <w:spacing w:after="0" w:line="25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w:t>
      </w:r>
      <w:r>
        <w:rPr>
          <w:rFonts w:ascii="Times New Roman" w:cs="Times New Roman" w:eastAsia="Times New Roman" w:hAnsi="Times New Roman"/>
          <w:sz w:val="20"/>
          <w:szCs w:val="20"/>
          <w:color w:val="auto"/>
        </w:rPr>
        <w:t>” means any account and any other right to payment for goods sold or leased or for services rendered, whether or not such right is evidenced by an instrument or chattel paper and whether or not it has been earned by performance. The terms “account”, “instrument” and “chattel paper” as used herein shall have the meaning assigned to such terms in the Uniform Commercial Code in effect from time to time in the State of New York.</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means a Subsidiary of the Company created to purchase and finance Sold Receivables Assets.</w:t>
      </w:r>
    </w:p>
    <w:p>
      <w:pPr>
        <w:spacing w:after="0" w:line="24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Purchase Facility</w:t>
      </w:r>
      <w:r>
        <w:rPr>
          <w:rFonts w:ascii="Times New Roman" w:cs="Times New Roman" w:eastAsia="Times New Roman" w:hAnsi="Times New Roman"/>
          <w:sz w:val="20"/>
          <w:szCs w:val="20"/>
          <w:color w:val="auto"/>
        </w:rPr>
        <w:t>” means any receivables financing facility entered into in connection with any sale, discounting, factoring, financing, contribution or securitization arrangement with terms and conditions reasonably satisfactory to the Administrative Agent and pursuant to which the Company or any Subsidiary of the Company may sell, convey or otherwise transfer to a Receivables Subsidiary or any other Person, or may grant a security interest in, any Sold Receivables Assets, or pursuant to which ownership interests in, or notes, commercial paper, certificates or other debt instruments may be secured by Sold Receivables Assets. For the avoidance of doubt, the Master Receivables Purchase Agreement dated October 27, 2023, among the Company, as the Seller Representative and JPMorgan Chase Bank, N.A., as Purchaser (as amended by the First Amendment dated September 1, 2024 and the Second Amendment dated as of August 28, 2025 and as may be renewed or further amended and/or restated from time to time) shall be considered a Receivables Purchase Facility.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 the Administrative Agent, (b) any Lender and (c) any Issuing Bank, as applicable.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129" w:right="339" w:bottom="1440" w:gutter="0" w:footer="0" w:header="0"/>
        </w:sectPr>
      </w:pPr>
    </w:p>
    <w:bookmarkStart w:id="43" w:name="page44"/>
    <w:bookmarkEnd w:id="43"/>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Recourse Obligation</w:t>
      </w:r>
      <w:r>
        <w:rPr>
          <w:rFonts w:ascii="Times New Roman" w:cs="Times New Roman" w:eastAsia="Times New Roman" w:hAnsi="Times New Roman"/>
          <w:sz w:val="20"/>
          <w:szCs w:val="20"/>
          <w:color w:val="auto"/>
        </w:rPr>
        <w:t>” means any obligation (contingent or otherwise) which (i) is guaranteed by the Company or any Subsidiary (excluding guarantees of obligations (other than the principal, interest and fees) pursuant to Standard Securitization Undertakings), (ii) is recourse to or obligates the Company or any Subsidiary in any way other than pursuant to Standard Securitization Undertakings, or (iii) subjects any property or asset of the Company or any Subsidiary, directly or indirectly, contingently or otherwise, to the satisfaction thereof, other than pursuant to Standard Securitization Undertakings.</w:t>
      </w:r>
    </w:p>
    <w:p>
      <w:pPr>
        <w:spacing w:after="0" w:line="21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the RFR for such Benchmark is SONIA, then four (4) RFR Business Days prior to such setting, (iv) if, following a Benchmark Transition Event and Benchmark Replacement Date with respect to the Term SOFR Rate, the RFR for such Benchmark is Daily Simple SOFR, then four (4) RFR Business Days prior to such setting, (v) if such Benchmark is Term CORRA, 1:00 p.m. Toronto local time on the day that is two Business Days preceding the date of such setting, (vi) if, following a Benchmark Transition Event and Benchmark Replacement Date with respect to Term CORRA, the RFR for such Benchmark is Daily Simple CORRA, then four RFR Business Days prior to such setting or (vii) if such Benchmark is none of the Term SOFR Rate, Daily Simple SOFR, the EURIBO Rate, SONIA, Term CORRA or Daily Simple CORRA, the time determined by the Administrative Agent in its reasonable discretion.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means the refinancing of the amounts outstanding under the Existing Credit Agreement with the proceeds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9.04(b).</w:t>
      </w:r>
    </w:p>
    <w:p>
      <w:pPr>
        <w:spacing w:after="0" w:line="25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advisors and representatives of such Person and such Person’s Affiliates.</w:t>
      </w:r>
    </w:p>
    <w:p>
      <w:pPr>
        <w:spacing w:after="0" w:line="200" w:lineRule="exact"/>
        <w:rPr>
          <w:sz w:val="20"/>
          <w:szCs w:val="20"/>
          <w:color w:val="auto"/>
        </w:rPr>
      </w:pPr>
    </w:p>
    <w:p>
      <w:pPr>
        <w:jc w:val="both"/>
        <w:ind w:firstLine="137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(i) with respect to a Benchmark Replacement in respect of Loans denominated in Dollars, the Board, the FRBNY, or a committee officially endorsed or convened by the Board and/or the FRBNY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Canadian Dollars, the Bank of Canada, or a committee officially endorsed or convened by the Bank of Canada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1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Rate</w:t>
      </w:r>
      <w:r>
        <w:rPr>
          <w:rFonts w:ascii="Times New Roman" w:cs="Times New Roman" w:eastAsia="Times New Roman" w:hAnsi="Times New Roman"/>
          <w:sz w:val="19"/>
          <w:szCs w:val="19"/>
          <w:color w:val="auto"/>
        </w:rPr>
        <w:t>” means (i) with respect to any Term Benchmark Borrowing denominated in Dollars, the Term SOFR Rate,</w:t>
      </w:r>
    </w:p>
    <w:p>
      <w:pPr>
        <w:spacing w:after="0" w:line="40" w:lineRule="exact"/>
        <w:rPr>
          <w:sz w:val="20"/>
          <w:szCs w:val="20"/>
          <w:color w:val="auto"/>
        </w:rPr>
      </w:pPr>
    </w:p>
    <w:p>
      <w:pPr>
        <w:ind w:right="20" w:firstLine="8"/>
        <w:spacing w:after="0" w:line="253" w:lineRule="auto"/>
        <w:tabs>
          <w:tab w:leader="none" w:pos="31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Term Benchmark Borrowing denominated in euro, the EURIBO Rate, (iii) with respect to any Term Benchmark Borrowing denominated in Canadian Dollars, Term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886" w:right="339" w:bottom="1440" w:gutter="0" w:footer="0" w:header="0"/>
        </w:sectPr>
      </w:pPr>
    </w:p>
    <w:bookmarkStart w:id="44" w:name="page45"/>
    <w:bookmarkEnd w:id="44"/>
    <w:p>
      <w:pPr>
        <w:jc w:val="both"/>
        <w:spacing w:after="0" w:line="283" w:lineRule="auto"/>
        <w:rPr>
          <w:sz w:val="20"/>
          <w:szCs w:val="20"/>
          <w:color w:val="auto"/>
        </w:rPr>
      </w:pPr>
      <w:r>
        <w:rPr>
          <w:rFonts w:ascii="Times New Roman" w:cs="Times New Roman" w:eastAsia="Times New Roman" w:hAnsi="Times New Roman"/>
          <w:sz w:val="20"/>
          <w:szCs w:val="20"/>
          <w:color w:val="auto"/>
        </w:rPr>
        <w:t>CORRA or (iv) with respect to any RFR Borrowing denominated in Pounds Sterling, Dollars or Canadian Dollars, the applicable Daily Simple RFR, in each case, as applicable.</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means (i) with respect to any Term Benchmark Borrowing denominated in Dollars, the Term SOFR Reference Rate, (ii) with respect to any Term Benchmark Borrowing denominated in euro, the EURIBO Screen Rate or (iii) with respect to any Term Benchmark Borrowing denominated in Canadian Dollars, Term CORRA, as applicable.</w:t>
      </w:r>
    </w:p>
    <w:p>
      <w:pPr>
        <w:spacing w:after="0" w:line="208"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Jurisdiction</w:t>
      </w:r>
      <w:r>
        <w:rPr>
          <w:rFonts w:ascii="Times New Roman" w:cs="Times New Roman" w:eastAsia="Times New Roman" w:hAnsi="Times New Roman"/>
          <w:sz w:val="19"/>
          <w:szCs w:val="19"/>
          <w:color w:val="auto"/>
        </w:rPr>
        <w:t>” means, in relation to a Loan Party (a) its jurisdiction of incorporation, (b) any jurisdiction where any asset subject to or intended to be subject to a security interest to be created by it under a Security Document is situated, (c) any jurisdiction where it conducts business, and (d) the jurisdiction whose laws govern the perfection of any of the Security Documents entered into by it.</w:t>
      </w:r>
    </w:p>
    <w:p>
      <w:pPr>
        <w:spacing w:after="0" w:line="19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Reorganization</w:t>
      </w:r>
      <w:r>
        <w:rPr>
          <w:rFonts w:ascii="Times New Roman" w:cs="Times New Roman" w:eastAsia="Times New Roman" w:hAnsi="Times New Roman"/>
          <w:sz w:val="20"/>
          <w:szCs w:val="20"/>
          <w:color w:val="auto"/>
        </w:rPr>
        <w:t>” means, with respect to any Multiemployer Plan, the condition that such plan is in reorganization within the meaning of Section 4241 of ERISA.</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Revolving Facility</w:t>
      </w:r>
      <w:r>
        <w:rPr>
          <w:rFonts w:ascii="Times New Roman" w:cs="Times New Roman" w:eastAsia="Times New Roman" w:hAnsi="Times New Roman"/>
          <w:sz w:val="20"/>
          <w:szCs w:val="20"/>
          <w:color w:val="auto"/>
        </w:rPr>
        <w:t>” has the meaning assigned to such term in Section 9.02(c).</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Term Loans</w:t>
      </w:r>
      <w:r>
        <w:rPr>
          <w:rFonts w:ascii="Times New Roman" w:cs="Times New Roman" w:eastAsia="Times New Roman" w:hAnsi="Times New Roman"/>
          <w:sz w:val="20"/>
          <w:szCs w:val="20"/>
          <w:color w:val="auto"/>
        </w:rPr>
        <w:t>” has the meaning assigned to such term in Section 9.02(c).</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Facility</w:t>
      </w:r>
      <w:r>
        <w:rPr>
          <w:rFonts w:ascii="Times New Roman" w:cs="Times New Roman" w:eastAsia="Times New Roman" w:hAnsi="Times New Roman"/>
          <w:sz w:val="20"/>
          <w:szCs w:val="20"/>
          <w:color w:val="auto"/>
        </w:rPr>
        <w:t>” has the meaning assigned to such term in Section 9.02(c).</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has the meaning assigned to such term in Section 9.02(c).</w:t>
      </w:r>
    </w:p>
    <w:p>
      <w:pPr>
        <w:spacing w:after="0" w:line="243" w:lineRule="exact"/>
        <w:rPr>
          <w:sz w:val="20"/>
          <w:szCs w:val="20"/>
          <w:color w:val="auto"/>
        </w:rPr>
      </w:pPr>
    </w:p>
    <w:p>
      <w:pPr>
        <w:jc w:val="both"/>
        <w:ind w:firstLine="1296"/>
        <w:spacing w:after="0" w:line="26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 of ERISA or the regulations thereunder with respect to which the PBGC has not, by regulation, waived the 30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day notice requirement.</w:t>
      </w:r>
    </w:p>
    <w:p>
      <w:pPr>
        <w:spacing w:after="0" w:line="19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subject to Section 2.22, at any time, Lenders having Credit Exposures and unused Commitments representing more than 50% of the sum of the total Credit Exposures and unused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declaring the Loans to be due and payable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for all purposes after the Loans become due and payable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the Revolving Commitments expire or terminate, then, as to each Lender, clause (a) of the definition of Swingline Exposure shall only be applicable for purposes of determining its Credit Exposure to the extent such Lender shall have funded its participation in the outstanding Swingline Loans.</w:t>
      </w:r>
    </w:p>
    <w:p>
      <w:pPr>
        <w:spacing w:after="0" w:line="21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Subsidiary</w:t>
      </w:r>
      <w:r>
        <w:rPr>
          <w:rFonts w:ascii="Times New Roman" w:cs="Times New Roman" w:eastAsia="Times New Roman" w:hAnsi="Times New Roman"/>
          <w:sz w:val="20"/>
          <w:szCs w:val="20"/>
          <w:color w:val="auto"/>
        </w:rPr>
        <w:t>” means (i) each Material Domestic Subsidiary and (ii) each Subsidiary that guarantees the Indebtedness evidenced by the Existing Senior Notes or by any other publicly issued or privately placed notes issued by the Company or any of its Subsidiaries.</w:t>
      </w:r>
    </w:p>
    <w:p>
      <w:pPr>
        <w:spacing w:after="0" w:line="208" w:lineRule="exact"/>
        <w:rPr>
          <w:sz w:val="20"/>
          <w:szCs w:val="20"/>
          <w:color w:val="auto"/>
        </w:rPr>
      </w:pPr>
    </w:p>
    <w:p>
      <w:pPr>
        <w:jc w:val="both"/>
        <w:ind w:firstLine="1296"/>
        <w:spacing w:after="0" w:line="24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as to any Person, the Certificate of Incorporation or Articles of Incorporation, as the case may be, and Code of Regulations and/or By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Dodd-Frank Wall Street Reform and Consumer Protection Act and all requests, rules, guidelines, requirements and directives thereunder, issued in connection therewith or in implementation thereof, and (b)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“Requirement of Law” regardless of the date enacted, adopted, issued or implemented.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886" w:right="339" w:bottom="1440" w:gutter="0" w:footer="0" w:header="0"/>
        </w:sectPr>
      </w:pPr>
    </w:p>
    <w:bookmarkStart w:id="45" w:name="page46"/>
    <w:bookmarkEnd w:id="45"/>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as to any Person, the Chairman, President or an Executive or Senior Vice President (or, in the case of any Foreign Subsidiary, any analogous title) of such Person and, with respect to financial matters, the Chief Financial Officer, the Treasurer or the Controller (or, in the case of any Foreign Subsidiary, any analogous title) of such Person.</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has the meaning assigned to such term in Section 6.14.</w:t>
      </w:r>
    </w:p>
    <w:p>
      <w:pPr>
        <w:spacing w:after="0" w:line="25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means a US Tranche Commitment or a Global Tranche Commitment, and “</w:t>
      </w:r>
      <w:r>
        <w:rPr>
          <w:rFonts w:ascii="Times New Roman" w:cs="Times New Roman" w:eastAsia="Times New Roman" w:hAnsi="Times New Roman"/>
          <w:sz w:val="20"/>
          <w:szCs w:val="20"/>
          <w:u w:val="single" w:color="auto"/>
          <w:color w:val="auto"/>
        </w:rPr>
        <w:t>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means both US Tranche Commitments and Global Tranche Commitments.</w:t>
      </w:r>
    </w:p>
    <w:p>
      <w:pPr>
        <w:spacing w:after="0" w:line="2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with respect to any Lender at any time, the sum of the outstanding principal amount of such Lender’s Global Tranche Revolving Loans and US Tranche Revolving Loans and its LC Exposure and its Swingline Exposure at such time.</w:t>
      </w:r>
    </w:p>
    <w:p>
      <w:pPr>
        <w:spacing w:after="0" w:line="20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as of any date of determination, each Lender that has a Revolving Commitment or, if the Revolving Commitments have terminated or expired, a Lender with Revolving Credit Exposure.</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any Global Tranche Revolving Loan or US Tranche Revolving Loan.</w:t>
      </w:r>
    </w:p>
    <w:p>
      <w:pPr>
        <w:spacing w:after="0" w:line="24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Maturity Date</w:t>
      </w:r>
      <w:r>
        <w:rPr>
          <w:rFonts w:ascii="Times New Roman" w:cs="Times New Roman" w:eastAsia="Times New Roman" w:hAnsi="Times New Roman"/>
          <w:sz w:val="20"/>
          <w:szCs w:val="20"/>
          <w:color w:val="auto"/>
        </w:rPr>
        <w:t xml:space="preserve">” means the earlier of (i) November 21, 2030 and (ii) the Springing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each case if such date is not a Business Day, the Revolving Maturity Date shall be the next preceding Business Day.</w:t>
      </w:r>
    </w:p>
    <w:p>
      <w:pPr>
        <w:spacing w:after="0" w:line="187"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means, for any RFR Loan denominated in (a) Pounds Sterling, SONIA, (b) Dollars (solely following a Benchmark Transition Event and a Benchmark Replacement Date with respect to the Term SOFR Rate), Daily Simple SOFR and (c) Canadian Dollars (solely following a Benchmark Transition Event and a Benchmark Replacement Date with respect to Term CORRA), Daily Simple CORRA.</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56"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means, for any Loan denominated in (a) Pounds Sterling, any day except for (i) a Saturday, (ii) a Sunday or (iii) a day on which banks are closed for general business in London, (b) Dollars, a U.S. Government Securities Business Day and</w:t>
      </w:r>
    </w:p>
    <w:p>
      <w:pPr>
        <w:spacing w:after="0" w:line="2" w:lineRule="exact"/>
        <w:rPr>
          <w:sz w:val="20"/>
          <w:szCs w:val="20"/>
          <w:color w:val="auto"/>
        </w:rPr>
      </w:pPr>
    </w:p>
    <w:p>
      <w:pPr>
        <w:ind w:firstLine="8"/>
        <w:spacing w:after="0" w:line="267" w:lineRule="auto"/>
        <w:tabs>
          <w:tab w:leader="none" w:pos="27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Canadian Dollars, any day except for (i) a Saturday, (ii) a Sunday or (iii) a day on which commercial banks in Toronto are authorized or required by law to remain closed.</w:t>
      </w:r>
    </w:p>
    <w:p>
      <w:pPr>
        <w:spacing w:after="0" w:line="18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RFR”.</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the Adjusted Daily Simple RFR.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56"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Sanctions (at the time of this Agreement, the so-called Donetsk People’s Republic,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88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so-called Luhansk People’s Republic, the Crimea, Zaporizhzhia and Kherson Regions of Ukraine, Cuba, Iran and North Korea).</w:t>
      </w:r>
    </w:p>
    <w:p>
      <w:pPr>
        <w:spacing w:after="0" w:line="25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any Person subject or target of any Sanctions, including (a) any Person listed in any Sanctions-related list of designated Persons maintained by the U.S. government, including by OFAC, the U.S. Department of State, the U.S. Department of Commerce or by the United Nations Security Council, the European Union, any European Union member state, His Majesty’s Treasury of the United Kingdom or any other relevant sanctions authority, (b) any Person operating, organized or resident in a Sanctioned Country or (c) any Person owned, whether individually or in the aggregate, directly or indirectly, by a 50% or greater interest,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spacing w:after="0" w:line="20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trade embargoes or similar restrictions imposed, administered or enforced from time to time by (a) the U.S. government, including those administered by OFAC or the U.S. Department of State, (b) the United Nations Security Council, the European Union, any European Union member state or the United Kingdom, including His Majesty’s Treasury of the United Kingdom or (c) any other relevant sanctions authority.</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4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the holders of the Obligations from time to time and shall include (i) each Lender and each Issuing Bank in respect of its Loans and LC Exposure respectively, (ii) the Administrative Agent, the Issuing Banks and the Lenders in respect of all other present and future obligations and liabilities of the Company and each Subsidiary of every type and description arising under or in connection with this Agreement or any other Loan Document, (iii) each Lender and Affiliate of such Lender in respect of Lender Hedging Agreements, Lender Cash Management Agreements, Lender Qualified Bilateral Letters of Credit and Lender Supply Chain Financing Agreements entered into with such Person by the Company or any Subsidiary, (iv) each indemnified party under Section 9.03 in respect of the obligations and liabilities of the Borrowers to such Person hereunder and under the other Loan Documents, and (v) their respective successors and (in the case of a Lender, permitted) transferees and assigns.</w:t>
      </w:r>
    </w:p>
    <w:p>
      <w:pPr>
        <w:spacing w:after="0" w:line="2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United States Securities Act of 1933.</w:t>
      </w:r>
    </w:p>
    <w:p>
      <w:pPr>
        <w:spacing w:after="0" w:line="25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w:t>
      </w:r>
      <w:r>
        <w:rPr>
          <w:rFonts w:ascii="Times New Roman" w:cs="Times New Roman" w:eastAsia="Times New Roman" w:hAnsi="Times New Roman"/>
          <w:sz w:val="20"/>
          <w:szCs w:val="20"/>
          <w:color w:val="auto"/>
        </w:rPr>
        <w:t>” means each of (a) the Guarantee and Collateral Agreement, (b) the IP Security Agreements and (c) the Foreign Pledge Agreements.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w:t>
      </w:r>
      <w:r>
        <w:rPr>
          <w:rFonts w:ascii="Times New Roman" w:cs="Times New Roman" w:eastAsia="Times New Roman" w:hAnsi="Times New Roman"/>
          <w:sz w:val="20"/>
          <w:szCs w:val="20"/>
          <w:color w:val="auto"/>
        </w:rPr>
        <w:t>” has the meaning assigned to such term in Section 2.20(b).</w:t>
      </w:r>
    </w:p>
    <w:p>
      <w:pPr>
        <w:spacing w:after="0" w:line="24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Single Employer Plan</w:t>
      </w:r>
      <w:r>
        <w:rPr>
          <w:rFonts w:ascii="Times New Roman" w:cs="Times New Roman" w:eastAsia="Times New Roman" w:hAnsi="Times New Roman"/>
          <w:sz w:val="20"/>
          <w:szCs w:val="20"/>
          <w:color w:val="auto"/>
        </w:rPr>
        <w:t>” means, at any particular time, any employee pension benefit plan (as defined in Section 3(2) of ERISA) (other than a Multiemployer Plan) which is covered by Titles I and IV of ERISA or Title I of ERISA and Section 412 of the Code, and in respect of which the Company, any Subsidiary Borrower or any Commonly Controlled Entity is (or, if such plan were terminated at such time, would under Section 4069 of ERISA be deemed to be) an “employer” (as defined in Section 3(5) of ERISA) or to which the Company, Subsidiary Borrower or Commonly Controlled Entity has any actual or contingent liability.</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FRBNY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886" w:right="339" w:bottom="1440" w:gutter="0" w:footer="0" w:header="0"/>
        </w:sectPr>
      </w:pPr>
    </w:p>
    <w:bookmarkStart w:id="47" w:name="page48"/>
    <w:bookmarkEnd w:id="47"/>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FRBNY’s Website,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has the meaning specified in the definition of “Daily Simple SOFR”.</w:t>
      </w:r>
    </w:p>
    <w:p>
      <w:pPr>
        <w:spacing w:after="0" w:line="24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Sold Receivables Assets</w:t>
      </w:r>
      <w:r>
        <w:rPr>
          <w:rFonts w:ascii="Times New Roman" w:cs="Times New Roman" w:eastAsia="Times New Roman" w:hAnsi="Times New Roman"/>
          <w:sz w:val="20"/>
          <w:szCs w:val="20"/>
          <w:color w:val="auto"/>
        </w:rPr>
        <w:t>” means with respect to any Receivables Purchase Facility, all Receivables originated by the Company or its Subsidiaries (including any related assets), all guarantees, letters of credit, security agreements, insurance and other agreements or arrangements from time to time supporting or securing payment of any Receivables or other items described in this definition, all customer deposits with respect thereto, all rights under any contracts giving rise to or evidencing any Receivables or other items described in this definition, any bank accounts in to which only, except as otherwise agreed by the Administrative Agent, collections of any Receivables subject to such Receivables Purchase Facility are made and all other assets which are customarily transferred or in respect of which security interests are customarily granted in connection with asset securitization transactions involving receivables and all documents, books, records and information (including computer programs, tapes, disks, data processing software and related property and rights) relating to any Receivables or other items described in this definition or to any obligor with respect thereto, and all proceeds of the foregoing (but which, for the avoidance of doubt, shall not include the cash proceeds received by the Company or any of its Subsidiaries in connection with any such transfer), in any such case sold, transferred, contributed or otherwise assigned to a Receivables Subsidiary or any other Person pursuant to any Receivables Purchase Facility.</w:t>
      </w:r>
    </w:p>
    <w:p>
      <w:pPr>
        <w:spacing w:after="0" w:line="21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224" w:lineRule="exact"/>
        <w:rPr>
          <w:sz w:val="20"/>
          <w:szCs w:val="20"/>
          <w:color w:val="auto"/>
        </w:rPr>
      </w:pPr>
    </w:p>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Average).</w:t>
      </w:r>
    </w:p>
    <w:p>
      <w:pPr>
        <w:spacing w:after="0" w:line="22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Conditions</w:t>
      </w:r>
      <w:r>
        <w:rPr>
          <w:rFonts w:ascii="Times New Roman" w:cs="Times New Roman" w:eastAsia="Times New Roman" w:hAnsi="Times New Roman"/>
          <w:sz w:val="20"/>
          <w:szCs w:val="20"/>
          <w:color w:val="auto"/>
        </w:rPr>
        <w:t>” means, at any time of determination thereof, (a) no Incremental Term Loans in the form of an institutional term loan B facility have been issued and are outstanding pursuant to Section 2.20 and (b) (i) the Company’s “corporate credit rating” from S&amp;P (or such other term as S&amp;P may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886"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20"/>
          <w:szCs w:val="20"/>
          <w:color w:val="auto"/>
        </w:rPr>
        <w:t>from time to time use to describe the Company’s senior unsecured non-credit enhanced long term indebtedness, such rating, the “</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Rating</w:t>
      </w:r>
      <w:r>
        <w:rPr>
          <w:rFonts w:ascii="Times New Roman" w:cs="Times New Roman" w:eastAsia="Times New Roman" w:hAnsi="Times New Roman"/>
          <w:sz w:val="20"/>
          <w:szCs w:val="20"/>
          <w:color w:val="auto"/>
        </w:rPr>
        <w:t>”) shall be at least BBB- (with a stable outlook) and the Company’s “corporate family rating” from Moody’s (or such other term as Moody’s may from time to time use to describe the Company’s senior unsecured non-credit enhanced long term indebtedness, such rating, the “</w:t>
      </w:r>
      <w:r>
        <w:rPr>
          <w:rFonts w:ascii="Times New Roman" w:cs="Times New Roman" w:eastAsia="Times New Roman" w:hAnsi="Times New Roman"/>
          <w:sz w:val="20"/>
          <w:szCs w:val="20"/>
          <w:u w:val="single" w:color="auto"/>
          <w:color w:val="auto"/>
        </w:rPr>
        <w:t>Moody’s Rating</w:t>
      </w:r>
      <w:r>
        <w:rPr>
          <w:rFonts w:ascii="Times New Roman" w:cs="Times New Roman" w:eastAsia="Times New Roman" w:hAnsi="Times New Roman"/>
          <w:sz w:val="20"/>
          <w:szCs w:val="20"/>
          <w:color w:val="auto"/>
        </w:rPr>
        <w:t>”) shall be at least Baa3 (with a stable outlook) or (ii) (x) the Company’s S&amp;P Rating shall be at least BBB- (with a stable outlook) or the Company’s Moody’s Rating shall be at least Baa3 (with a stable outlook) and (y) the Leverage Ratio is less than or equal to 2.50 to 1.00.</w:t>
      </w:r>
    </w:p>
    <w:p>
      <w:pPr>
        <w:spacing w:after="0" w:line="21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Excluded Capital Stock</w:t>
      </w:r>
      <w:r>
        <w:rPr>
          <w:rFonts w:ascii="Times New Roman" w:cs="Times New Roman" w:eastAsia="Times New Roman" w:hAnsi="Times New Roman"/>
          <w:sz w:val="20"/>
          <w:szCs w:val="20"/>
          <w:color w:val="auto"/>
        </w:rPr>
        <w:t>” means (i) the Capital Stock of SMG Germany GmbH, (ii) the Capital Stock of SMG Gardening (UK) Ltd., (iii) the Capital Stock of Scotts de Mexico SA de CV, (iv) the Capital Stock of Scotts Servicios S.A., (v) the Capital Stock of Scotts Sierra (China) Co. Ltd., (vi) Miracle-Gro Tecnologia &amp; Servicios, S. de R.L. de C.V., (vii) the Capital Stock of The Scotts Miracle-Gro Foundation, (viii) the Capital Stock of Hawthorne Gardening II B.V. and (ix) the Capital Stock of the Excluded Entities.</w:t>
      </w:r>
    </w:p>
    <w:p>
      <w:pPr>
        <w:spacing w:after="0" w:line="21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Property</w:t>
      </w:r>
      <w:r>
        <w:rPr>
          <w:rFonts w:ascii="Times New Roman" w:cs="Times New Roman" w:eastAsia="Times New Roman" w:hAnsi="Times New Roman"/>
          <w:sz w:val="19"/>
          <w:szCs w:val="19"/>
          <w:color w:val="auto"/>
        </w:rPr>
        <w:t xml:space="preserve">” means all Capital Stock of any Domestic Subsidiary and 65% of any first-tier Foreign Subsidiary (other than (i) Capital Stock of Subsidiaries listed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(ii) Specified Excluded Capital Stock and (iii) Capital Stock carved-out in Section 5.11), Equipment, Inventory, Receivables (other than Sold Receivables Assets), Intellectual Property, the Pledged Note (as defined in the Guarantee and Collateral Agreement), the HGC Divestiture Initial Non-Cash Consideration and the HGC Divestiture Subsequent Non-Cash Consideration, in each case owned by the Company and the Subsidiary Guarantors. The terms “Equipment” and “Inventory” as used herein shall have the meaning assigned to such terms in the Uniform Commercial Code in effect from time to time in the State of New York.</w:t>
      </w:r>
    </w:p>
    <w:p>
      <w:pPr>
        <w:spacing w:after="0" w:line="20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95"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Springing Maturity Date</w:t>
      </w:r>
      <w:r>
        <w:rPr>
          <w:rFonts w:ascii="Times New Roman" w:cs="Times New Roman" w:eastAsia="Times New Roman" w:hAnsi="Times New Roman"/>
          <w:sz w:val="20"/>
          <w:szCs w:val="20"/>
          <w:color w:val="auto"/>
        </w:rPr>
        <w:t>” means the date that is 91 days prior to October 15, 2029 (such date, the “</w:t>
      </w:r>
      <w:r>
        <w:rPr>
          <w:rFonts w:ascii="Times New Roman" w:cs="Times New Roman" w:eastAsia="Times New Roman" w:hAnsi="Times New Roman"/>
          <w:sz w:val="20"/>
          <w:szCs w:val="20"/>
          <w:u w:val="single" w:color="auto"/>
          <w:color w:val="auto"/>
        </w:rPr>
        <w:t>Early Maturity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Springing Maturity Date shall occur if the Company has, on or prior to the Early Maturity Date, either (i) repaid, redeemed, discharged or defeased all of the 2029 Senior Notes (in accordance with the terms thereof and the 4.500% Indenture) or (ii) refinanced the 2029 Senior Notes such that the maturity date of any Indebtedness that refinances the 2029 Senior Notes is at least 91 days after November 21, 2030.</w:t>
      </w:r>
    </w:p>
    <w:p>
      <w:pPr>
        <w:spacing w:after="0" w:line="2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the Company or any Subsidiary thereof in connection with a receivable financing or securitization which are reasonably customary for a seller or servicer of assets in a non-recourse bankruptcy-remote accounts receivable financing transaction or purchase program.</w:t>
      </w:r>
    </w:p>
    <w:p>
      <w:pPr>
        <w:spacing w:after="0" w:line="20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886" w:right="339" w:bottom="1440" w:gutter="0" w:footer="0" w:header="0"/>
        </w:sectPr>
      </w:pPr>
    </w:p>
    <w:bookmarkStart w:id="49" w:name="page50"/>
    <w:bookmarkEnd w:id="49"/>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the Company or any Subsidiary the payment of which is expressly subordinated to payment of the obligations under the Loan Documents.</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notwithstanding the foregoing, (i) to the extent Bonnie Plants, LLC (“</w:t>
      </w:r>
      <w:r>
        <w:rPr>
          <w:rFonts w:ascii="Times New Roman" w:cs="Times New Roman" w:eastAsia="Times New Roman" w:hAnsi="Times New Roman"/>
          <w:sz w:val="20"/>
          <w:szCs w:val="20"/>
          <w:u w:val="single" w:color="auto"/>
          <w:color w:val="auto"/>
        </w:rPr>
        <w:t>Bonnie</w:t>
      </w:r>
      <w:r>
        <w:rPr>
          <w:rFonts w:ascii="Times New Roman" w:cs="Times New Roman" w:eastAsia="Times New Roman" w:hAnsi="Times New Roman"/>
          <w:sz w:val="20"/>
          <w:szCs w:val="20"/>
          <w:color w:val="auto"/>
        </w:rPr>
        <w:t>”) becomes a “Subsidiary” following the Effective Date, Bonnie will not be a “Material Subsidiary” or “Subsidiary” for purposes of the representations and warranties, covenants, events of default or any other terms of this Agreement until such time as it becomes a Wholly-Owned Subsidiary of the Company, (ii) to the extent Laketon Peat Moss Inc. (“</w:t>
      </w:r>
      <w:r>
        <w:rPr>
          <w:rFonts w:ascii="Times New Roman" w:cs="Times New Roman" w:eastAsia="Times New Roman" w:hAnsi="Times New Roman"/>
          <w:sz w:val="20"/>
          <w:szCs w:val="20"/>
          <w:u w:val="single" w:color="auto"/>
          <w:color w:val="auto"/>
        </w:rPr>
        <w:t>Laketon</w:t>
      </w:r>
      <w:r>
        <w:rPr>
          <w:rFonts w:ascii="Times New Roman" w:cs="Times New Roman" w:eastAsia="Times New Roman" w:hAnsi="Times New Roman"/>
          <w:sz w:val="20"/>
          <w:szCs w:val="20"/>
          <w:color w:val="auto"/>
        </w:rPr>
        <w:t>”) becomes a “Subsidiary” following the Effective Date, Laketon will not be a “Material Subsidiary” or “Subsidiary” for purposes of the representations and warranties, covenants, events of default or any other terms of this Agreement until such time as it becomes a Wholly-Owned Subsidiary of the Company and (iii) the Charitable Foundation will not be a “Subsidiary” for purposes of this Agreement and the other Loan Documents.</w:t>
      </w:r>
    </w:p>
    <w:p>
      <w:pPr>
        <w:spacing w:after="0" w:line="20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w:t>
      </w:r>
      <w:r>
        <w:rPr>
          <w:rFonts w:ascii="Times New Roman" w:cs="Times New Roman" w:eastAsia="Times New Roman" w:hAnsi="Times New Roman"/>
          <w:sz w:val="20"/>
          <w:szCs w:val="20"/>
          <w:color w:val="auto"/>
        </w:rPr>
        <w:t>” means (i) the Initial Subsidiary Borrowers and (ii) any Eligible Subsidiary that becomes a Subsidiary Borrower pursuant to Section 2.23 and, in the case of each of the foregoing, that has not ceased to be a Subsidiary Borrower pursuant to such Section.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 Agreement</w:t>
      </w:r>
      <w:r>
        <w:rPr>
          <w:rFonts w:ascii="Times New Roman" w:cs="Times New Roman" w:eastAsia="Times New Roman" w:hAnsi="Times New Roman"/>
          <w:sz w:val="20"/>
          <w:szCs w:val="20"/>
          <w:color w:val="auto"/>
        </w:rPr>
        <w:t xml:space="preserve">” means a Subsidiary Borrower Agreement substantially in the form of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 Termination</w:t>
      </w:r>
      <w:r>
        <w:rPr>
          <w:rFonts w:ascii="Times New Roman" w:cs="Times New Roman" w:eastAsia="Times New Roman" w:hAnsi="Times New Roman"/>
          <w:sz w:val="20"/>
          <w:szCs w:val="20"/>
          <w:color w:val="auto"/>
        </w:rPr>
        <w:t xml:space="preserve">” means a Subsidiary Borrower Termination substantially in the form of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Guarantor</w:t>
      </w:r>
      <w:r>
        <w:rPr>
          <w:rFonts w:ascii="Times New Roman" w:cs="Times New Roman" w:eastAsia="Times New Roman" w:hAnsi="Times New Roman"/>
          <w:sz w:val="19"/>
          <w:szCs w:val="19"/>
          <w:color w:val="auto"/>
        </w:rPr>
        <w:t>” means (a) each Material Domestic Subsidiary of the Company party to the Guarantee and Collateral Agreement (which shall expressly exclude each Excluded Domestic Subsidiary) and (b) each Subsidiary that becomes a Required Subsidiary subsequent to the Effective Date, except as otherwise provided in Section 5.11, that is a party to the Guarantee and Collateral Agreement.</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it in Section 9.19.</w:t>
      </w:r>
    </w:p>
    <w:p>
      <w:pPr>
        <w:spacing w:after="0" w:line="25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a Swingline Lender and (b) the aggregate principal amount of all Swingline Loans made by such Lender as a Swingline Lender outstanding at such time (less the amount of participations funded by the other Revolving Lenders in such Swingline Loans).</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JPMorgan Chase Bank, N.A., in its capacity as lender of Swingline Loans hereunder.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Canadian Swingline Loan, a Dollar Swingline Loan or a euro Swingline Loan.</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129" w:right="339" w:bottom="1440" w:gutter="0" w:footer="0" w:header="0"/>
        </w:sectPr>
      </w:pPr>
    </w:p>
    <w:bookmarkStart w:id="50" w:name="page51"/>
    <w:bookmarkEnd w:id="50"/>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means any day on which T2 (or, if such payment system ceases to be operative, such other payment system, if any, reasonably determined by the Administrative Agent to be a suitable replacement) is open for the settlement of payments in euro.</w:t>
      </w:r>
    </w:p>
    <w:p>
      <w:pPr>
        <w:spacing w:after="0" w:line="15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means that such Loan, or the Loans comprising such Borrowing, bears interest at a rate determined by reference to the Adjusted Term SOFR Rate (other than pursuant to clause (c) of the definition of “Alternate Base Rate”), the Adjusted EURIBO Rate or the Adjusted Term CORRA Rate (other than pursuant to clause (ii) of the definition of “Canadian Prime Rate”).</w:t>
      </w:r>
    </w:p>
    <w:p>
      <w:pPr>
        <w:spacing w:after="0" w:line="19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means, for any calculation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CORRA Determination Day</w:t>
      </w:r>
      <w:r>
        <w:rPr>
          <w:rFonts w:ascii="Times New Roman" w:cs="Times New Roman" w:eastAsia="Times New Roman" w:hAnsi="Times New Roman"/>
          <w:sz w:val="20"/>
          <w:szCs w:val="20"/>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Administrator</w:t>
      </w:r>
      <w:r>
        <w:rPr>
          <w:rFonts w:ascii="Times New Roman" w:cs="Times New Roman" w:eastAsia="Times New Roman" w:hAnsi="Times New Roman"/>
          <w:sz w:val="20"/>
          <w:szCs w:val="20"/>
          <w:color w:val="auto"/>
        </w:rPr>
        <w:t>” means Candeal Benchmark Administration Services Inc., TSX Inc., or any successor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administrator.</w:t>
      </w:r>
    </w:p>
    <w:p>
      <w:pPr>
        <w:spacing w:after="0" w:line="23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Notice</w:t>
      </w:r>
      <w:r>
        <w:rPr>
          <w:rFonts w:ascii="Times New Roman" w:cs="Times New Roman" w:eastAsia="Times New Roman" w:hAnsi="Times New Roman"/>
          <w:sz w:val="20"/>
          <w:szCs w:val="20"/>
          <w:color w:val="auto"/>
        </w:rPr>
        <w:t>” means a notification by the Administrative Agent to the Lenders and the Company of the occurrence of a Term CORRA Reelection Event.</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Reelection Event</w:t>
      </w:r>
      <w:r>
        <w:rPr>
          <w:rFonts w:ascii="Times New Roman" w:cs="Times New Roman" w:eastAsia="Times New Roman" w:hAnsi="Times New Roman"/>
          <w:sz w:val="20"/>
          <w:szCs w:val="20"/>
          <w:color w:val="auto"/>
        </w:rPr>
        <w:t>”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2.14(b) that is not Term CORRA.</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as of any date of determination, each Lender having a Term Loan Commitment or that holds Term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Commitment</w:t>
      </w:r>
      <w:r>
        <w:rPr>
          <w:rFonts w:ascii="Times New Roman" w:cs="Times New Roman" w:eastAsia="Times New Roman" w:hAnsi="Times New Roman"/>
          <w:sz w:val="19"/>
          <w:szCs w:val="19"/>
          <w:color w:val="auto"/>
        </w:rPr>
        <w:t>” means a Tranche A Term Loan Commitment or an Incremental Term Commitment of any Series.</w:t>
      </w: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a Tranche A Term Loan or an Incremental Term Loan of any Series.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129" w:right="339" w:bottom="1440" w:gutter="0" w:footer="0" w:header="0"/>
        </w:sectPr>
      </w:pPr>
    </w:p>
    <w:bookmarkStart w:id="51" w:name="page52"/>
    <w:bookmarkEnd w:id="51"/>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99" w:lineRule="exact"/>
        <w:rPr>
          <w:sz w:val="20"/>
          <w:szCs w:val="20"/>
          <w:color w:val="auto"/>
        </w:rPr>
      </w:pPr>
    </w:p>
    <w:p>
      <w:pPr>
        <w:jc w:val="both"/>
        <w:ind w:firstLine="1377"/>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has the meaning assigned to such term in Section 9.04(e)(i).</w:t>
      </w:r>
    </w:p>
    <w:p>
      <w:pPr>
        <w:spacing w:after="0" w:line="25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means (i) a category of Revolving Commitments and extensions of credit hereunder in respect thereof and (ii) a category of Term Loan Commitments and extension of credit hereunder in respect thereof. For purposes hereof, each of the following comprises a separate Tranche: (a) Global Tranche Commitments, Global Tranche Revolving Loans, Global Tranche Letters of Credit and Swingline Loans, (b) US Tranche Commitments, US Tranche Revolving Loans and US Tranche Letters of Credit, (c) Tranche A Term Loans and (d) Incremental Term Loans of any Series.</w:t>
      </w:r>
    </w:p>
    <w:p>
      <w:pPr>
        <w:spacing w:after="0" w:line="21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Term Lender</w:t>
      </w:r>
      <w:r>
        <w:rPr>
          <w:rFonts w:ascii="Times New Roman" w:cs="Times New Roman" w:eastAsia="Times New Roman" w:hAnsi="Times New Roman"/>
          <w:sz w:val="20"/>
          <w:szCs w:val="20"/>
          <w:color w:val="auto"/>
        </w:rPr>
        <w:t>” means, as of any date of determination, each Lender having a Tranche A Term Loan Commitment or that holds Tranche A Term Loans.</w:t>
      </w:r>
    </w:p>
    <w:p>
      <w:pPr>
        <w:spacing w:after="0" w:line="20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Term Loan</w:t>
      </w:r>
      <w:r>
        <w:rPr>
          <w:rFonts w:ascii="Times New Roman" w:cs="Times New Roman" w:eastAsia="Times New Roman" w:hAnsi="Times New Roman"/>
          <w:sz w:val="20"/>
          <w:szCs w:val="20"/>
          <w:color w:val="auto"/>
        </w:rPr>
        <w:t>” means the term loans made on the Effective Date by the applicable Term Lenders to the Company pursuant to Section 2.01(c).</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Term Loan Commitment</w:t>
      </w:r>
      <w:r>
        <w:rPr>
          <w:rFonts w:ascii="Times New Roman" w:cs="Times New Roman" w:eastAsia="Times New Roman" w:hAnsi="Times New Roman"/>
          <w:sz w:val="20"/>
          <w:szCs w:val="20"/>
          <w:color w:val="auto"/>
        </w:rPr>
        <w:t xml:space="preserve">” means (a) as to any Term Lender, the aggregate commitment of such Term Lender to make Tranche A Term Loans as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or in the most recent Assignment Agreement or other documentation contemplated hereby executed by such Term Lender and (b) as to all Term Lenders, the aggregate commitment of all Term Lenders to make Tranche A Term Loans, which aggregate commitment shall be $500,000,000 on the date of this Agreement. After advancing the Tranche A Term Loan, each reference to a Term Lender’s Tranche A Term Loan Commitment shall refer to that Term Lender’s Applicable Percentage of the Tranche A Term Loans.</w:t>
      </w:r>
    </w:p>
    <w:p>
      <w:pPr>
        <w:spacing w:after="0" w:line="2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Term Loan Maturity Date</w:t>
      </w:r>
      <w:r>
        <w:rPr>
          <w:rFonts w:ascii="Times New Roman" w:cs="Times New Roman" w:eastAsia="Times New Roman" w:hAnsi="Times New Roman"/>
          <w:sz w:val="20"/>
          <w:szCs w:val="20"/>
          <w:color w:val="auto"/>
        </w:rPr>
        <w:t xml:space="preserve">” means the earlier of (i) November 21, 2030 and (ii) the Springing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each case if such date is not a Business Day, the Tranche A Term Loan Maturity Date shall be the next preceding Business Day.</w:t>
      </w:r>
    </w:p>
    <w:p>
      <w:pPr>
        <w:spacing w:after="0" w:line="208"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9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886" w:right="339" w:bottom="1440" w:gutter="0" w:footer="0" w:header="0"/>
        </w:sectPr>
      </w:pPr>
    </w:p>
    <w:bookmarkStart w:id="52" w:name="page53"/>
    <w:bookmarkEnd w:id="52"/>
    <w:p>
      <w:pPr>
        <w:jc w:val="both"/>
        <w:spacing w:after="0" w:line="283" w:lineRule="auto"/>
        <w:rPr>
          <w:sz w:val="20"/>
          <w:szCs w:val="20"/>
          <w:color w:val="auto"/>
        </w:rPr>
      </w:pPr>
      <w:r>
        <w:rPr>
          <w:rFonts w:ascii="Times New Roman" w:cs="Times New Roman" w:eastAsia="Times New Roman" w:hAnsi="Times New Roman"/>
          <w:sz w:val="20"/>
          <w:szCs w:val="20"/>
          <w:color w:val="auto"/>
        </w:rPr>
        <w:t>Term SOFR Rate, the Adjusted EURIBO Rate, the Adjusted Term CORRA Rate, the Alternate Base Rate, the Adjusted Daily Simple RFR (or, solely in the case of a Canadian Swingline Loan, the Canadian Prime Rate).</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3" w:lineRule="exact"/>
        <w:rPr>
          <w:sz w:val="20"/>
          <w:szCs w:val="20"/>
          <w:color w:val="auto"/>
        </w:rPr>
      </w:pPr>
    </w:p>
    <w:p>
      <w:pPr>
        <w:jc w:val="both"/>
        <w:ind w:firstLine="1377"/>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20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Obligations (or portion thereof) that are contingent in nature or unliquidated at such time, including any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means the Company and each Domestic Subsidiary Borrower.</w:t>
      </w:r>
    </w:p>
    <w:p>
      <w:pPr>
        <w:spacing w:after="0" w:line="24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Tranche Commitment</w:t>
      </w:r>
      <w:r>
        <w:rPr>
          <w:rFonts w:ascii="Times New Roman" w:cs="Times New Roman" w:eastAsia="Times New Roman" w:hAnsi="Times New Roman"/>
          <w:sz w:val="20"/>
          <w:szCs w:val="20"/>
          <w:color w:val="auto"/>
        </w:rPr>
        <w:t xml:space="preserve">” means, with respect to each US Tranche Lender, the commitment of such US Tranche Lender to make US Tranche Revolving Loans and to acquire participations in US Tranche Letters of Credit hereunder, as such commitment may be (a) reduced or terminated from time to time pursuant to Section 2.09, (b) increased or assumed from time to time pursuant to an Incremental Facility Agreement pursuant to Section 2.20 and (c) reduced or increased from time to time pursuant to assignments by or to such Lender pursuant to Section 9.04. The initial amount of each US Tranche Lender’s US Tranche Commitment is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or in the Assignment and Assumption (or other documentation contemplated by this Agreement) pursuant to which such US Tranche Lender shall have assumed its US Tranche Commitment, as applicable. The aggregate principal amount of the US Tranche Commitments on the Effective Date is $90,225,000.00.</w:t>
      </w:r>
    </w:p>
    <w:p>
      <w:pPr>
        <w:spacing w:after="0" w:line="22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Tranche LC Exposure</w:t>
      </w:r>
      <w:r>
        <w:rPr>
          <w:rFonts w:ascii="Times New Roman" w:cs="Times New Roman" w:eastAsia="Times New Roman" w:hAnsi="Times New Roman"/>
          <w:sz w:val="20"/>
          <w:szCs w:val="20"/>
          <w:color w:val="auto"/>
        </w:rPr>
        <w:t>” means, at any time, the sum of (a) the aggregate undrawn Dollar Amount of all outstanding US Tranche Letters of Credit at such time plus (b) the aggregate Dollar Amount of all LC Disbursements in respect of US Tranche Letters of Credit that have not yet been reimbursed by or on behalf of the Company at such time. The US Tranche LC Exposure of any US Tranche Lender at any time shall be its US Tranche Percentage of the total US Tranche LC Exposure at such time.</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Tranche Lender</w:t>
      </w:r>
      <w:r>
        <w:rPr>
          <w:rFonts w:ascii="Times New Roman" w:cs="Times New Roman" w:eastAsia="Times New Roman" w:hAnsi="Times New Roman"/>
          <w:sz w:val="20"/>
          <w:szCs w:val="20"/>
          <w:color w:val="auto"/>
        </w:rPr>
        <w:t>” means a Lender with a US Tranche Commitment or holding US Tranche Revolving Loans.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Tranche Letter of Credit</w:t>
      </w:r>
      <w:r>
        <w:rPr>
          <w:rFonts w:ascii="Times New Roman" w:cs="Times New Roman" w:eastAsia="Times New Roman" w:hAnsi="Times New Roman"/>
          <w:sz w:val="20"/>
          <w:szCs w:val="20"/>
          <w:color w:val="auto"/>
        </w:rPr>
        <w:t>” means any letter of credit issued under the US Tranche Commitments pursuant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3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Tranche Percentage</w:t>
      </w:r>
      <w:r>
        <w:rPr>
          <w:rFonts w:ascii="Times New Roman" w:cs="Times New Roman" w:eastAsia="Times New Roman" w:hAnsi="Times New Roman"/>
          <w:sz w:val="20"/>
          <w:szCs w:val="20"/>
          <w:color w:val="auto"/>
        </w:rPr>
        <w:t>” means the percentage equal to a fraction the numerator of which is such Lender’s US Tranche Commitment and the denominator of which is the aggregate US Tranche Commitments of all US Tranche Lenders (if the US Tranche Commitments have terminated or expired, the US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886"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Tranche Percentages shall be determined based upon the US Tranche Commitments most recently in effect, giving effect to any assignments);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Section 2.22 when a Defaulting Lender shall exist, any such Defaulting Lender’s US Tranche Commitment shall be disregarded in the calculation.</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Tranche Revolving Borrowing</w:t>
      </w:r>
      <w:r>
        <w:rPr>
          <w:rFonts w:ascii="Times New Roman" w:cs="Times New Roman" w:eastAsia="Times New Roman" w:hAnsi="Times New Roman"/>
          <w:sz w:val="20"/>
          <w:szCs w:val="20"/>
          <w:color w:val="auto"/>
        </w:rPr>
        <w:t>” means a Borrowing comprised of US Tranche Revolving Loans.</w:t>
      </w:r>
    </w:p>
    <w:p>
      <w:pPr>
        <w:spacing w:after="0" w:line="24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Tranche Revolving Credit Exposure</w:t>
      </w:r>
      <w:r>
        <w:rPr>
          <w:rFonts w:ascii="Times New Roman" w:cs="Times New Roman" w:eastAsia="Times New Roman" w:hAnsi="Times New Roman"/>
          <w:sz w:val="20"/>
          <w:szCs w:val="20"/>
          <w:color w:val="auto"/>
        </w:rPr>
        <w:t>” means, with respect to any US Tranche Lender at any time, and without duplication, the sum of the outstanding principal amount of such US Tranche Lender’s US Tranche Revolving Loans and its US Tranche LC Exposure.</w:t>
      </w:r>
    </w:p>
    <w:p>
      <w:pPr>
        <w:spacing w:after="0" w:line="18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Tranche Revolving Loan</w:t>
      </w:r>
      <w:r>
        <w:rPr>
          <w:rFonts w:ascii="Times New Roman" w:cs="Times New Roman" w:eastAsia="Times New Roman" w:hAnsi="Times New Roman"/>
          <w:sz w:val="20"/>
          <w:szCs w:val="20"/>
          <w:color w:val="auto"/>
        </w:rPr>
        <w:t>” means a Loan made by a US Tranche Lender pursuant to Section 2.01(a). Each US Tranche Revolving Loan shall be a Term Benchmark Revolving Loan denominated in Dollars or an ABR Revolving Loan denominated in Dollars.</w:t>
      </w:r>
    </w:p>
    <w:p>
      <w:pPr>
        <w:spacing w:after="0" w:line="173" w:lineRule="exact"/>
        <w:rPr>
          <w:sz w:val="20"/>
          <w:szCs w:val="20"/>
          <w:color w:val="auto"/>
        </w:rPr>
      </w:pPr>
    </w:p>
    <w:p>
      <w:pPr>
        <w:jc w:val="both"/>
        <w:ind w:firstLine="1377"/>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(i) for purposes of Sections 3.22 and 6.17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such term in Section 9.19.</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2.17(f)(ii)(B)(3).</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Participant</w:t>
      </w:r>
      <w:r>
        <w:rPr>
          <w:rFonts w:ascii="Times New Roman" w:cs="Times New Roman" w:eastAsia="Times New Roman" w:hAnsi="Times New Roman"/>
          <w:sz w:val="20"/>
          <w:szCs w:val="20"/>
          <w:color w:val="auto"/>
        </w:rPr>
        <w:t>” has the meaning assigned to such term in Section 9.04(c).</w:t>
      </w:r>
    </w:p>
    <w:p>
      <w:pPr>
        <w:spacing w:after="0" w:line="24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means any subsidiary of any Person all of the Capital Stock of which (other than directors’ qualifying shares required by law) is owned by such Person directly and/or through other wholly owned Subsidiaries.</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1.02. </w:t>
      </w:r>
      <w:r>
        <w:rPr>
          <w:rFonts w:ascii="Times New Roman" w:cs="Times New Roman" w:eastAsia="Times New Roman" w:hAnsi="Times New Roman"/>
          <w:sz w:val="20"/>
          <w:szCs w:val="20"/>
          <w:u w:val="single" w:color="auto"/>
          <w:color w:val="000000"/>
        </w:rPr>
        <w:t>Classification of Loans and Borrowings</w:t>
      </w:r>
      <w:r>
        <w:rPr>
          <w:rFonts w:ascii="Times New Roman" w:cs="Times New Roman" w:eastAsia="Times New Roman" w:hAnsi="Times New Roman"/>
          <w:sz w:val="20"/>
          <w:szCs w:val="20"/>
          <w:color w:val="000000"/>
        </w:rPr>
        <w:t>. For purposes of this Agreement, Loans may be classified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referred to by Class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“Global Tranche Revolving Loan”) or by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88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“Global Tranche Term Benchmark Loan”)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“Global Tranche Term Benchmark Revolving Loan”).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Borrowings also may be classified and referred to by Class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“Global Tranche Revolving Borrowing”)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“Global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Tranche Term Benchmark Borrowing”)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“Global Tranche Term Benchmark Revolving Borrowing”).</w:t>
      </w:r>
    </w:p>
    <w:p>
      <w:pPr>
        <w:spacing w:after="0" w:line="23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1.03. </w:t>
      </w:r>
      <w:r>
        <w:rPr>
          <w:rFonts w:ascii="Times New Roman" w:cs="Times New Roman" w:eastAsia="Times New Roman" w:hAnsi="Times New Roman"/>
          <w:sz w:val="20"/>
          <w:szCs w:val="20"/>
          <w:u w:val="single" w:color="auto"/>
          <w:color w:val="000000"/>
        </w:rPr>
        <w:t>Terms Generally</w:t>
      </w:r>
      <w:r>
        <w:rPr>
          <w:rFonts w:ascii="Times New Roman" w:cs="Times New Roman" w:eastAsia="Times New Roman" w:hAnsi="Times New Roman"/>
          <w:sz w:val="20"/>
          <w:szCs w:val="20"/>
          <w:color w:val="000000"/>
        </w:rPr>
        <w:t>. The definitions of terms herein shall apply equally to the singular and plural forms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w:t>
      </w:r>
    </w:p>
    <w:p>
      <w:pPr>
        <w:spacing w:after="0" w:line="2" w:lineRule="exact"/>
        <w:rPr>
          <w:sz w:val="20"/>
          <w:szCs w:val="20"/>
          <w:color w:val="auto"/>
        </w:rPr>
      </w:pPr>
    </w:p>
    <w:p>
      <w:pPr>
        <w:jc w:val="both"/>
        <w:ind w:firstLine="8"/>
        <w:spacing w:after="0" w:line="249" w:lineRule="auto"/>
        <w:tabs>
          <w:tab w:leader="none" w:pos="28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any reference to any law, rule or regulation herein shall, unless otherwise specified, refer to such law, rule or regulation as amended, modified or supplemented from time to time, (f) all references herein to Articles, Sections, Exhibits and Schedules shall be construed to refer to Articles and Sections of, and Exhibits and Schedules to, this Agreement and (g) the words “asset” and “property” shall be construed to have the same meaning and effect and to refer to any and all tangible and intangible assets and properties, including cash, securities, accounts and contract rights.</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1.04. </w:t>
      </w:r>
      <w:r>
        <w:rPr>
          <w:rFonts w:ascii="Times New Roman" w:cs="Times New Roman" w:eastAsia="Times New Roman" w:hAnsi="Times New Roman"/>
          <w:sz w:val="20"/>
          <w:szCs w:val="20"/>
          <w:u w:val="single" w:color="auto"/>
          <w:color w:val="000000"/>
        </w:rPr>
        <w:t>Accounting Terms; GAAP; Pro Forma Calculations</w:t>
      </w:r>
      <w:r>
        <w:rPr>
          <w:rFonts w:ascii="Times New Roman" w:cs="Times New Roman" w:eastAsia="Times New Roman" w:hAnsi="Times New Roman"/>
          <w:sz w:val="20"/>
          <w:szCs w:val="20"/>
          <w:color w:val="000000"/>
        </w:rPr>
        <w:t>. (a) Except as otherwise expressly provided herein,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the Company notifies the Administrative Agent that the Company wishes to amend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the Company’s (and its Subsidiaries’, as applicable) compliance with such provision shall be determined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14" w:lineRule="exact"/>
        <w:rPr>
          <w:sz w:val="20"/>
          <w:szCs w:val="20"/>
          <w:color w:val="auto"/>
        </w:rPr>
      </w:pPr>
    </w:p>
    <w:p>
      <w:pPr>
        <w:jc w:val="both"/>
        <w:ind w:firstLine="1304"/>
        <w:spacing w:after="0" w:line="268" w:lineRule="auto"/>
        <w:tabs>
          <w:tab w:leader="none" w:pos="174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 forma computations required to be made hereunder giving effect to any acquisition or disposition</w:t>
      </w:r>
      <w:r>
        <w:rPr>
          <w:rFonts w:ascii="Times New Roman" w:cs="Times New Roman" w:eastAsia="Times New Roman" w:hAnsi="Times New Roman"/>
          <w:sz w:val="20"/>
          <w:szCs w:val="20"/>
          <w:color w:val="002060"/>
        </w:rPr>
        <w:t>,</w:t>
      </w:r>
      <w:r>
        <w:rPr>
          <w:rFonts w:ascii="Times New Roman" w:cs="Times New Roman" w:eastAsia="Times New Roman" w:hAnsi="Times New Roman"/>
          <w:sz w:val="20"/>
          <w:szCs w:val="20"/>
          <w:color w:val="auto"/>
        </w:rPr>
        <w:t xml:space="preserve"> or issuance, incurrence or assumption of Indebtedness, or other transaction shall in each case be calculated giving pro forma effect thereto (and, in the case of any pro forma computation made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886"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20"/>
          <w:szCs w:val="20"/>
          <w:color w:val="auto"/>
        </w:rPr>
        <w:t>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(b), and, to the extent applicable, to the historical earnings and cash flows associated with the assets acquired or disposed of (but without giving effect to any synergies or cost savings, unless otherwise expressly permitted herein)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w:t>
      </w:r>
    </w:p>
    <w:p>
      <w:pPr>
        <w:spacing w:after="0" w:line="22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1.05. </w:t>
      </w:r>
      <w:r>
        <w:rPr>
          <w:rFonts w:ascii="Times New Roman" w:cs="Times New Roman" w:eastAsia="Times New Roman" w:hAnsi="Times New Roman"/>
          <w:sz w:val="20"/>
          <w:szCs w:val="20"/>
          <w:u w:val="single" w:color="auto"/>
          <w:color w:val="000000"/>
        </w:rPr>
        <w:t>Status of Obligations</w:t>
      </w:r>
      <w:r>
        <w:rPr>
          <w:rFonts w:ascii="Times New Roman" w:cs="Times New Roman" w:eastAsia="Times New Roman" w:hAnsi="Times New Roman"/>
          <w:sz w:val="20"/>
          <w:szCs w:val="20"/>
          <w:color w:val="000000"/>
        </w:rPr>
        <w:t>. In the event that the Company or any other Loan Party shall at any time issue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have outstanding any Subordinated Indebtedness, the Company shall take or cause such other Loan Party to take all such actions as shall be necessary to cause the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22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u w:val="single" w:color="auto"/>
          <w:color w:val="000000"/>
        </w:rPr>
        <w:t>Interest Rates; Benchmark Notification</w:t>
      </w:r>
      <w:r>
        <w:rPr>
          <w:rFonts w:ascii="Times New Roman" w:cs="Times New Roman" w:eastAsia="Times New Roman" w:hAnsi="Times New Roman"/>
          <w:sz w:val="20"/>
          <w:szCs w:val="20"/>
          <w:color w:val="000000"/>
        </w:rPr>
        <w:t>. The interest rate on a Loan denominated in Dollars or a Foreign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Currency may be derived from an interest rate benchmark that may be discontinued or is, or may in the future become, the subject of regulatory reform. Upon the occurrence of a Benchmark Transition Event or a Term CORRA Reelection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1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1.07. </w:t>
      </w:r>
      <w:r>
        <w:rPr>
          <w:rFonts w:ascii="Times New Roman" w:cs="Times New Roman" w:eastAsia="Times New Roman" w:hAnsi="Times New Roman"/>
          <w:sz w:val="20"/>
          <w:szCs w:val="20"/>
          <w:u w:val="single" w:color="auto"/>
          <w:color w:val="000000"/>
        </w:rPr>
        <w:t>Amendment and Restatement of Existing Credit Agreement</w:t>
      </w:r>
      <w:r>
        <w:rPr>
          <w:rFonts w:ascii="Times New Roman" w:cs="Times New Roman" w:eastAsia="Times New Roman" w:hAnsi="Times New Roman"/>
          <w:sz w:val="20"/>
          <w:szCs w:val="20"/>
          <w:color w:val="000000"/>
        </w:rPr>
        <w:t>. The parties to this Agreement agree that,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upon (i) the execution and delivery by each of the parties hereto of this Agreement and (ii) satisfaction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886" w:right="339" w:bottom="1440" w:gutter="0" w:footer="0" w:header="0"/>
        </w:sectPr>
      </w:pPr>
    </w:p>
    <w:bookmarkStart w:id="56" w:name="page57"/>
    <w:bookmarkEnd w:id="56"/>
    <w:p>
      <w:pPr>
        <w:jc w:val="both"/>
        <w:spacing w:after="0" w:line="249" w:lineRule="auto"/>
        <w:rPr>
          <w:sz w:val="20"/>
          <w:szCs w:val="20"/>
          <w:color w:val="auto"/>
        </w:rPr>
      </w:pPr>
      <w:r>
        <w:rPr>
          <w:rFonts w:ascii="Times New Roman" w:cs="Times New Roman" w:eastAsia="Times New Roman" w:hAnsi="Times New Roman"/>
          <w:sz w:val="20"/>
          <w:szCs w:val="20"/>
          <w:color w:val="auto"/>
        </w:rPr>
        <w:t>All “Loans” made and “Obligations” incurred under the Existing Credit Agreement which are outstanding on the Effective Date (other than any “Term Loans” under (and as defined in) the Existing Credit Agreement to the extent repaid on the Effective Date) shall continue as Loans and Obligations under (and shall be governed by the terms of) this Agreement and the other Loan Documents. The security interests in and liens on the Collateral created or continued by the Security Documents, whether executed pursuant to the Existing Credit Agreement or the Guarantee and Collateral Agreement, are intended to and shall secure or continue to secure the Obligations under this Agreement and such security interests and liens shall remain outstanding and subject to the terms of this Agreement and the Guarantee and Collateral Agreement. Without limiting the foregoing, upon the occurrence of the Effective Date: (a) all references in the “Loan Documents” (as defined in the Existing Credit Agreement) to the “Administrative Agent”, the “Credit Agreement” and the “Loan Documents” shall be deemed to refer to the Administrative Agent, this Agreement and the Loan Documents, (b) the Existing Letters of Credit which remain outstanding on the Effective Date shall continue as Letters of Credit under (and shall be governed by the terms of) this Agreement, (c) all obligations constituting “Obligations” with any Lender or any Affiliate of any Lender which are outstanding on the Effective Date shall continue as Obligations under this Agreement and the other Loan Documents, (d) the Administrative Agent shall make such reallocations, sales, assignments, designations or other relevant actions in respect of each Lender’s credit exposure under the Existing Credit Agreement as are necessary in order that each such Lender’s Credit Exposure and outstanding Loans hereunder reflects such Lender’s Applicable Percentage of the outstanding aggregate Credit Exposures on the Effective Date and (e) the Borrowers hereby agree to compensate each Lender for any and all losses, costs and expenses incurred by such Lender in connection with the sale and assignment of any Term Benchmark Loans (including any “Term Benchmark Loans” under the Existing Credit Agreement) and such reallocation described above, in each case on the terms and in the manner set forth in Section 2.16 hereof.</w:t>
      </w:r>
    </w:p>
    <w:p>
      <w:pPr>
        <w:spacing w:after="0" w:line="228"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1.08.</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1.09. </w:t>
      </w:r>
      <w:r>
        <w:rPr>
          <w:rFonts w:ascii="Times New Roman" w:cs="Times New Roman" w:eastAsia="Times New Roman" w:hAnsi="Times New Roman"/>
          <w:sz w:val="20"/>
          <w:szCs w:val="20"/>
          <w:u w:val="single" w:color="auto"/>
          <w:color w:val="000000"/>
        </w:rPr>
        <w:t>Divisions</w:t>
      </w:r>
      <w:r>
        <w:rPr>
          <w:rFonts w:ascii="Times New Roman" w:cs="Times New Roman" w:eastAsia="Times New Roman" w:hAnsi="Times New Roman"/>
          <w:sz w:val="20"/>
          <w:szCs w:val="20"/>
          <w:color w:val="000000"/>
        </w:rPr>
        <w:t>. For all purposes under the Loan Documents, in connection with any division or plan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200"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1.10.</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53" w:lineRule="auto"/>
        <w:tabs>
          <w:tab w:leader="none" w:pos="1740"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or the Issuing Banks, as applicable, shall determine the Dollar Amount of Term Benchmark Borrowings, RFR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Banks, as applicable.</w:t>
      </w:r>
    </w:p>
    <w:p>
      <w:pPr>
        <w:spacing w:after="0" w:line="205"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846"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Banks, as the case may be.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886"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color w:val="010000"/>
        </w:rPr>
        <w:t>ARTICLE II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4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010000"/>
        </w:rPr>
        <w:t xml:space="preserve">SECTION 2.01. </w:t>
      </w:r>
      <w:r>
        <w:rPr>
          <w:rFonts w:ascii="Times New Roman" w:cs="Times New Roman" w:eastAsia="Times New Roman" w:hAnsi="Times New Roman"/>
          <w:sz w:val="20"/>
          <w:szCs w:val="20"/>
          <w:u w:val="single" w:color="auto"/>
          <w:color w:val="000000"/>
        </w:rPr>
        <w:t>Commitments</w:t>
      </w:r>
      <w:r>
        <w:rPr>
          <w:rFonts w:ascii="Times New Roman" w:cs="Times New Roman" w:eastAsia="Times New Roman" w:hAnsi="Times New Roman"/>
          <w:sz w:val="20"/>
          <w:szCs w:val="20"/>
          <w:color w:val="000000"/>
        </w:rPr>
        <w:t>. Prior to the Effective Date, certain revolving loans were made to one or more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Borrowers under the Existing Credit Agreement (including all “Revolving Credit Loans” under (and as defined in) the Existing Credit Agreement) which remain outstanding as of the date of this Agreement (such outstanding loans being hereinafter referred to as the “</w:t>
      </w:r>
      <w:r>
        <w:rPr>
          <w:rFonts w:ascii="Times New Roman" w:cs="Times New Roman" w:eastAsia="Times New Roman" w:hAnsi="Times New Roman"/>
          <w:sz w:val="20"/>
          <w:szCs w:val="20"/>
          <w:u w:val="single" w:color="auto"/>
          <w:color w:val="000000"/>
        </w:rPr>
        <w:t>Existing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Revolving Loans</w:t>
      </w:r>
      <w:r>
        <w:rPr>
          <w:rFonts w:ascii="Times New Roman" w:cs="Times New Roman" w:eastAsia="Times New Roman" w:hAnsi="Times New Roman"/>
          <w:sz w:val="20"/>
          <w:szCs w:val="20"/>
          <w:color w:val="000000"/>
        </w:rPr>
        <w:t>”). Subject to the terms and conditions set forth in this Agreement, the Borrowers and each of the Lenders agree that on the Effective Date but subject to the reallocation and other transactions described in Section 1.07, the Existing Revolving Loans shall be reevidenced as Revolving Loans under this Agreement and the terms of the Existing Revolving Loans shall be restated in their entirety and shall be evidenced by this Agreement. Subject to the terms and conditions set forth herein, (a) each US Tranche Lender (severally and not jointly) agrees to make US Tranche Revolving Loans to the US Borrowers in Dollars from time to time during the Availability Period in an aggregate principal amount that will not result in (after giving effect to any application of proceeds of such Borrowing to any Swingline Loans outstanding pursuant to Section 2.10(a)) (i) such Lender’s US Tranche Revolving Credit Exposure exceeding such Lender’s US Tranche Commitment or (ii) the sum of the total US Tranche Revolving Credit Exposures exceeding the aggregate US Tranche Commitments, (b) each Global Tranche Lender (severally and not jointly) agrees to make Global Tranche Revolving Loans to the Borrowers in Agreed Currencies from time to time during the Availability Period in an aggregate principal amount that will not result in (after giving effect to any application of proceeds of such Borrowing to any Swingline Loans outstanding pursuant to Section 2.10(a)) (i) subject to Sections 2.04 and 2.11(b), the Dollar Amount of such Lender’s Global Tranche Revolving Credit Exposure exceeding such Lender’s Global Tranche Commitment, (ii) subject to Sections 2.04 and 2.11(b), the sum of the Dollar Amount of the total Global Tranche Revolving Credit Exposures exceeding the aggregate Global Tranche Commitments, (iii) subject to Sections 2.04 and 2.11(b), the Dollar Amount of the total outstanding Global Tranche Revolving Loans and Global Tranche LC Exposure, in each case denominated in Foreign Currencies, exceeding the Foreign Currency Sublimit or (iv) subject to Sections 2.04 and 2.11(b), the Dollar Amount of the total outstanding Global Tranche Revolving Loans made and outstanding to the Foreign Subsidiary Borrowers, exceeding the Foreign Borrower Sublimit and (c) each Tranche A Term Lender with a Tranche A Term Loan Commitment (severally and not jointly) agrees to make a Tranche A Term Loan to the Company in Dollars on the Effective Date, in an amount equal to such Lender’s Tranche A Term Loan Commitment by making immediately available funds available to the Administrative Agent’s designated account, not later than the time specified by the Administrative Agent. Within the foregoing limits and subject to the terms and conditions set forth herein, the Borrowers may borrow, prepay and reborrow Revolving Loans. Amounts repaid or prepaid in respect of Term Loans may not be reborrowed.</w:t>
      </w:r>
    </w:p>
    <w:p>
      <w:pPr>
        <w:spacing w:after="0" w:line="24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2.02. </w:t>
      </w:r>
      <w:r>
        <w:rPr>
          <w:rFonts w:ascii="Times New Roman" w:cs="Times New Roman" w:eastAsia="Times New Roman" w:hAnsi="Times New Roman"/>
          <w:sz w:val="20"/>
          <w:szCs w:val="20"/>
          <w:u w:val="single" w:color="auto"/>
          <w:color w:val="000000"/>
        </w:rPr>
        <w:t>Loans and Borrowings</w:t>
      </w:r>
      <w:r>
        <w:rPr>
          <w:rFonts w:ascii="Times New Roman" w:cs="Times New Roman" w:eastAsia="Times New Roman" w:hAnsi="Times New Roman"/>
          <w:sz w:val="20"/>
          <w:szCs w:val="20"/>
          <w:color w:val="000000"/>
        </w:rPr>
        <w:t>. (a) Each Loan (other than a Swingline Loan) shall be made as part of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2.10.</w:t>
      </w:r>
    </w:p>
    <w:p>
      <w:pPr>
        <w:spacing w:after="0" w:line="219" w:lineRule="exact"/>
        <w:rPr>
          <w:sz w:val="20"/>
          <w:szCs w:val="20"/>
          <w:color w:val="auto"/>
        </w:rPr>
      </w:pPr>
    </w:p>
    <w:p>
      <w:pPr>
        <w:jc w:val="both"/>
        <w:ind w:firstLine="1304"/>
        <w:spacing w:after="0" w:line="251" w:lineRule="auto"/>
        <w:tabs>
          <w:tab w:leader="none" w:pos="1752" w:val="left"/>
        </w:tabs>
        <w:numPr>
          <w:ilvl w:val="0"/>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010000"/>
        </w:rPr>
        <w:t>S</w:t>
      </w:r>
      <w:r>
        <w:rPr>
          <w:rFonts w:ascii="Times New Roman" w:cs="Times New Roman" w:eastAsia="Times New Roman" w:hAnsi="Times New Roman"/>
          <w:sz w:val="20"/>
          <w:szCs w:val="20"/>
          <w:color w:val="000000"/>
        </w:rPr>
        <w:t>ubject to Section 2.14, each US Tranche Revolving Borrowing, each Global Tranche Revolving Borrowing and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Term Loan Borrowing shall be comprised (i) in the case of Borrowings in Dollars, entirely of ABR Loans or Term Benchmark Loans (or, subject to the final paragraph of Section 2.03, RFR Loans) and (ii) in the case of Borrowings in any other Agreed Currency, entirely of Term Benchmark Loans or RFR Loans, as applicable, in each case of the same Agreed Currency, as the relevant Borrower may request in accordance herewith;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each ABR Loan shall only be made in Dollars. Each Lender at its option may make any Loan by causing any domestic or foreign branch or Affiliate of such Lender to make such Loan (and in the case of an Affiliate, the provisions of Sections 2.14, 2.15, 2.16 and 2.17 shall apply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886" w:right="339" w:bottom="1440" w:gutter="0" w:footer="0" w:header="0"/>
        </w:sectPr>
      </w:pPr>
    </w:p>
    <w:bookmarkStart w:id="58" w:name="page59"/>
    <w:bookmarkEnd w:id="58"/>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relevant Borrower to repay such Loan in accordance with the terms of this Agreement.</w:t>
      </w:r>
    </w:p>
    <w:p>
      <w:pPr>
        <w:spacing w:after="0" w:line="173" w:lineRule="exact"/>
        <w:rPr>
          <w:sz w:val="20"/>
          <w:szCs w:val="20"/>
          <w:color w:val="auto"/>
        </w:rPr>
      </w:pPr>
    </w:p>
    <w:p>
      <w:pPr>
        <w:jc w:val="both"/>
        <w:ind w:firstLine="1304"/>
        <w:spacing w:after="0" w:line="250" w:lineRule="auto"/>
        <w:tabs>
          <w:tab w:leader="none" w:pos="1794"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the commencement of each Interest Period for any Term Benchmark Borrowing, such Borrowing shall be in an aggregate amount that is an integral multiple of $1,000,000 (or, if such Borrowing is denominated in a Foreign Currency, 1,000,000 units of such currency) and not less than $1,000,000 (or, if such Borrowing is denominated in a Foreign Currency, 1,000,000 units of such currency). At the time that each ABR Borrowing and/or RFR Borrowing is made, such Borrowing shall be in an aggregate amount that is an integral multiple of $250,000 and not less than $1,000,000;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Borrowing may be in an aggregate amount that is equal to the entire unused balance of the aggregate US Tranche Commitments or the aggregate Global Tranche Commitments, as applicable, or that is required to finance the reimbursement of an LC Disbursement as contemplated by Section 2.06(e). Each Swingline Loan shall be in an amount that is an integral multiple of $100,000 (or, if such Swing Line Loan is denominated in a Foreign Currency, 100,000 units of such currency) and not less than $100,000 (or, if such Swingline Loan is denominated in a Foreign Currency, 100,000 units of such currency).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twenty-five (25) Term Benchmark or RFR Borrowings outstanding.</w:t>
      </w:r>
    </w:p>
    <w:p>
      <w:pPr>
        <w:spacing w:after="0" w:line="226"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819"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 other provision of this Agreement, (i) no Borrower shall be entitled to request, or to elect to convert or continue, any Borrowing if the Interest Period requested with respect thereto would end after the Maturity Date applicable thereto and (ii) subject to the requirements of Section 2.01, each requested Revolving Borrowing denominated in Dollars shall be made pro rata among the Revolving Lenders (and between the US Tranche Commitments and the Global Tranche Commitments) according to the sum of the aggregate amount of their respective US Tranche Commitments and Global Tranche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on such date of such Borrowing (after giving effect to any prepayments of Revolving Loans and/or the expiration of any Letters of Credit to occur as of such date) any Revolving Loans and/or Letters of Credit denominated in Foreign Currencies will be outstanding under the Global Tranche Commitments, such requested Borrowing denominated in Dollars shall be made pro rata (or as nearly pro rata as practical) among the Revolving Lenders (and under the US Tranche Commitments and the Global Tranche Commitments) according to the sum of the aggregate unused amount of their respective US Tranche Commitments and Global Tranche Commitments.</w:t>
      </w:r>
    </w:p>
    <w:p>
      <w:pPr>
        <w:spacing w:after="0" w:line="22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2.03. </w:t>
      </w:r>
      <w:r>
        <w:rPr>
          <w:rFonts w:ascii="Times New Roman" w:cs="Times New Roman" w:eastAsia="Times New Roman" w:hAnsi="Times New Roman"/>
          <w:sz w:val="20"/>
          <w:szCs w:val="20"/>
          <w:u w:val="single" w:color="auto"/>
          <w:color w:val="000000"/>
        </w:rPr>
        <w:t>Requests for Borrowings</w:t>
      </w:r>
      <w:r>
        <w:rPr>
          <w:rFonts w:ascii="Times New Roman" w:cs="Times New Roman" w:eastAsia="Times New Roman" w:hAnsi="Times New Roman"/>
          <w:sz w:val="20"/>
          <w:szCs w:val="20"/>
          <w:color w:val="000000"/>
        </w:rPr>
        <w:t>. To request a Borrowing, the applicable Borrower, or the Company on behalf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of the applicable Borrower, shall notify the Administrative Agent of such request by irrevocable written notice (via a written Borrowing Request signed by the applicable Borrower, or the Company on behalf of the applicable Borrower;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such Borrowing Request is submitted through an Approved Borrower Portal, the foregoing signature requirement may be waived at the sole discretion of the Administrative Agent) (a)(x) in the case of a Term Benchmark Borrowing denominated in Dollars or Canadian Dollars, not later than 1:00 p.m., New York City time, three (3) U.S. Government Business Days before the date of the proposed Borrowing or (y) in the case of a Term Benchmark Borrowing denominated in euro, not later than 1:00 p.m., New York City time, four (4) Business Days before the date of the proposed Borrowing, (b) in the case of an RFR Borrowing denominated in Pounds Sterling or Dollars, not later than 12:00 noon, New York City time, five (5) RFR Business Days before the date of the proposed Borrowing or (c) in the case of an ABR Borrowing, not later than 12:00 noon, New York City time, on the date of the proposed Borrowing. Each such written Borrowing Request shall specify the following information in compliance with Section 2.02:</w:t>
      </w:r>
    </w:p>
    <w:p>
      <w:pPr>
        <w:spacing w:after="0" w:line="213" w:lineRule="exact"/>
        <w:rPr>
          <w:sz w:val="20"/>
          <w:szCs w:val="20"/>
          <w:color w:val="auto"/>
        </w:rPr>
      </w:pPr>
    </w:p>
    <w:p>
      <w:pPr>
        <w:ind w:left="1680" w:hanging="376"/>
        <w:spacing w:after="0"/>
        <w:tabs>
          <w:tab w:leader="none" w:pos="1680" w:val="left"/>
        </w:tabs>
        <w:numPr>
          <w:ilvl w:val="0"/>
          <w:numId w:val="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name of the applicable Borrower;</w:t>
      </w:r>
    </w:p>
    <w:p>
      <w:pPr>
        <w:spacing w:after="0" w:line="256"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Agreed Currency and the aggregate principal amount of the requested Borrowing;</w:t>
      </w:r>
    </w:p>
    <w:p>
      <w:pPr>
        <w:spacing w:after="0" w:line="242"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0"/>
          <w:numId w:val="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date of such Borrowing,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886" w:right="339" w:bottom="1440" w:gutter="0" w:footer="0" w:header="0"/>
        </w:sectPr>
      </w:pPr>
    </w:p>
    <w:bookmarkStart w:id="59" w:name="page60"/>
    <w:bookmarkEnd w:id="59"/>
    <w:p>
      <w:pPr>
        <w:jc w:val="both"/>
        <w:ind w:firstLine="1304"/>
        <w:spacing w:after="0" w:line="261" w:lineRule="auto"/>
        <w:tabs>
          <w:tab w:leader="none" w:pos="1887"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such Borrowing is to be an ABR Borrowing, a Term Benchmark Borrowing or an RFR Borrowing and, subject to the requirements of Section 2.02(d)(ii), whether such Borrowing is to be a US Tranche Revolving Borrowing, a Global Tranche Revolving Borrowing or a Tranche A Term Loan Borrowing or an Incremental Term Borrowing of a particular Series;</w:t>
      </w:r>
    </w:p>
    <w:p>
      <w:pPr>
        <w:spacing w:after="0" w:line="208" w:lineRule="exact"/>
        <w:rPr>
          <w:rFonts w:ascii="Times New Roman" w:cs="Times New Roman" w:eastAsia="Times New Roman" w:hAnsi="Times New Roman"/>
          <w:sz w:val="20"/>
          <w:szCs w:val="20"/>
          <w:color w:val="010000"/>
        </w:rPr>
      </w:pPr>
    </w:p>
    <w:p>
      <w:pPr>
        <w:ind w:right="20" w:firstLine="1304"/>
        <w:spacing w:after="0" w:line="269" w:lineRule="auto"/>
        <w:tabs>
          <w:tab w:leader="none" w:pos="1738"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“Interest Period”; and</w:t>
      </w:r>
    </w:p>
    <w:p>
      <w:pPr>
        <w:spacing w:after="0" w:line="199" w:lineRule="exact"/>
        <w:rPr>
          <w:rFonts w:ascii="Times New Roman" w:cs="Times New Roman" w:eastAsia="Times New Roman" w:hAnsi="Times New Roman"/>
          <w:sz w:val="20"/>
          <w:szCs w:val="20"/>
          <w:color w:val="010000"/>
        </w:rPr>
      </w:pPr>
    </w:p>
    <w:p>
      <w:pPr>
        <w:ind w:firstLine="1304"/>
        <w:spacing w:after="0" w:line="283" w:lineRule="auto"/>
        <w:tabs>
          <w:tab w:leader="none" w:pos="1793"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location and number of the applicable Borrower’s account to which funds are to be disbursed, which shall comply with the requirements of Section 2.07.</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no election as to the Type of Borrowing is specified, then, (i) in the case of a Revolving Borrowing denominated in Dollars, the requested Revolving Borrowing shall be an ABR Borrowing made on a pro rata basis under the US Tranche Commitments and the Global Tranche Commitments as contemplated by Section 2.02(d)(ii) and (ii) in the case of a Tranche A Term Loan Borrowing, the requested Tranche A Term Loan Borrowing shall be an ABR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applicable Lender of the details thereof and of the amount of such Lender’s Loan to be made as part of the requested Borrowing.</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Notwithstanding the foregoing, in no event shall the Borrowers be permitted to request pursuant to this Section 2.03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Daily Simple SOFR and Daily Simple CORRA shall only apply to the extent provided in Sections 2.08(e) (solely with respect to the Central Bank Rate and the Canadian Prime Rate), 2.14(a) and 2.14(f), as applicable).</w:t>
      </w:r>
    </w:p>
    <w:p>
      <w:pPr>
        <w:spacing w:after="0" w:line="200"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2.04.</w:t>
      </w:r>
      <w:r>
        <w:rPr>
          <w:sz w:val="20"/>
          <w:szCs w:val="20"/>
          <w:color w:val="auto"/>
        </w:rPr>
        <w:tab/>
      </w:r>
      <w:r>
        <w:rPr>
          <w:rFonts w:ascii="Times New Roman" w:cs="Times New Roman" w:eastAsia="Times New Roman" w:hAnsi="Times New Roman"/>
          <w:sz w:val="19"/>
          <w:szCs w:val="19"/>
          <w:u w:val="single" w:color="auto"/>
          <w:color w:val="auto"/>
        </w:rPr>
        <w:t>Determination of Dollar Amounts</w:t>
      </w:r>
      <w:r>
        <w:rPr>
          <w:rFonts w:ascii="Times New Roman" w:cs="Times New Roman" w:eastAsia="Times New Roman" w:hAnsi="Times New Roman"/>
          <w:sz w:val="19"/>
          <w:szCs w:val="19"/>
          <w:color w:val="auto"/>
        </w:rPr>
        <w:t>. The Administrative Agent will determine the Dollar Amount of:</w:t>
      </w:r>
    </w:p>
    <w:p>
      <w:pPr>
        <w:spacing w:after="0" w:line="256" w:lineRule="exact"/>
        <w:rPr>
          <w:sz w:val="20"/>
          <w:szCs w:val="20"/>
          <w:color w:val="auto"/>
        </w:rPr>
      </w:pPr>
    </w:p>
    <w:p>
      <w:pPr>
        <w:ind w:firstLine="1304"/>
        <w:spacing w:after="0" w:line="269" w:lineRule="auto"/>
        <w:tabs>
          <w:tab w:leader="none" w:pos="1821"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Global Tranche Term Benchmark Borrowing as of the date two (2) Business Days prior to the date of such Borrowing or, if applicable, the date of conversion/continuation of any Borrowing as a Global Tranche Term Benchmark Borrowing,</w:t>
      </w:r>
    </w:p>
    <w:p>
      <w:pPr>
        <w:spacing w:after="0" w:line="19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19"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Global Tranche RFR Borrowing as of the date that is on the numerically corresponding day in each calendar month that is one month after such Borrowing (or, if there is no such numerically corresponding day in such month, then the last day of such month),</w:t>
      </w:r>
    </w:p>
    <w:p>
      <w:pPr>
        <w:spacing w:after="0" w:line="208" w:lineRule="exact"/>
        <w:rPr>
          <w:rFonts w:ascii="Times New Roman" w:cs="Times New Roman" w:eastAsia="Times New Roman" w:hAnsi="Times New Roman"/>
          <w:sz w:val="20"/>
          <w:szCs w:val="20"/>
          <w:color w:val="010000"/>
        </w:rPr>
      </w:pPr>
    </w:p>
    <w:p>
      <w:pPr>
        <w:ind w:left="1860" w:hanging="556"/>
        <w:spacing w:after="0"/>
        <w:tabs>
          <w:tab w:leader="none" w:pos="1860"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euro Swingline Loan and each Canadian Swingline Loan, in each case on the date of the making of such</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Swingline Loan,</w:t>
      </w:r>
    </w:p>
    <w:p>
      <w:pPr>
        <w:spacing w:after="0" w:line="234"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LC Exposure as of the date of each request for the issuance, amendment or extension of any Letter of Credit, and</w:t>
      </w:r>
    </w:p>
    <w:p>
      <w:pPr>
        <w:spacing w:after="0" w:line="256"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13"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outstanding Credit Events on and as of the last Business Day of each calendar quarter and, during the continuation of an Event of Default, on any other Business Day elected by the Administrative Agent in its discretion or upon instruction by the Required Lenders.</w:t>
      </w:r>
    </w:p>
    <w:p>
      <w:pPr>
        <w:spacing w:after="0" w:line="19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886" w:right="339" w:bottom="1440" w:gutter="0" w:footer="0" w:header="0"/>
        </w:sectPr>
      </w:pPr>
    </w:p>
    <w:bookmarkStart w:id="60" w:name="page61"/>
    <w:bookmarkEnd w:id="60"/>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2.05. </w:t>
      </w:r>
      <w:r>
        <w:rPr>
          <w:rFonts w:ascii="Times New Roman" w:cs="Times New Roman" w:eastAsia="Times New Roman" w:hAnsi="Times New Roman"/>
          <w:sz w:val="20"/>
          <w:szCs w:val="20"/>
          <w:u w:val="single" w:color="auto"/>
          <w:color w:val="000000"/>
        </w:rPr>
        <w:t>Swingline Loans</w:t>
      </w:r>
      <w:r>
        <w:rPr>
          <w:rFonts w:ascii="Times New Roman" w:cs="Times New Roman" w:eastAsia="Times New Roman" w:hAnsi="Times New Roman"/>
          <w:sz w:val="20"/>
          <w:szCs w:val="20"/>
          <w:color w:val="000000"/>
        </w:rPr>
        <w:t>. (a) Subject to the terms and conditions set forth herein, the Swingline Lender may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its sole discretion make Swingline Loans (x) in Dollars, euro or Canadian Dollars to any Borrower from time to time during the Availability Period, in an aggregate principal Dollar Amount at any time outstanding that will not result in (i) subject to Sections 2.04 and 2.11(b), the aggregate principal Dollar Amount of outstanding Swingline Loans exceeding $100,000,000, (ii) the Swingline Lender’s Revolving Credit Exposure exceeding its Global Tranche Commitment, (iii) subject to Sections 2.04 and 2.11(b), the Dollar Amount of the total Global Tranche Revolving Credit Exposures exceeding the aggregate Global Tranche Commitments or (iv) subject to Sections 2.04 and 2.11(b), the Dollar Amount of the total outstanding Global Tranche Revolving Loans made and outstanding to the Foreign Subsidiary Borrowers exceeding the Foreign Borrower Sublimit;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Swingline Lender shall not be required to make a Swingline Loan to refinance an outstanding Swingline Loan. Within the foregoing limits and subject to the terms and conditions set forth herein, any Borrower may borrow, prepay and reborrow Swingline Loans.</w:t>
      </w:r>
    </w:p>
    <w:p>
      <w:pPr>
        <w:spacing w:after="0" w:line="223" w:lineRule="exact"/>
        <w:rPr>
          <w:sz w:val="20"/>
          <w:szCs w:val="20"/>
          <w:color w:val="auto"/>
        </w:rPr>
      </w:pPr>
    </w:p>
    <w:p>
      <w:pPr>
        <w:jc w:val="both"/>
        <w:ind w:firstLine="1304"/>
        <w:spacing w:after="0" w:line="251" w:lineRule="auto"/>
        <w:tabs>
          <w:tab w:leader="none" w:pos="1805" w:val="left"/>
        </w:tabs>
        <w:numPr>
          <w:ilvl w:val="1"/>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request a Swingline Loan, the applicable Borrower, or the Company on behalf of the applicable Borrower, shall notify the Administrative Agent of such request (i) by irrevocable written notice (via a written Borrowing Request in a form approved by the Swingline Lender and signed by the applicable Borrower, or the Company on behalf of the applicable Borrower; provided that, if such Borrowing Request is submitted through an Approved Borrower Portal, the foregoing signature requirement may be waived at the sole discretion of the Administrative Agent), not later than 1:00 p.m., New York City time, on the day of a proposed Swingline Loan in Dollars,</w:t>
      </w:r>
    </w:p>
    <w:p>
      <w:pPr>
        <w:jc w:val="both"/>
        <w:ind w:firstLine="8"/>
        <w:spacing w:after="0" w:line="262" w:lineRule="auto"/>
        <w:tabs>
          <w:tab w:leader="none" w:pos="295"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irrevocable written notice (via a written Borrowing Request in a form approved by the Swingline Lender and signed by the applicable Borrower, or the Company on behalf of the applicable Borrower), not later than 1:00 p.m., Local Time, on the day of a proposed euro Swingline Loan and (iii) by irrevocable written notice (via a written Borrowing Request in a form approved by the Swingline Lender and signed by the applicable Borrower, or the Company on behalf of the applicable Borrower), not later than 12:00 noon, Local Time, on the day of a proposed Canadian Swingline Loan. Each such notice shall be irrevocable and shall specify the requested date (which shall be a Business Day), the applicable Borrower requesting such Swingline Loan, the currency, Interest Period (in the case of a euro Swingline Loan), Type and amount of the requested Swingline Loan and the account of the applicable Borrower to which the proceeds of such Swingline Loan are to be credited. The Administrative Agent will promptly advise the Swingline Lender of any such notice received from the Company or any other Borrower. The Swingline Lender shall make each Swingline Loan available to the applicable Borrower by means of a credit to an account of such Borrower with the Administrative Agent designated for such purpose or to such other account of such Borrower as directed in writing by such Borrower (or, in the case of a Swingline Loan made to finance the reimbursement of an LC Disbursement as provided in Section 2.06(e), by remittance to the relevant Issuing Bank) by 3:00 p.m., Local Time, on the requested date of such Swingline Loan.</w:t>
      </w:r>
    </w:p>
    <w:p>
      <w:pPr>
        <w:spacing w:after="0" w:line="214" w:lineRule="exact"/>
        <w:rPr>
          <w:rFonts w:ascii="Times New Roman" w:cs="Times New Roman" w:eastAsia="Times New Roman" w:hAnsi="Times New Roman"/>
          <w:sz w:val="19"/>
          <w:szCs w:val="19"/>
          <w:color w:val="auto"/>
        </w:rPr>
      </w:pPr>
    </w:p>
    <w:p>
      <w:pPr>
        <w:jc w:val="both"/>
        <w:ind w:firstLine="1304"/>
        <w:spacing w:after="0" w:line="250" w:lineRule="auto"/>
        <w:tabs>
          <w:tab w:leader="none" w:pos="1740" w:val="left"/>
        </w:tabs>
        <w:numPr>
          <w:ilvl w:val="1"/>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Swingline Lender may by written notice given to the Administrative Agent not later than 10:00 a.m., Local Time, on any Business Day require the Global Tranche Lenders to acquire participations on such date in all or a portion of the Swingline Loans outstanding in the applicable Agreed Currency of such Swingline Loans. Such notice shall specify the aggregate amount and the applicable Agreed Currency of Swingline Loans in which Global Tranche Lenders will participate. Promptly upon receipt of such notice, the Administrative Agent will give notice thereof to each Global Tranche Lender, specifying in such notice such Global Tranche Lender’s Global Tranche Percentage of such Swingline Loan or Loans and the applicable Agreed Currency of such Swingline Loan or Loans. Each Global Tranche Lender hereby absolutely and unconditionally agrees, as soon as practicable upon receipt of notice as provided above (but in any event (i) on the Business Day of receipt of such notice in respect of Dollar Swingline Loans, (ii) within three (3) Business Days of receipt of such notice in respect of euro Swingline Loans and (iii) within three (3) Business Days of receipt of such notice in respect of Canadian Swingline Loans), to pay to the Administrative Agent, for the account of the Swingline Lender, such Global Tranche Lender’s Global Tranche Percentage of such Swingline Loan or Loans. Each Global Tranche Lender acknowledges and agrees that its obligations to acquire participations in Swingline Loans pursuant to this paragraph is absolute and unconditional and shall not be affected by any circumstance whatsoever, including the occurrence and continuance of a Default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129" w:right="339" w:bottom="1440" w:gutter="0" w:footer="0" w:header="0"/>
        </w:sectPr>
      </w:pPr>
    </w:p>
    <w:bookmarkStart w:id="61" w:name="page62"/>
    <w:bookmarkEnd w:id="6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reduction or termination of the Global Tranche Commitments, and that each such payment shall be made without any offset, abatement, withholding or reduction whatsoever. Each Global Tranche Lender shall comply with its obligation under this paragraph by wire transfer of immediately available funds, in the same manner as provided in Section 2.07 with respect to Loans made by such Lender (and Section 2.07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xml:space="preserve">, to the payment obligations of the Global Tranche Lenders), and the Administrative Agent shall promptly pay to the Swingline Lender the amounts so received by it from the Global Tranche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any Borrower (or other party on behalf of any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Global Tranche Lenders that shall have made their payments pursuant to this paragraph and to the Swingline Lender, as their interests may appear;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payment so remitted shall be repaid to the Swingline Lender or to the Administrative Agent, as applicable, if and to the extent such payment is required to be refunded to the relevant Borrower for any reason. The purchase of participations in a Swingline Loan pursuant to this paragraph shall not relieve any Borrower of any default in the payment of any Swingline Loan made to such Borrower.</w:t>
      </w:r>
    </w:p>
    <w:p>
      <w:pPr>
        <w:spacing w:after="0" w:line="210" w:lineRule="exact"/>
        <w:rPr>
          <w:sz w:val="20"/>
          <w:szCs w:val="20"/>
          <w:color w:val="auto"/>
        </w:rPr>
      </w:pPr>
    </w:p>
    <w:p>
      <w:pPr>
        <w:jc w:val="both"/>
        <w:ind w:firstLine="1304"/>
        <w:spacing w:after="0" w:line="252" w:lineRule="auto"/>
        <w:tabs>
          <w:tab w:leader="none" w:pos="1805"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Swingline Lender may be replaced at any time by written agreement among the Company, the Administrative Agent, the replaced Swingline Lender and the successor Swingline Lender. The Administrative Agent shall notify the Revolving Lenders of any such replacement of the Swingline Lender. At the time any such replacement shall become effective, the Company shall pay all unpaid interest accrued for the account of the replaced Swingline Lender pursuant to Section 2.13(a).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204"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94"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appointment and acceptance of a successor Swingline Lender, the Swingline Lender may resign as a Swingline Lender at any time upon thirty (30) days’ prior written notice to the Administrative Agent, the Company and the Global Tranche Lenders, in which case, such Swingline Lender shall be replaced in accordance with Section 2.05(d) above</w:t>
      </w:r>
    </w:p>
    <w:p>
      <w:pPr>
        <w:spacing w:after="0" w:line="20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2.06. </w:t>
      </w:r>
      <w:r>
        <w:rPr>
          <w:rFonts w:ascii="Times New Roman" w:cs="Times New Roman" w:eastAsia="Times New Roman" w:hAnsi="Times New Roman"/>
          <w:sz w:val="20"/>
          <w:szCs w:val="20"/>
          <w:u w:val="single" w:color="auto"/>
          <w:color w:val="000000"/>
        </w:rPr>
        <w:t>Letters of Credit</w:t>
      </w:r>
      <w:r>
        <w:rPr>
          <w:rFonts w:ascii="Times New Roman" w:cs="Times New Roman" w:eastAsia="Times New Roman" w:hAnsi="Times New Roman"/>
          <w:sz w:val="20"/>
          <w:szCs w:val="20"/>
          <w:color w:val="000000"/>
        </w:rPr>
        <w:t>.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General</w:t>
      </w:r>
      <w:r>
        <w:rPr>
          <w:rFonts w:ascii="Times New Roman" w:cs="Times New Roman" w:eastAsia="Times New Roman" w:hAnsi="Times New Roman"/>
          <w:sz w:val="20"/>
          <w:szCs w:val="20"/>
          <w:color w:val="000000"/>
        </w:rPr>
        <w:t>. Subject to the terms and conditions set forth herein, the Company or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Subsidiary Borrower may request the issuance of Global Tranche Letters of Credit denominated in Agreed Currencies and US Tranche Letters of Credit denominated in Dollars, in each case as the applicant thereof for the support of its or its Subsidiaries’ obligations, in a form reasonably acceptable to the Administrative Agent and the relevant Issuing Bank, at any time and from time to time during the Availability Period;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no Issuing Bank shall be under any obligation to issue a Letter of Credit that would result in more than a total of twenty-five (25) Letters of Credit outstanding. In the event of any conflict between the terms and conditions of this Agreement and the terms and conditions of any Letter of Credit Agreement, the terms and conditions of this Agreement shall control. The letters of credit identified on </w:t>
      </w:r>
      <w:r>
        <w:rPr>
          <w:rFonts w:ascii="Times New Roman" w:cs="Times New Roman" w:eastAsia="Times New Roman" w:hAnsi="Times New Roman"/>
          <w:sz w:val="20"/>
          <w:szCs w:val="20"/>
          <w:u w:val="single" w:color="auto"/>
          <w:color w:val="000000"/>
        </w:rPr>
        <w:t>Schedule 2.06</w:t>
      </w:r>
      <w:r>
        <w:rPr>
          <w:rFonts w:ascii="Times New Roman" w:cs="Times New Roman" w:eastAsia="Times New Roman" w:hAnsi="Times New Roman"/>
          <w:sz w:val="20"/>
          <w:szCs w:val="20"/>
          <w:color w:val="000000"/>
        </w:rPr>
        <w:t xml:space="preserve"> (the “</w:t>
      </w:r>
      <w:r>
        <w:rPr>
          <w:rFonts w:ascii="Times New Roman" w:cs="Times New Roman" w:eastAsia="Times New Roman" w:hAnsi="Times New Roman"/>
          <w:sz w:val="20"/>
          <w:szCs w:val="20"/>
          <w:u w:val="single" w:color="auto"/>
          <w:color w:val="000000"/>
        </w:rPr>
        <w:t>Existing Letters of Credit</w:t>
      </w:r>
      <w:r>
        <w:rPr>
          <w:rFonts w:ascii="Times New Roman" w:cs="Times New Roman" w:eastAsia="Times New Roman" w:hAnsi="Times New Roman"/>
          <w:sz w:val="20"/>
          <w:szCs w:val="20"/>
          <w:color w:val="000000"/>
        </w:rPr>
        <w:t>”) shall be deemed to be “Letters of Credit” issued on the Effective Date for all purposes of the Loan Documents. Notwithstanding anything herein to the contrary, no Issuing Bank shall have any obligation hereunder to issue, amend or extend any Letter of Credit (x) the proceeds of which would be made available to any Person (i) to fund any activity or business of or with any Sanctioned Person, or in any country or territory that, at the time of such funding, is the subject of any Sanctions, (ii) in any manner that would result in a violation of any Sanctions by any party to this Agreement,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886" w:right="339" w:bottom="1440" w:gutter="0" w:footer="0" w:header="0"/>
        </w:sectPr>
      </w:pPr>
    </w:p>
    <w:bookmarkStart w:id="62" w:name="page63"/>
    <w:bookmarkEnd w:id="62"/>
    <w:p>
      <w:pPr>
        <w:jc w:val="both"/>
        <w:ind w:firstLine="8"/>
        <w:spacing w:after="0" w:line="266" w:lineRule="auto"/>
        <w:tabs>
          <w:tab w:leader="none" w:pos="28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(z) if the issuance, amendment or extension would result in a violation of one or more policies of the relevant Issuing Bank applicable to letters of credit generally.</w:t>
      </w:r>
    </w:p>
    <w:p>
      <w:pPr>
        <w:spacing w:after="0" w:line="209" w:lineRule="exact"/>
        <w:rPr>
          <w:rFonts w:ascii="Times New Roman" w:cs="Times New Roman" w:eastAsia="Times New Roman" w:hAnsi="Times New Roman"/>
          <w:sz w:val="19"/>
          <w:szCs w:val="19"/>
          <w:color w:val="auto"/>
        </w:rPr>
      </w:pPr>
    </w:p>
    <w:p>
      <w:pPr>
        <w:jc w:val="both"/>
        <w:ind w:firstLine="1304"/>
        <w:spacing w:after="0" w:line="248" w:lineRule="auto"/>
        <w:tabs>
          <w:tab w:leader="none" w:pos="1778" w:val="left"/>
        </w:tabs>
        <w:numPr>
          <w:ilvl w:val="1"/>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Issuance, Amendment, Extension; Certain Conditions</w:t>
      </w:r>
      <w:r>
        <w:rPr>
          <w:rFonts w:ascii="Times New Roman" w:cs="Times New Roman" w:eastAsia="Times New Roman" w:hAnsi="Times New Roman"/>
          <w:sz w:val="20"/>
          <w:szCs w:val="20"/>
          <w:color w:val="auto"/>
        </w:rPr>
        <w:t>. To request the issuance of a Letter of Credit (or the amendment or extension of an outstanding Letter of Credit), the Company or the applicable Subsidiary Borrower shall hand deliver or telecopy (or transmit by electronic communication, including an Approved Borrower Portal, if arrangements for doing so have been approved by the relevant Issuing Bank) to the relevant Issuing Bank and the Administrative Agent (reasonably in advance of the requested date of issuance, amendment or extension, but in any event no less than three (3)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whether such Letter of Credit is a Global Tranche Letter of Credit or a US Tranche Letter of Credit, the name and address of the beneficiary thereof and such other information as shall be necessary to prepare, amend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relevant Issuing Bank and using such Issuing Bank’s standard form (each, a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A Letter of Credit shall be issued, amended or extended only if (and upon issuance, amendment or extension of each Letter of Credit the Company shall be deemed to represent and warrant that), after giving effect to such issuance, amendment or extension (i) subject to Sections 2.04 and 2.11(b), the Dollar Amount of the LC Exposure shall not exceed $100,000,000, (ii) subject to Sections 2.04 and 2.11(b), the sum of (x) the aggregate undrawn amount of all outstanding Letters of Credit issued by any Issuing Bank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the aggregate amount of all LC Disbursements made by such Issuing Bank that have not yet been reimbursed by or on behalf of the Company at such time (such sum for any Issuing Bank at any time of determination, its “</w:t>
      </w:r>
      <w:r>
        <w:rPr>
          <w:rFonts w:ascii="Times New Roman" w:cs="Times New Roman" w:eastAsia="Times New Roman" w:hAnsi="Times New Roman"/>
          <w:sz w:val="20"/>
          <w:szCs w:val="20"/>
          <w:u w:val="single" w:color="auto"/>
          <w:color w:val="auto"/>
        </w:rPr>
        <w:t>Outstanding LC Amount</w:t>
      </w:r>
      <w:r>
        <w:rPr>
          <w:rFonts w:ascii="Times New Roman" w:cs="Times New Roman" w:eastAsia="Times New Roman" w:hAnsi="Times New Roman"/>
          <w:sz w:val="20"/>
          <w:szCs w:val="20"/>
          <w:color w:val="auto"/>
        </w:rPr>
        <w:t>”) shall not exceed such Issuing Bank’s Letter of Credit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this clause (ii) but at all times subject to the immediately preceding clause (i) and the immediately succeeding clauses (iii), (iv), (v), (vi) and (vii), an Issuing Bank may, in its sole discretion, but with the consent of the Company and notice to the Administrative Agent, agree to issue, amend or extend a Letter of Credit if such issuance, amendment or extension would cause such Issuing Bank’s Outstanding LC Amount to exceed its Letter of Credit Commitment), (iii) subject to Sections 2.04 and 2.11(b), the sum of the Dollar Amount of the total Global Tranche Revolving Credit Exposures shall not exceed the aggregate Global Tranche Commitments, (iv) subject to Sections 2.04 and 2.11(b), the sum of the total US Tranche Revolving Credit Exposures shall not exceed the aggregate US Tranche Commitments, (v) subject to Sections 2.04 and 2.11(b), the Dollar Amount of each Lender’s Global Tranche Revolving Credit Exposure shall not exceed such Lender’s Global Tranche Commitment, (vi) subject to Sections 2.04 and 2.11(b), the Dollar Amount of each Lender’s U.S. Tranche Revolving Credit Exposure shall not exceed such Lender’s U.S. Tranche Commitment and (vii) subject to Section 2.04 and 2.11(b), the Dollar Amount of the total outstanding Global Tranche Revolving Loans and Global Tranche LC Exposure, in each case denominated in Foreign Currencies, shall not exceed the Foreign Currency Sublimit. The Company may, at any time and from time to time, reduce the Letter of Credit Commitment of any Issuing Bank with the consent of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reduce the Letter of Credit Commitment of any Issuing Bank if, after giving effect of such reduction, the conditions set forth in the immediately preceding clauses (i) through (vii) shall not be satisfied.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886" w:right="339" w:bottom="1440" w:gutter="0" w:footer="0" w:header="0"/>
        </w:sectPr>
      </w:pPr>
    </w:p>
    <w:bookmarkStart w:id="63" w:name="page64"/>
    <w:bookmarkEnd w:id="63"/>
    <w:p>
      <w:pPr>
        <w:jc w:val="both"/>
        <w:ind w:firstLine="1304"/>
        <w:spacing w:after="0" w:line="253" w:lineRule="auto"/>
        <w:tabs>
          <w:tab w:leader="none" w:pos="1781"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(or be subject to termination by notice from the relevant Issuing Bank to the beneficiary thereof) at or prior to the close of business on the earlier of (i) the date one year after the date of the issuance of such Letter of Credit (or, in the case of any extension thereof, one year after such extension) and (ii) the date that is five (5) Business Days prior to the Revolving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one-year tenor may contain customary automatic extension provisions agreed upon by the Company and the relevant Issuing Bank that provide for the extension thereof for additional one-year periods (which shall in no event extend beyond the date referenced in clause (ii) above), subject to a right on the part of such Issuing Bank to prevent any such extension from occurring by giving notice to the beneficiary in advance of any such extension.</w:t>
      </w:r>
    </w:p>
    <w:p>
      <w:pPr>
        <w:spacing w:after="0" w:line="206"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78"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or extending the term thereof) and without any further action on the part of the relevant Issuing Bank or any Revolving Lender in respect of the Tranche under which such Letter of Credit is issued (each such Revolving Lender, an “</w:t>
      </w:r>
      <w:r>
        <w:rPr>
          <w:rFonts w:ascii="Times New Roman" w:cs="Times New Roman" w:eastAsia="Times New Roman" w:hAnsi="Times New Roman"/>
          <w:sz w:val="20"/>
          <w:szCs w:val="20"/>
          <w:u w:val="single" w:color="auto"/>
          <w:color w:val="auto"/>
        </w:rPr>
        <w:t>Applicable Lender</w:t>
      </w:r>
      <w:r>
        <w:rPr>
          <w:rFonts w:ascii="Times New Roman" w:cs="Times New Roman" w:eastAsia="Times New Roman" w:hAnsi="Times New Roman"/>
          <w:sz w:val="20"/>
          <w:szCs w:val="20"/>
          <w:color w:val="auto"/>
        </w:rPr>
        <w:t>”), the relevant Issuing Bank hereby grants to each Applicable Lender, and each Applicable Lender hereby acquires from the relevant Issuing Bank, a participation in such Letter of Credit equal to such Applicable Lender’s Applicable Percentage of the aggregate Dollar Amount available to be drawn under such Letter of Credit. In consideration and in furtherance of the foregoing, each Applicable Lender hereby absolutely and unconditionally agrees to pay to the Administrative Agent, for the account of the relevant Issuing Bank, such Applicable Lender’s Applicable Percentage of each LC Disbursement made by such Issuing Bank and not reimbursed by the Company on the date due as provided in paragraph (e) of this Section, or of any reimbursement payment required to be refunded to the Company for any reason. Each Revolving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 and that each such payment shall be made without any offset, abatement, withholding or reduction whatsoever.</w:t>
      </w:r>
    </w:p>
    <w:p>
      <w:pPr>
        <w:spacing w:after="0" w:line="220" w:lineRule="exact"/>
        <w:rPr>
          <w:rFonts w:ascii="Times New Roman" w:cs="Times New Roman" w:eastAsia="Times New Roman" w:hAnsi="Times New Roman"/>
          <w:sz w:val="20"/>
          <w:szCs w:val="20"/>
          <w:color w:val="010000"/>
        </w:rPr>
      </w:pPr>
    </w:p>
    <w:p>
      <w:pPr>
        <w:jc w:val="both"/>
        <w:ind w:firstLine="1304"/>
        <w:spacing w:after="0" w:line="263" w:lineRule="auto"/>
        <w:tabs>
          <w:tab w:leader="none" w:pos="1794" w:val="left"/>
        </w:tabs>
        <w:numPr>
          <w:ilvl w:val="0"/>
          <w:numId w:val="3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xml:space="preserve">. If the relevant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Company, in such other Agreed Currency which was paid by such Issuing Bank pursuant to such LC Disbursement in an amount equal to such LC Disbursement) not later than 12:00 noon, Local Time, on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 the Business Day immediately following the day that the Company receives such notice, if such notice is not received prior to such time on the day of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not less than the Dollar Amount of $1,000,000, the Company may, subject to the conditions to borrowing set forth herein, request in accordance with Section 2.03 or 2.05 that such payment be financed with (i) to the extent such LC Disbursement was made in Dollars, an ABR Revolving Borrowing, Term Benchmark Revolving Borrowing or Dollar Swingline Loan in an amount equal to such LC Disbursement or (ii) to the extent that such LC Disbursement was made in a Foreign Currency, a Term Benchmark Revolving Borrowing or an RFR Revolving Borrowing in such Foreign Currency in an amount equal to such LC Disbursement and, in each case, to the extent so financed, the Company’s obligation to make such payment shall be discharged and replaced by the resulting ABR Revolving Borrowing, Term Benchmark Revolving Borrowing, RFR Revolving Borrowing or Dollar Swingline Loan, as applicable. If the Company fails to make such payment when due, the Administrative Agent shall notify each Applicable Lender of the applicable LC Disbursement, the payment then due from the Company in respect thereof and such Lender’s Applicable Percentage thereof. Promptly following receipt of such notice, each Applicable Lender shall pay to the Administrative Agent its Applicable Percentage of the payment then due from the Company, in the same manner as provided in Section 2.07 with respect to Loans made by such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129" w:right="339" w:bottom="1440" w:gutter="0" w:footer="0" w:header="0"/>
        </w:sectPr>
      </w:pPr>
    </w:p>
    <w:bookmarkStart w:id="64" w:name="page65"/>
    <w:bookmarkEnd w:id="64"/>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Lender (and Section 2.07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Applicable Lenders), and the Administrative Agent shall promptly pay to the relevant Issuing Bank the amounts so received by it from the Applicable Lenders. Promptly following receipt by the Administrative Agent of any payment from the Company pursuant to this paragraph, the Administrative Agent shall distribute such payment to such Issuing Bank or, to the extent that Applicable Lenders have made payments pursuant to this paragraph to reimburse such Issuing Bank, then to such Lenders and such Issuing Bank as their interests may appear. Any payment made by an Applicable Lender pursuant to this paragraph to reimburse the relevant Issuing Bank for any LC Disbursement (other than the funding of ABR Revolving Loans or a Dollar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Global Tranche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Global Tranche Lender or (y) reimburse each LC Disbursement made in such Foreign Currency in Dollars, in an amount equal to the Dollar Amount thereof calculated on the date such LC Disbursement is made.</w:t>
      </w:r>
    </w:p>
    <w:p>
      <w:pPr>
        <w:spacing w:after="0" w:line="220" w:lineRule="exact"/>
        <w:rPr>
          <w:sz w:val="20"/>
          <w:szCs w:val="20"/>
          <w:color w:val="auto"/>
        </w:rPr>
      </w:pPr>
    </w:p>
    <w:p>
      <w:pPr>
        <w:jc w:val="both"/>
        <w:ind w:firstLine="1304"/>
        <w:spacing w:after="0" w:line="262" w:lineRule="auto"/>
        <w:tabs>
          <w:tab w:leader="none" w:pos="1732" w:val="left"/>
        </w:tabs>
        <w:numPr>
          <w:ilvl w:val="0"/>
          <w:numId w:val="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Obligations Absolute</w:t>
      </w:r>
      <w:r>
        <w:rPr>
          <w:rFonts w:ascii="Times New Roman" w:cs="Times New Roman" w:eastAsia="Times New Roman" w:hAnsi="Times New Roman"/>
          <w:sz w:val="19"/>
          <w:szCs w:val="19"/>
          <w:color w:val="auto"/>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relevant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construed to excuse the relevant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the such Issuing Bank’s failure to exercise care when determining whether drafts and other documents presented under a Letter of Credit comply with the terms thereof. The parties hereto expressly agree that, in the absence of gross negligence or willful misconduct on the part of such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rFonts w:ascii="Times New Roman" w:cs="Times New Roman" w:eastAsia="Times New Roman" w:hAnsi="Times New Roman"/>
          <w:sz w:val="19"/>
          <w:szCs w:val="19"/>
          <w:color w:val="010000"/>
        </w:rPr>
      </w:pPr>
    </w:p>
    <w:p>
      <w:pPr>
        <w:spacing w:after="0" w:line="258" w:lineRule="exact"/>
        <w:rPr>
          <w:rFonts w:ascii="Times New Roman" w:cs="Times New Roman" w:eastAsia="Times New Roman" w:hAnsi="Times New Roman"/>
          <w:sz w:val="19"/>
          <w:szCs w:val="19"/>
          <w:color w:val="010000"/>
        </w:rPr>
      </w:pPr>
    </w:p>
    <w:p>
      <w:pPr>
        <w:ind w:firstLine="1304"/>
        <w:spacing w:after="0" w:line="269" w:lineRule="auto"/>
        <w:tabs>
          <w:tab w:leader="none" w:pos="1832"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Each Issuing Bank shall, promptly following its receipt thereof, examine all documents purporting to represent a demand for payment under a Letter of Credit. Each</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886"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Issuing Bank shall promptly notify the Administrative Agent and the Company by telephone (confirmed by telecopy) of such demand for payment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notice need not be given prior to payment by such Issuing Bank and any failure to give or delay in giving such notice shall not relieve the Company of its obligation to reimburse such Issuing Bank and the Applicable Lenders with respect to any such LC Disbursement.</w:t>
      </w:r>
    </w:p>
    <w:p>
      <w:pPr>
        <w:spacing w:after="0" w:line="199" w:lineRule="exact"/>
        <w:rPr>
          <w:sz w:val="20"/>
          <w:szCs w:val="20"/>
          <w:color w:val="auto"/>
        </w:rPr>
      </w:pPr>
    </w:p>
    <w:p>
      <w:pPr>
        <w:jc w:val="both"/>
        <w:ind w:firstLine="1304"/>
        <w:spacing w:after="0" w:line="252" w:lineRule="auto"/>
        <w:tabs>
          <w:tab w:leader="none" w:pos="1738"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any Issuing Bank shall make any LC Disbursement, then, unless the Company shall reimburse such LC Disbursement in full on the date such LC Disbursement is made and notice thereof is provided to the Borrower in accordance with paragraph (e) of this Section, the unpaid amount thereof shall bear interest, for each day from and including the date such LC Disbursement is made to but excluding the date that the reimbursement is due and payable, at the rate per annum then applicable to ABR Revolving Loans (or in the case such LC Disbursement is denominated in a Foreign Currency, at the Overnight Rate for such Agreed Currency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then effective Applicable Spread with respect to Term Benchmark Revolving Loans) and such interest shall be due and payable on the date when such reimbursement is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Company fails to reimburse such LC Disbursement when due pursuant to paragraph (e) of this Section, then Section 2.13(e) shall apply. Interest accrued pursuant to this paragraph shall be for the account of the relevant Issuing Bank, except that interest accrued on and after the date of payment by any Applicable Lender pursuant to paragraph (e) of this Section to reimburse such Issuing Bank shall be for the account of such Applicable Lender to the extent of such payment.</w:t>
      </w:r>
    </w:p>
    <w:p>
      <w:pPr>
        <w:spacing w:after="0" w:line="204"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762"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Replacement of Issuing Bank</w:t>
      </w:r>
      <w:r>
        <w:rPr>
          <w:rFonts w:ascii="Times New Roman" w:cs="Times New Roman" w:eastAsia="Times New Roman" w:hAnsi="Times New Roman"/>
          <w:sz w:val="20"/>
          <w:szCs w:val="20"/>
          <w:color w:val="auto"/>
        </w:rPr>
        <w:t>. (A) Any Issuing Bank may be replaced at any time by written agreement among the Company, the Administrative Agent, the replaced Issuing Bank and the successor Issuing Bank. The Administrative Agent shall notify the Revolving Lenders of any such replacement of any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204" w:lineRule="exact"/>
        <w:rPr>
          <w:sz w:val="20"/>
          <w:szCs w:val="20"/>
          <w:color w:val="auto"/>
        </w:rPr>
      </w:pPr>
    </w:p>
    <w:p>
      <w:pPr>
        <w:jc w:val="both"/>
        <w:ind w:firstLine="1304"/>
        <w:spacing w:after="0" w:line="261" w:lineRule="auto"/>
        <w:tabs>
          <w:tab w:leader="none" w:pos="182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appointment and acceptance of a successor Issuing Bank, any Issuing Bank may resign as an Issuing Bank at any time upon thirty days’ prior written notice to the Administrative Agent, the Company and the Revolving Lenders, in which case, such Issuing Bank shall be replaced in accordance with Section </w:t>
      </w:r>
      <w:r>
        <w:rPr>
          <w:rFonts w:ascii="Times New Roman" w:cs="Times New Roman" w:eastAsia="Times New Roman" w:hAnsi="Times New Roman"/>
          <w:sz w:val="20"/>
          <w:szCs w:val="20"/>
          <w:u w:val="single" w:color="auto"/>
          <w:color w:val="auto"/>
        </w:rPr>
        <w:t>2.06(i)(A)</w:t>
      </w:r>
      <w:r>
        <w:rPr>
          <w:rFonts w:ascii="Times New Roman" w:cs="Times New Roman" w:eastAsia="Times New Roman" w:hAnsi="Times New Roman"/>
          <w:sz w:val="20"/>
          <w:szCs w:val="20"/>
          <w:color w:val="auto"/>
        </w:rPr>
        <w:t xml:space="preserve"> above.</w:t>
      </w:r>
    </w:p>
    <w:p>
      <w:pPr>
        <w:spacing w:after="0" w:line="208" w:lineRule="exact"/>
        <w:rPr>
          <w:sz w:val="20"/>
          <w:szCs w:val="20"/>
          <w:color w:val="auto"/>
        </w:rPr>
      </w:pPr>
    </w:p>
    <w:p>
      <w:pPr>
        <w:jc w:val="both"/>
        <w:ind w:firstLine="1304"/>
        <w:spacing w:after="0" w:line="251" w:lineRule="auto"/>
        <w:tabs>
          <w:tab w:leader="none" w:pos="1735"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Company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Revolving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an amount in cash equal to 105% of the Dollar Amount of the LC Exposure as of such date plus any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Company described in clause (f)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For the purposes of this paragraph, the Dollar Amount of the Foreign Currency LC Exposure shall be calculated on the date notice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886" w:right="339" w:bottom="1440" w:gutter="0" w:footer="0" w:header="0"/>
        </w:sectPr>
      </w:pPr>
    </w:p>
    <w:bookmarkStart w:id="66" w:name="page67"/>
    <w:bookmarkEnd w:id="66"/>
    <w:p>
      <w:pPr>
        <w:jc w:val="both"/>
        <w:spacing w:after="0" w:line="250" w:lineRule="auto"/>
        <w:rPr>
          <w:sz w:val="20"/>
          <w:szCs w:val="20"/>
          <w:color w:val="auto"/>
        </w:rPr>
      </w:pPr>
      <w:r>
        <w:rPr>
          <w:rFonts w:ascii="Times New Roman" w:cs="Times New Roman" w:eastAsia="Times New Roman" w:hAnsi="Times New Roman"/>
          <w:sz w:val="20"/>
          <w:szCs w:val="20"/>
          <w:color w:val="auto"/>
        </w:rPr>
        <w:t>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and the Company hereby grants the Administrative Agent a security interest in the LC Collateral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Revolving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w:t>
      </w:r>
    </w:p>
    <w:p>
      <w:pPr>
        <w:spacing w:after="0" w:line="220" w:lineRule="exact"/>
        <w:rPr>
          <w:sz w:val="20"/>
          <w:szCs w:val="20"/>
          <w:color w:val="auto"/>
        </w:rPr>
      </w:pPr>
    </w:p>
    <w:p>
      <w:pPr>
        <w:jc w:val="both"/>
        <w:ind w:firstLine="1304"/>
        <w:spacing w:after="0" w:line="253" w:lineRule="auto"/>
        <w:tabs>
          <w:tab w:leader="none" w:pos="1738"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LC Exposure Determination</w:t>
      </w:r>
      <w:r>
        <w:rPr>
          <w:rFonts w:ascii="Times New Roman" w:cs="Times New Roman" w:eastAsia="Times New Roman" w:hAnsi="Times New Roman"/>
          <w:sz w:val="20"/>
          <w:szCs w:val="20"/>
          <w:color w:val="auto"/>
        </w:rPr>
        <w:t>. Unless otherwise specified herein, the amount of any Letter of Credit at any time shall be deemed to be the Dollar Amount of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at any time shall be deemed to be the Dollar Amount of the maximum amount of such Letter of Credit after giving effect to all such increases, whether or not such maximum amount is available to be drawn at such time.</w:t>
      </w:r>
    </w:p>
    <w:p>
      <w:pPr>
        <w:spacing w:after="0" w:line="205" w:lineRule="exact"/>
        <w:rPr>
          <w:rFonts w:ascii="Times New Roman" w:cs="Times New Roman" w:eastAsia="Times New Roman" w:hAnsi="Times New Roman"/>
          <w:sz w:val="20"/>
          <w:szCs w:val="20"/>
          <w:color w:val="010000"/>
        </w:rPr>
      </w:pPr>
    </w:p>
    <w:p>
      <w:pPr>
        <w:jc w:val="both"/>
        <w:ind w:firstLine="1304"/>
        <w:spacing w:after="0" w:line="269" w:lineRule="auto"/>
        <w:tabs>
          <w:tab w:leader="none" w:pos="1681"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Issuing Bank Agreements</w:t>
      </w:r>
      <w:r>
        <w:rPr>
          <w:rFonts w:ascii="Times New Roman" w:cs="Times New Roman" w:eastAsia="Times New Roman" w:hAnsi="Times New Roman"/>
          <w:sz w:val="19"/>
          <w:szCs w:val="19"/>
          <w:color w:val="auto"/>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(ii) on any Business Day on which the Company fails to reimburse any amount required to be reimbursed to such Issuing Bank on such day, the date of such failure and the amount and currency of such payment in respect of Letters of Credit and (iii) on any other Business Day, such other information as the Administrative Agent shall reasonably request.</w:t>
      </w:r>
    </w:p>
    <w:p>
      <w:pPr>
        <w:spacing w:after="0" w:line="189" w:lineRule="exact"/>
        <w:rPr>
          <w:rFonts w:ascii="Times New Roman" w:cs="Times New Roman" w:eastAsia="Times New Roman" w:hAnsi="Times New Roman"/>
          <w:sz w:val="19"/>
          <w:szCs w:val="19"/>
          <w:color w:val="010000"/>
        </w:rPr>
      </w:pPr>
    </w:p>
    <w:p>
      <w:pPr>
        <w:jc w:val="both"/>
        <w:ind w:firstLine="1304"/>
        <w:spacing w:after="0" w:line="252" w:lineRule="auto"/>
        <w:tabs>
          <w:tab w:leader="none" w:pos="1860"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relevant Issuing Bank (whether arising by contract, at law, in equity or otherwise) against such Subsidiary in respect of such Letter of Credit, the Company (i) shall reimburse, indemnify and compensate the relevant Issuing Bank hereunder for such Letter of Credit (including to reimburse any and all drawings thereunder)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010000"/>
        </w:rPr>
        <w:t xml:space="preserve">SECTION 2.07. </w:t>
      </w:r>
      <w:r>
        <w:rPr>
          <w:rFonts w:ascii="Times New Roman" w:cs="Times New Roman" w:eastAsia="Times New Roman" w:hAnsi="Times New Roman"/>
          <w:sz w:val="20"/>
          <w:szCs w:val="20"/>
          <w:u w:val="single" w:color="auto"/>
          <w:color w:val="000000"/>
        </w:rPr>
        <w:t>Funding of Borrowings</w:t>
      </w:r>
      <w:r>
        <w:rPr>
          <w:rFonts w:ascii="Times New Roman" w:cs="Times New Roman" w:eastAsia="Times New Roman" w:hAnsi="Times New Roman"/>
          <w:sz w:val="20"/>
          <w:szCs w:val="20"/>
          <w:color w:val="000000"/>
        </w:rPr>
        <w:t>. (a) Each Lender shall make each Loan to be made by it hereunder on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proposed date thereof solely by wire transfer of immediately available funds (i) in the case of Loans denominated in Dollars, by 2:00 p.m., New York City time, to the account of the Administrative Agent most recently designated by it for such purpose by notice to the Lenders and</w:t>
      </w:r>
    </w:p>
    <w:p>
      <w:pPr>
        <w:spacing w:after="0" w:line="1"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Loan denominated in a Foreign Currency, by 12:00 noon, Local Time, in the city of the</w:t>
      </w:r>
    </w:p>
    <w:p>
      <w:pPr>
        <w:spacing w:after="0" w:line="200" w:lineRule="exact"/>
        <w:rPr>
          <w:rFonts w:ascii="Times New Roman" w:cs="Times New Roman" w:eastAsia="Times New Roman" w:hAnsi="Times New Roman"/>
          <w:sz w:val="20"/>
          <w:szCs w:val="20"/>
          <w:color w:val="auto"/>
        </w:rPr>
      </w:pPr>
    </w:p>
    <w:p>
      <w:pPr>
        <w:spacing w:after="0" w:line="306"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886" w:right="339" w:bottom="1440" w:gutter="0" w:footer="0" w:header="0"/>
        </w:sectPr>
      </w:pPr>
    </w:p>
    <w:bookmarkStart w:id="67" w:name="page68"/>
    <w:bookmarkEnd w:id="67"/>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Administrative Agent’s Foreign Currency Payment Office for such currency and at such Foreign Currency Payment Office for such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Tranche A Term Loans shall be made as provided in Section 2.01(c) and (2) Swingline Loans shall be made as provided in Section 2.05. Except in respect of the provisions of this Agreement covering the reimbursement of Letters of Credit, the Administrative Agent will make such Loans available to the relevant Borrower by promptly crediting the funds so received in the aforesaid account of the Administrative Agent to (x) an account of such Borrower maintained with the Administrative Agent and designated by such Borrower in the applicable Borrowing Request, in the case of Loans denominated in Dollars and (y) an account of such Borrower in the relevant jurisdiction and designated by such Borrower in the applicable Borrowing Request, in the case of Loans denominated in a Foreign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an LC Disbursement as provided in Section 2.06(e) shall be remitted by the Administrative Agent to the relevant Issuing Bank.</w:t>
      </w:r>
    </w:p>
    <w:p>
      <w:pPr>
        <w:spacing w:after="0" w:line="203" w:lineRule="exact"/>
        <w:rPr>
          <w:sz w:val="20"/>
          <w:szCs w:val="20"/>
          <w:color w:val="auto"/>
        </w:rPr>
      </w:pPr>
    </w:p>
    <w:p>
      <w:pPr>
        <w:jc w:val="both"/>
        <w:ind w:firstLine="1304"/>
        <w:spacing w:after="0" w:line="251" w:lineRule="auto"/>
        <w:tabs>
          <w:tab w:leader="none" w:pos="1738"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notice from a Lender prior to the proposed date of any Borrowing (or in the case of an ABR Borrowing, prior to 2:00 p.m.,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20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2.08. </w:t>
      </w:r>
      <w:r>
        <w:rPr>
          <w:rFonts w:ascii="Times New Roman" w:cs="Times New Roman" w:eastAsia="Times New Roman" w:hAnsi="Times New Roman"/>
          <w:sz w:val="20"/>
          <w:szCs w:val="20"/>
          <w:u w:val="single" w:color="auto"/>
          <w:color w:val="000000"/>
        </w:rPr>
        <w:t>Interest Elections</w:t>
      </w:r>
      <w:r>
        <w:rPr>
          <w:rFonts w:ascii="Times New Roman" w:cs="Times New Roman" w:eastAsia="Times New Roman" w:hAnsi="Times New Roman"/>
          <w:sz w:val="20"/>
          <w:szCs w:val="20"/>
          <w:color w:val="000000"/>
        </w:rPr>
        <w:t>. (a) Each Borrowing initially shall be of the Type, Agreed Currency and Class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specified in the applicable Borrowing Request and, in the case of a Term Benchmark Borrowing, shall have an initial Interest Period as specified in such Borrowing Request.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220" w:lineRule="exact"/>
        <w:rPr>
          <w:sz w:val="20"/>
          <w:szCs w:val="20"/>
          <w:color w:val="auto"/>
        </w:rPr>
      </w:pPr>
    </w:p>
    <w:p>
      <w:pPr>
        <w:jc w:val="both"/>
        <w:ind w:firstLine="1304"/>
        <w:spacing w:after="0" w:line="250" w:lineRule="auto"/>
        <w:tabs>
          <w:tab w:leader="none" w:pos="1738"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make an election pursuant to this Section, a Borrower, or the Company on its behalf, shall notify the Administrative Agent of such election (by irrevocable written notice via an Interest Election Request signed by such Borrower, or the Company on its behalf; provided that, if such Interest Election Request or written notice, as applicable, is submitted through an Approved Borrower Portal, the foregoing signature requirement may be waived at the sole discretion of the Administrative Agent) by the time that a Borrowing Request would be required under Section 2.03 if such Borrower were requesting a Borrowing of the Type resulting from such election to be made on the effective date of such election. Notwithstanding any contrary provision herein, this Section shall not be construed to permit any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w:t>
      </w:r>
    </w:p>
    <w:p>
      <w:pPr>
        <w:spacing w:after="0" w:line="219"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Interest Election Request shall specify the following information in compliance with Section 2.02: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886" w:right="339" w:bottom="1440" w:gutter="0" w:footer="0" w:header="0"/>
        </w:sectPr>
      </w:pPr>
    </w:p>
    <w:bookmarkStart w:id="68" w:name="page69"/>
    <w:bookmarkEnd w:id="68"/>
    <w:p>
      <w:pPr>
        <w:ind w:left="1680" w:hanging="376"/>
        <w:spacing w:after="0"/>
        <w:tabs>
          <w:tab w:leader="none" w:pos="168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name of the applicable Borrower;</w:t>
      </w:r>
    </w:p>
    <w:p>
      <w:pPr>
        <w:spacing w:after="0" w:line="256"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89"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(iv) and (v) below shall be specified for each resulting Borrowing);</w:t>
      </w:r>
    </w:p>
    <w:p>
      <w:pPr>
        <w:spacing w:after="0" w:line="194"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256"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833"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the resulting Borrowing is to be an ABR Borrowing (in the case of Borrowings denominated in Dollars), a Term Benchmark Borrowing or an RFR Borrowing and, in the case of a Borrowing consisting of Revolving Loans, whether (subject to the requirements of Section 2.02(d)(ii)) such Borrowing is to be a US Tranche Revolving Borrowing or Global Tranche Revolving Borrowing; and</w:t>
      </w:r>
    </w:p>
    <w:p>
      <w:pPr>
        <w:spacing w:after="0" w:line="199"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51"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resulting Borrowing is a Term Benchmark Borrowing, the Interest Period and Agreed Currency to be applicable thereto after giving effect to such election, which Interest Period shall be a period contemplated by the definition of the term “Interest Period”.</w:t>
      </w:r>
    </w:p>
    <w:p>
      <w:pPr>
        <w:spacing w:after="0" w:line="18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in no event shall the Borrowers be permitted to request pursuant to this Section 2.08(c)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Daily Simple SOFR and Daily Simple CORRA shall only apply to the extent provided in Sections 2.08(e) (solely with respect to the Central Bank Rate, the Canadian Prime Rate and the Japanese Prime Rate), 2.14(a) and 2.14(f), as applicable).</w:t>
      </w:r>
    </w:p>
    <w:p>
      <w:pPr>
        <w:spacing w:after="0" w:line="219" w:lineRule="exact"/>
        <w:rPr>
          <w:sz w:val="20"/>
          <w:szCs w:val="20"/>
          <w:color w:val="auto"/>
        </w:rPr>
      </w:pPr>
    </w:p>
    <w:p>
      <w:pPr>
        <w:ind w:firstLine="1304"/>
        <w:spacing w:after="0" w:line="269" w:lineRule="auto"/>
        <w:tabs>
          <w:tab w:leader="none" w:pos="1765"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99"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875"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relevant Borrower fails to deliver a timely Interest Election Request with respect to a Term Benchmark Borrowing denominated in Dollars prior to the end of the Interest Period applicable thereto, then, unless such Borrowing is repaid as provided herein, at the end of such Interest Period such Borrowing shall be deemed to have an Interest Period that is one (1) month. If the relevant Borrower fails to deliver a timely and complete Interest Election Request with respect to a Term Benchmark Borrowing denominated in a Foreign Currency prior to the end of the Interest Period therefor, then, unless such Term Benchmark Borrowing is repaid as provided herein, such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or an RFR Borrowing and (ii) unless repaid, (x)(A) each Term Benchmark Borrowing denominated in Dollars shall be converted to an ABR Borrowing at the end of the Interest Period applicable thereto and (B) each RFR Borrowing denominated in Dollars shall be converted to an ABR Borrowing on the next Interest Payment Date in respect thereof and (y) each Term Benchmark Borrowing and each RFR Borrowing, in each case denominated in a Foreign Currency shall bear interest at the Central Bank Rate (or in the case of Canadian Dollars, the Canadian Prime Rate) for the applicable Agreed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886"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error) that the Central Bank Rate (or in the case of Canadian Dollars, the Canadian Prime Rate) for the applicable Agreed Currency cannot be determined, any outstanding affected Term Benchmark Loans or RFR Loans denominated in any Foreign Currency shall either be (A) converted to an ABR Borrowing denominated in Dollars (in an amount equal to the Dollar Amount of such Foreign Currency) at the end of the Interest Period, as applicable, therefor or (B) prepaid at the end of the applicable Interest Period, as applicable,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election is made by the relevant Borrower by the earlier of (x) the date that is three (3) Business Days after receipt by the Company of such notice and (y) the last day of the current Interest Period for the applicable Term Benchmark Loan, such Borrower shall be deemed to have elected clause (A) above.</w:t>
      </w:r>
    </w:p>
    <w:p>
      <w:pPr>
        <w:spacing w:after="0" w:line="20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2.09. </w:t>
      </w:r>
      <w:r>
        <w:rPr>
          <w:rFonts w:ascii="Times New Roman" w:cs="Times New Roman" w:eastAsia="Times New Roman" w:hAnsi="Times New Roman"/>
          <w:sz w:val="20"/>
          <w:szCs w:val="20"/>
          <w:u w:val="single" w:color="auto"/>
          <w:color w:val="000000"/>
        </w:rPr>
        <w:t>Termination and Reduction of Commitments</w:t>
      </w:r>
      <w:r>
        <w:rPr>
          <w:rFonts w:ascii="Times New Roman" w:cs="Times New Roman" w:eastAsia="Times New Roman" w:hAnsi="Times New Roman"/>
          <w:sz w:val="20"/>
          <w:szCs w:val="20"/>
          <w:color w:val="000000"/>
        </w:rPr>
        <w:t>. (a) Unless previously terminated, (i) the Tranche A Term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Commitments shall terminate at 3:00 p.m. (New York City time) on the Effective Date and (ii) the Revolving Commitments shall terminate on the Revolving Maturity Date.</w:t>
      </w:r>
    </w:p>
    <w:p>
      <w:pPr>
        <w:spacing w:after="0" w:line="208" w:lineRule="exact"/>
        <w:rPr>
          <w:sz w:val="20"/>
          <w:szCs w:val="20"/>
          <w:color w:val="auto"/>
        </w:rPr>
      </w:pPr>
    </w:p>
    <w:p>
      <w:pPr>
        <w:jc w:val="both"/>
        <w:ind w:firstLine="1304"/>
        <w:spacing w:after="0" w:line="251" w:lineRule="auto"/>
        <w:tabs>
          <w:tab w:leader="none" w:pos="1805"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may at any time terminate, or from time to time reduce, the Revolving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Commitments of any Class shall be in an amount that is an integral multiple of $1,000,000 and not less than $1,000,000, (ii) the Company shall not terminate or reduce the US Tranche Commitments if, after giving effect to any concurrent prepayment of the US Tranche Revolving Loans in accordance with Section 2.11, the Dollar Amount of the sum of the total US Tranche Revolving Credit Exposures would exceed the aggregate US Tranche Commitments and (iii) the Company shall not terminate or reduce the Global Tranche Commitments if, after giving effect to any concurrent prepayment of the Global Tranche Revolving Loans in accordance with Section 2.11, the Dollar Amount of the sum of the total Global Tranche Revolving Credit Exposures would exceed the aggregate Global Tranche Commitments.</w:t>
      </w:r>
    </w:p>
    <w:p>
      <w:pPr>
        <w:spacing w:after="0" w:line="222"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81"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shall notify the Administrative Agent of any election to terminate or reduce the Commitments of any Class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Commitments of any Class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22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010000"/>
        </w:rPr>
        <w:t xml:space="preserve">SECTION 2.10. </w:t>
      </w:r>
      <w:r>
        <w:rPr>
          <w:rFonts w:ascii="Times New Roman" w:cs="Times New Roman" w:eastAsia="Times New Roman" w:hAnsi="Times New Roman"/>
          <w:sz w:val="20"/>
          <w:szCs w:val="20"/>
          <w:u w:val="single" w:color="auto"/>
          <w:color w:val="000000"/>
        </w:rPr>
        <w:t>Repayment and Amortization of Loans; Evidence of Debt</w:t>
      </w:r>
      <w:r>
        <w:rPr>
          <w:rFonts w:ascii="Times New Roman" w:cs="Times New Roman" w:eastAsia="Times New Roman" w:hAnsi="Times New Roman"/>
          <w:sz w:val="20"/>
          <w:szCs w:val="20"/>
          <w:color w:val="000000"/>
        </w:rPr>
        <w:t>. (a) Each Borrower hereby unconditionally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promises to pay (i) to the Administrative Agent for the account of each Revolving Lender the then unpaid principal amount of each Revolving Loan made to such Borrower on the Revolving Maturity Date in the currency of such Loan and (ii) in the case of each Borrower, to the Swingline Lender the then unpaid principal amount of each Swingline Loan made to such Borrower on the earlier of the Revolving Maturity Date and the first date after such Swingline Loan is made to such Borrower that is the 15</w:t>
      </w:r>
      <w:r>
        <w:rPr>
          <w:rFonts w:ascii="Times New Roman" w:cs="Times New Roman" w:eastAsia="Times New Roman" w:hAnsi="Times New Roman"/>
          <w:sz w:val="25"/>
          <w:szCs w:val="25"/>
          <w:color w:val="000000"/>
          <w:vertAlign w:val="superscript"/>
        </w:rPr>
        <w:t>th</w:t>
      </w:r>
      <w:r>
        <w:rPr>
          <w:rFonts w:ascii="Times New Roman" w:cs="Times New Roman" w:eastAsia="Times New Roman" w:hAnsi="Times New Roman"/>
          <w:sz w:val="20"/>
          <w:szCs w:val="20"/>
          <w:color w:val="000000"/>
        </w:rPr>
        <w:t xml:space="preserve"> or last day of a calendar month and is at least two (2) Business Days after such Swingline Loan is made;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on each date that a Global Tranche Revolving Borrowing is made, each Borrower shall repay all Swingline Loans made to such Borrower then outstanding and the proceeds of any such Borrowing shall be applied by the Administrative Agent to repay any Swingline Loans outstanding. The Company shall repay Tranche A Term Loans on the last day of each calendar quarter (commencing with the calendar quarter ending on or about March 31, 2026) in an amount equal to $6,250,000 (as adjusted from time to time pursuant to Section 2.11(a)). To the extent not previously repaid, all unpaid Tranche A Term Loans shall be paid in full in Dollars by the Company on the Tranche A Term Loan Maturity Date.</w:t>
      </w:r>
    </w:p>
    <w:p>
      <w:pPr>
        <w:spacing w:after="0" w:line="232" w:lineRule="exact"/>
        <w:rPr>
          <w:sz w:val="20"/>
          <w:szCs w:val="20"/>
          <w:color w:val="auto"/>
        </w:rPr>
      </w:pPr>
    </w:p>
    <w:p>
      <w:pPr>
        <w:ind w:firstLine="1304"/>
        <w:spacing w:after="0" w:line="269" w:lineRule="auto"/>
        <w:tabs>
          <w:tab w:leader="none" w:pos="1725"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010000"/>
        </w:rPr>
        <w:t>E</w:t>
      </w:r>
      <w:r>
        <w:rPr>
          <w:rFonts w:ascii="Times New Roman" w:cs="Times New Roman" w:eastAsia="Times New Roman" w:hAnsi="Times New Roman"/>
          <w:sz w:val="20"/>
          <w:szCs w:val="20"/>
          <w:color w:val="000000"/>
        </w:rPr>
        <w:t>ach Lender shall maintain in accordance with its usual practice an account or accounts evidencing the indebtedness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Borrower to such Lender resulting from each Loan made by such</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88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Lender, including the amounts of principal and interest payable and paid to such Lender from time to time hereunder.</w:t>
      </w:r>
    </w:p>
    <w:p>
      <w:pPr>
        <w:spacing w:after="0" w:line="256" w:lineRule="exact"/>
        <w:rPr>
          <w:sz w:val="20"/>
          <w:szCs w:val="20"/>
          <w:color w:val="auto"/>
        </w:rPr>
      </w:pPr>
    </w:p>
    <w:p>
      <w:pPr>
        <w:jc w:val="both"/>
        <w:ind w:firstLine="1304"/>
        <w:spacing w:after="0" w:line="254" w:lineRule="auto"/>
        <w:tabs>
          <w:tab w:leader="none" w:pos="1713"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200" w:lineRule="exact"/>
        <w:rPr>
          <w:rFonts w:ascii="Times New Roman" w:cs="Times New Roman" w:eastAsia="Times New Roman" w:hAnsi="Times New Roman"/>
          <w:sz w:val="20"/>
          <w:szCs w:val="20"/>
          <w:color w:val="010000"/>
        </w:rPr>
      </w:pPr>
    </w:p>
    <w:p>
      <w:pPr>
        <w:spacing w:after="0" w:line="257"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32"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absent manifest error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Obligations.</w:t>
      </w:r>
    </w:p>
    <w:p>
      <w:pPr>
        <w:spacing w:after="0" w:line="208"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13"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request that Loans made by it to any Borrower be evidenced by a promissory note (each,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In such event, the relevant Borrower shall prepare, execute and deliver to such Lender a promissory note payable to such Lender and its registered assigns and in a form approved by the Administrative Agent. Thereafter, the Loans evidenced by such Note and interest thereon shall at all times (including after assignment pursuant to Section 9.04) be represented by one or more Notes in such form.</w:t>
      </w:r>
    </w:p>
    <w:p>
      <w:pPr>
        <w:spacing w:after="0" w:line="199" w:lineRule="exact"/>
        <w:rPr>
          <w:rFonts w:ascii="Times New Roman" w:cs="Times New Roman" w:eastAsia="Times New Roman" w:hAnsi="Times New Roman"/>
          <w:sz w:val="20"/>
          <w:szCs w:val="20"/>
          <w:color w:val="010000"/>
        </w:rPr>
      </w:pPr>
    </w:p>
    <w:p>
      <w:pPr>
        <w:ind w:right="20" w:firstLine="1304"/>
        <w:spacing w:after="0" w:line="283" w:lineRule="auto"/>
        <w:tabs>
          <w:tab w:leader="none" w:pos="1719"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repay Incremental Term Loans of any Series in such amounts and on such date or dates as shall be specified therefor in the Incremental Facility Agreement establishing the Incremental Term Loan Commitments of such Series.</w:t>
      </w:r>
    </w:p>
    <w:p>
      <w:pPr>
        <w:spacing w:after="0" w:line="173"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2.11.</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49" w:lineRule="auto"/>
        <w:tabs>
          <w:tab w:leader="none" w:pos="1781"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Borrower shall have the right at any time and from time to time to prepay any Borrowing in whole or in part, without premium or penalty (but subject to break funding payments required by Section 2.16) subject to prior notice in accordance with the provisions of this Section 2.11(a). The applicable Borrower, or the Company on behalf of the applicable Borrower, shall notify the Administrative Agent (and, in the case of prepayment of a Swingline Loan, the Swingline Lender) by written notice (which may be transmitted by electronic communication, including an Approved Borrower Portal, if arrangements for doing so have been approved by the Administrative Agent and, if relevant, the Swingline Lender) of any prepayment hereunder in the case of prepayment of (A) a Term Benchmark Borrowing denominated in Dollars or Canadian Dollars, not later than 1:00 p.m., New York City time, three (3) Business Days before the date of prepayment, (B) a Term Benchmark Borrowing denominated in euro, no later than 1:30 p.m., New York City time, four (4) Business Days before the date of prepayment, (C) an RFR Borrowing denominated in Pounds Sterling or Dollars, not later than 12:00 noon, New York City time, five (5) RFR Business Days before the date of prepayment, (D) in the case of prepayment of an ABR Borrowing, not later than 1:00 p.m., New York City time, on the date of prepayment or (E) in the case of prepayment of a Swingline Loan, not later than 1:00 p.m.,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and each voluntary prepayment of a Tranche A Term Loan Borrowing shall be applied ratably to the Tranche A Term Loans included in the prepaid Tranche A Term Loan Borrowing in such order of application as directed by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886" w:right="339" w:bottom="1440" w:gutter="0" w:footer="0" w:header="0"/>
        </w:sectPr>
      </w:pPr>
    </w:p>
    <w:bookmarkStart w:id="71" w:name="page72"/>
    <w:bookmarkEnd w:id="71"/>
    <w:p>
      <w:pPr>
        <w:spacing w:after="0" w:line="283" w:lineRule="auto"/>
        <w:rPr>
          <w:sz w:val="20"/>
          <w:szCs w:val="20"/>
          <w:color w:val="auto"/>
        </w:rPr>
      </w:pPr>
      <w:r>
        <w:rPr>
          <w:rFonts w:ascii="Times New Roman" w:cs="Times New Roman" w:eastAsia="Times New Roman" w:hAnsi="Times New Roman"/>
          <w:sz w:val="20"/>
          <w:szCs w:val="20"/>
          <w:color w:val="auto"/>
        </w:rPr>
        <w:t>Company. Prepayments shall be accompanied by (i) accrued interest to the extent required by Section 2.13 and (ii) break funding payments pursuant to Section 2.16.</w:t>
      </w:r>
    </w:p>
    <w:p>
      <w:pPr>
        <w:spacing w:after="0" w:line="173" w:lineRule="exact"/>
        <w:rPr>
          <w:sz w:val="20"/>
          <w:szCs w:val="20"/>
          <w:color w:val="auto"/>
        </w:rPr>
      </w:pPr>
    </w:p>
    <w:p>
      <w:pPr>
        <w:jc w:val="both"/>
        <w:ind w:firstLine="1304"/>
        <w:spacing w:after="0" w:line="267" w:lineRule="auto"/>
        <w:tabs>
          <w:tab w:leader="none" w:pos="1832" w:val="left"/>
        </w:tabs>
        <w:numPr>
          <w:ilvl w:val="1"/>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at any time, (i) other than as a result of fluctuations in currency exchange rates, (A) the sum of the aggregate principal Dollar Amount of all of the Revolving Credit Exposures (calculated, with respect to those Credit Events denominated in Foreign Currencies, as of the most recent Computation Date with respect to each such Credit Event) exceeds the aggregate Revolving Commitments,</w:t>
      </w:r>
    </w:p>
    <w:p>
      <w:pPr>
        <w:spacing w:after="0" w:line="1" w:lineRule="exact"/>
        <w:rPr>
          <w:rFonts w:ascii="Times New Roman" w:cs="Times New Roman" w:eastAsia="Times New Roman" w:hAnsi="Times New Roman"/>
          <w:sz w:val="19"/>
          <w:szCs w:val="19"/>
          <w:color w:val="010000"/>
        </w:rPr>
      </w:pPr>
    </w:p>
    <w:p>
      <w:pPr>
        <w:jc w:val="both"/>
        <w:ind w:firstLine="8"/>
        <w:spacing w:after="0" w:line="248" w:lineRule="auto"/>
        <w:tabs>
          <w:tab w:leader="none" w:pos="31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aggregate principal Dollar Amount of all of the Revolving Credit Exposures of any Class (calculated, with respect to those Credit Events denominated in Foreign Currencies, as of the most recent Computation Date with respect to each such Credit Event) exceeds the aggregate Revolving Commitments of such Class, (C) the sum of the aggregate principal Dollar Amount of all of the outstanding Global Tranche Revolving Credit Exposures denominated in Foreign Currencies (the “</w:t>
      </w:r>
      <w:r>
        <w:rPr>
          <w:rFonts w:ascii="Times New Roman" w:cs="Times New Roman" w:eastAsia="Times New Roman" w:hAnsi="Times New Roman"/>
          <w:sz w:val="20"/>
          <w:szCs w:val="20"/>
          <w:u w:val="single" w:color="auto"/>
          <w:color w:val="auto"/>
        </w:rPr>
        <w:t>Foreign Currency Exposure</w:t>
      </w:r>
      <w:r>
        <w:rPr>
          <w:rFonts w:ascii="Times New Roman" w:cs="Times New Roman" w:eastAsia="Times New Roman" w:hAnsi="Times New Roman"/>
          <w:sz w:val="20"/>
          <w:szCs w:val="20"/>
          <w:color w:val="auto"/>
        </w:rPr>
        <w:t>”) (calculated as of the most recent Computation Date with respect to each such Credit Event) exceeds the Foreign Currency Sublimit or (D) the sum of the aggregate principal Dollar Amount of all of the Revolving Credit Exposures (calculated, with respect to those Credit Events denominated in Foreign Currencies, as of the most recent Computation Date with respect to each such Credit Event) in respect of the Foreign Subsidiary Borrowers (the “</w:t>
      </w:r>
      <w:r>
        <w:rPr>
          <w:rFonts w:ascii="Times New Roman" w:cs="Times New Roman" w:eastAsia="Times New Roman" w:hAnsi="Times New Roman"/>
          <w:sz w:val="20"/>
          <w:szCs w:val="20"/>
          <w:u w:val="single" w:color="auto"/>
          <w:color w:val="auto"/>
        </w:rPr>
        <w:t>Foreign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 Exposure</w:t>
      </w:r>
      <w:r>
        <w:rPr>
          <w:rFonts w:ascii="Times New Roman" w:cs="Times New Roman" w:eastAsia="Times New Roman" w:hAnsi="Times New Roman"/>
          <w:sz w:val="20"/>
          <w:szCs w:val="20"/>
          <w:color w:val="auto"/>
        </w:rPr>
        <w:t>”) exceeds the Foreign Borrower Sublimit or (ii) solely as a result of fluctuations in currency exchange rates, (A) the sum of the aggregate principal Dollar Amount of all of the Revolving Credit Exposures (so calculated) exceeds 105% of the aggregate Revolving Commitments, (B) the sum of the aggregate principal Dollar Amount of all of the Global Tranche Revolving Credit Exposures (so calculated) exceeds 105% of the aggregate Global Tranche Commitments, (C) the Foreign Currency Exposure, as of the most recent Computation Date with respect to each such Credit Event, exceeds 105% of the Foreign Currency Sublimit or (D) the Foreign Borrower Exposure, as of the most recent Computation Date with respect to each such Credit Event, exceeds 105% of the Foreign Borrower Sublimit, the Borrowers shall in each case immediately repay Revolving Borrowings or cash collateralize LC Exposure in an account with the Administrative Agent pursuant to Section 2.06(j), as applicable, in an aggregate principal amount sufficient to cause (w) the aggregate Dollar Amount of all Revolving Credit Exposures (so calculated) to be less than or equal to the aggregate Revolving Commitments, (x) the aggregate Dollar Amount of all Revolving Credit Exposures (so calculated) of each Class to be less than or equal to the aggregate Revolving Commitments of such Class, (y) the Foreign Currency Exposure to be less than or equal to the Foreign Currency Sublimit and (z) the Foreign Borrower Exposure to be less than or equal to the Foreign Borrower Sublimit, as applicable.</w:t>
      </w:r>
    </w:p>
    <w:p>
      <w:pPr>
        <w:spacing w:after="0" w:line="221"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color w:val="010000"/>
        </w:rPr>
        <w:t xml:space="preserve">SECTION 2.12. </w:t>
      </w:r>
      <w:r>
        <w:rPr>
          <w:rFonts w:ascii="Times New Roman" w:cs="Times New Roman" w:eastAsia="Times New Roman" w:hAnsi="Times New Roman"/>
          <w:sz w:val="20"/>
          <w:szCs w:val="20"/>
          <w:u w:val="single" w:color="auto"/>
          <w:color w:val="000000"/>
        </w:rPr>
        <w:t>Fees</w:t>
      </w:r>
      <w:r>
        <w:rPr>
          <w:rFonts w:ascii="Times New Roman" w:cs="Times New Roman" w:eastAsia="Times New Roman" w:hAnsi="Times New Roman"/>
          <w:sz w:val="20"/>
          <w:szCs w:val="20"/>
          <w:color w:val="000000"/>
        </w:rPr>
        <w:t>. (a) The Company agrees to pay to the Administrative Agent for the account of each Revolving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Lender a commitment fee, which shall accrue at the Applicable Commitment Fee Rate on the daily amount of the Available Revolving Commitment of such Revolving Lender during the period from and including the Effective Date to but excluding the date on which such Revolving Commitment terminates. Accrued commitment fees shall be payable in arrears on the fifteenth (15</w:t>
      </w:r>
      <w:r>
        <w:rPr>
          <w:rFonts w:ascii="Times New Roman" w:cs="Times New Roman" w:eastAsia="Times New Roman" w:hAnsi="Times New Roman"/>
          <w:sz w:val="25"/>
          <w:szCs w:val="25"/>
          <w:color w:val="000000"/>
          <w:vertAlign w:val="superscript"/>
        </w:rPr>
        <w:t>th</w:t>
      </w:r>
      <w:r>
        <w:rPr>
          <w:rFonts w:ascii="Times New Roman" w:cs="Times New Roman" w:eastAsia="Times New Roman" w:hAnsi="Times New Roman"/>
          <w:sz w:val="20"/>
          <w:szCs w:val="20"/>
          <w:color w:val="000000"/>
        </w:rPr>
        <w:t>) day following the last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and the last day of each period but excluding the date on which the Revolving Commitments terminate).</w:t>
      </w:r>
    </w:p>
    <w:p>
      <w:pPr>
        <w:spacing w:after="0" w:line="225" w:lineRule="exact"/>
        <w:rPr>
          <w:sz w:val="20"/>
          <w:szCs w:val="20"/>
          <w:color w:val="auto"/>
        </w:rPr>
      </w:pPr>
    </w:p>
    <w:p>
      <w:pPr>
        <w:jc w:val="both"/>
        <w:ind w:firstLine="1304"/>
        <w:spacing w:after="0" w:line="251" w:lineRule="auto"/>
        <w:tabs>
          <w:tab w:leader="none" w:pos="1765"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pay (i) to the Administrative Agent for the account of each Revolving Lender a participation fee with respect to its participations in each outstanding Letter of Credit, which shall accrue at the same Applicable Spread used to determine the interest rate applicable to Term Benchmark Revolving Loans on the Dollar Amount of the daily maximum stated amount then available to be drawn under such Letter of Credit (excluding any portion thereof attributable to unreimbursed LC Disbursements), during the period from and including the Effective Date to but excluding the later of the date on which such Revolving Lender’s Revolving Commitment terminates and the date on which such Revolving Lender ceases to have any LC Exposure and (ii) to the relevant Issuing Bank for its own account a fronting fee with respect to each Letter of Credit issued by such Issuing Bank, which shall accrue at the rate of 0.125% per annum on the Dollar Amount of the daily maximum stated amount then available to be drawn under such</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886" w:right="339" w:bottom="1440" w:gutter="0" w:footer="0" w:header="0"/>
        </w:sectPr>
      </w:pPr>
    </w:p>
    <w:bookmarkStart w:id="72" w:name="page73"/>
    <w:bookmarkEnd w:id="72"/>
    <w:p>
      <w:pPr>
        <w:jc w:val="both"/>
        <w:spacing w:after="0" w:line="244" w:lineRule="auto"/>
        <w:rPr>
          <w:sz w:val="20"/>
          <w:szCs w:val="20"/>
          <w:color w:val="auto"/>
        </w:rPr>
      </w:pPr>
      <w:r>
        <w:rPr>
          <w:rFonts w:ascii="Times New Roman" w:cs="Times New Roman" w:eastAsia="Times New Roman" w:hAnsi="Times New Roman"/>
          <w:sz w:val="20"/>
          <w:szCs w:val="20"/>
          <w:color w:val="auto"/>
        </w:rPr>
        <w:t>Letter of Credit (excluding any portion thereof attributable to unreimbursed LC Disbursements),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cancellation, negotiation, transfer, presentment or extension of any Letter of Credit or processing of drawings thereunder. Participation fees and fronting fees accrued through and including the last day of March, June, September and December of each year shall be payable on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such last day, commencing on the first such date to occur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ten (10) days after written demand. All participation fees and fronting fees shall be computed on the basis of a year of 360 days and shall be payable for the actual number of days elapsed (including the first day but excluding the last day).</w:t>
      </w:r>
    </w:p>
    <w:p>
      <w:pPr>
        <w:spacing w:after="0" w:line="232" w:lineRule="exact"/>
        <w:rPr>
          <w:sz w:val="20"/>
          <w:szCs w:val="20"/>
          <w:color w:val="auto"/>
        </w:rPr>
      </w:pPr>
    </w:p>
    <w:p>
      <w:pPr>
        <w:ind w:firstLine="1304"/>
        <w:spacing w:after="0" w:line="269" w:lineRule="auto"/>
        <w:tabs>
          <w:tab w:leader="none" w:pos="1754"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pay to the Administrative Agent, for its own account, fees payable in the amounts and at the times separately agreed upon between the Company and the Administrative Agent.</w:t>
      </w:r>
    </w:p>
    <w:p>
      <w:pPr>
        <w:spacing w:after="0" w:line="199"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78"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fees payable hereunder shall be paid on the dates due, in Dollars (except as otherwise expressly provided in this Section 2.12) and immediately available funds, to the Administrative Agent (or to each Issuing Bank, in the case of fees payable to it) for distribution, in the case of commitment fees and participation fees, to the applicable Lenders. Fees paid shall not be refundable absent manifest error in the calculation thereof.</w:t>
      </w:r>
    </w:p>
    <w:p>
      <w:pPr>
        <w:spacing w:after="0" w:line="19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2.13. </w:t>
      </w:r>
      <w:r>
        <w:rPr>
          <w:rFonts w:ascii="Times New Roman" w:cs="Times New Roman" w:eastAsia="Times New Roman" w:hAnsi="Times New Roman"/>
          <w:sz w:val="20"/>
          <w:szCs w:val="20"/>
          <w:u w:val="single" w:color="auto"/>
          <w:color w:val="000000"/>
        </w:rPr>
        <w:t>Interest</w:t>
      </w:r>
      <w:r>
        <w:rPr>
          <w:rFonts w:ascii="Times New Roman" w:cs="Times New Roman" w:eastAsia="Times New Roman" w:hAnsi="Times New Roman"/>
          <w:sz w:val="20"/>
          <w:szCs w:val="20"/>
          <w:color w:val="000000"/>
        </w:rPr>
        <w:t>. (a) (i) The Loans comprising each ABR Borrowing (other than a Dollar Swingline Loan) shall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bear interest at the Alternate Base Rate </w:t>
      </w:r>
      <w:r>
        <w:rPr>
          <w:rFonts w:ascii="Times New Roman" w:cs="Times New Roman" w:eastAsia="Times New Roman" w:hAnsi="Times New Roman"/>
          <w:sz w:val="20"/>
          <w:szCs w:val="20"/>
          <w:u w:val="single" w:color="auto"/>
          <w:color w:val="000000"/>
        </w:rPr>
        <w:t>plus</w:t>
      </w:r>
      <w:r>
        <w:rPr>
          <w:rFonts w:ascii="Times New Roman" w:cs="Times New Roman" w:eastAsia="Times New Roman" w:hAnsi="Times New Roman"/>
          <w:sz w:val="20"/>
          <w:szCs w:val="20"/>
          <w:color w:val="000000"/>
        </w:rPr>
        <w:t xml:space="preserve"> the Applicable Spread for ABR Borrowings. (ii) each Dollar Swingline Loan shall bear interest at the Dollar Swingline Rate, (iii) Each euro Swingline Loan shall bear interest at the euro Swingline Rate and (iv) Each Canadian Swingline Loan shall bear interest at the Canadian Swingline Rate.</w:t>
      </w:r>
    </w:p>
    <w:p>
      <w:pPr>
        <w:spacing w:after="0" w:line="199" w:lineRule="exact"/>
        <w:rPr>
          <w:sz w:val="20"/>
          <w:szCs w:val="20"/>
          <w:color w:val="auto"/>
        </w:rPr>
      </w:pPr>
    </w:p>
    <w:p>
      <w:pPr>
        <w:jc w:val="both"/>
        <w:ind w:firstLine="1304"/>
        <w:spacing w:after="0" w:line="268" w:lineRule="auto"/>
        <w:tabs>
          <w:tab w:leader="none" w:pos="1819"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Loans comprising each Term Benchmark Borrowing shall bear interest at the Adjusted Term SOFR Rate, the Adjusted EURIBO Rate or the Adjusted Term CORRA Rate, as applicable,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Spread.</w:t>
      </w:r>
    </w:p>
    <w:p>
      <w:pPr>
        <w:spacing w:after="0" w:line="188"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RFR Loan shall bear interest at a rate per annum equal to the applicable Adjusted Daily Simple RFR plus the</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Applicable Spread.</w:t>
      </w:r>
    </w:p>
    <w:p>
      <w:pPr>
        <w:spacing w:after="0" w:line="227"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765"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99"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27"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886" w:right="339" w:bottom="1440" w:gutter="0" w:footer="0" w:header="0"/>
        </w:sectPr>
      </w:pPr>
    </w:p>
    <w:bookmarkStart w:id="73" w:name="page74"/>
    <w:bookmarkEnd w:id="73"/>
    <w:p>
      <w:pPr>
        <w:jc w:val="both"/>
        <w:ind w:left="-20" w:firstLine="1304"/>
        <w:spacing w:after="0" w:line="251" w:lineRule="auto"/>
        <w:tabs>
          <w:tab w:leader="none" w:pos="1699"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Daily Simple RFR with respect to Pounds Sterling, Term CORRA, Daily Simple CORRA (if applicable),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EURIBO Rate, EURIBO Rate, Adjusted Term CORRA Rate, Term CORRA, Adjusted Daily Simple RFR or Daily Simple RFR shall be determined by the Administrative Agent, and such determination shall be conclusive and binding absent manifest error.</w:t>
      </w:r>
    </w:p>
    <w:p>
      <w:pPr>
        <w:spacing w:after="0" w:line="218" w:lineRule="exact"/>
        <w:rPr>
          <w:rFonts w:ascii="Times New Roman" w:cs="Times New Roman" w:eastAsia="Times New Roman" w:hAnsi="Times New Roman"/>
          <w:sz w:val="20"/>
          <w:szCs w:val="20"/>
          <w:color w:val="010000"/>
        </w:rPr>
      </w:pPr>
    </w:p>
    <w:p>
      <w:pPr>
        <w:jc w:val="both"/>
        <w:ind w:left="-20" w:firstLine="1304"/>
        <w:spacing w:after="0" w:line="254" w:lineRule="auto"/>
        <w:tabs>
          <w:tab w:leader="none" w:pos="1758"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For the purposes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and disclosure thereunder, whenever any interest or any fee to be paid hereunder or in connection herewith by a Canadian Borrower is to be calculated on the basis of a 360-, 365- or 366-day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204" w:lineRule="exact"/>
        <w:rPr>
          <w:rFonts w:ascii="Times New Roman" w:cs="Times New Roman" w:eastAsia="Times New Roman" w:hAnsi="Times New Roman"/>
          <w:sz w:val="20"/>
          <w:szCs w:val="20"/>
          <w:color w:val="010000"/>
        </w:rPr>
      </w:pPr>
    </w:p>
    <w:p>
      <w:pPr>
        <w:ind w:left="1720" w:hanging="436"/>
        <w:spacing w:after="0"/>
        <w:tabs>
          <w:tab w:leader="none" w:pos="1720"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Canadian Borrower acknowledges and confirms that:</w:t>
      </w:r>
    </w:p>
    <w:p>
      <w:pPr>
        <w:spacing w:after="0" w:line="252" w:lineRule="exact"/>
        <w:rPr>
          <w:rFonts w:ascii="Times New Roman" w:cs="Times New Roman" w:eastAsia="Times New Roman" w:hAnsi="Times New Roman"/>
          <w:sz w:val="20"/>
          <w:szCs w:val="20"/>
          <w:color w:val="010000"/>
        </w:rPr>
      </w:pPr>
    </w:p>
    <w:p>
      <w:pPr>
        <w:ind w:left="-20" w:right="20" w:firstLine="1952"/>
        <w:spacing w:after="0" w:line="287" w:lineRule="auto"/>
        <w:tabs>
          <w:tab w:leader="none" w:pos="2309" w:val="left"/>
        </w:tabs>
        <w:numPr>
          <w:ilvl w:val="1"/>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clause (g) above satisfies the requirements of Section 4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to the extent it applies to the expression or statement of any interest payable under any Loan Document; and</w:t>
      </w:r>
    </w:p>
    <w:p>
      <w:pPr>
        <w:spacing w:after="0" w:line="169" w:lineRule="exact"/>
        <w:rPr>
          <w:rFonts w:ascii="Times New Roman" w:cs="Times New Roman" w:eastAsia="Times New Roman" w:hAnsi="Times New Roman"/>
          <w:sz w:val="20"/>
          <w:szCs w:val="20"/>
          <w:color w:val="010000"/>
        </w:rPr>
      </w:pPr>
    </w:p>
    <w:p>
      <w:pPr>
        <w:ind w:left="-20" w:firstLine="1952"/>
        <w:spacing w:after="0" w:line="283" w:lineRule="auto"/>
        <w:tabs>
          <w:tab w:leader="none" w:pos="2404" w:val="left"/>
        </w:tabs>
        <w:numPr>
          <w:ilvl w:val="1"/>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Canadian Borrower is able to calculate the yearly rate or percentage of interest payable under any Loan Document based upon the methodology set out in clause (g) above.</w:t>
      </w:r>
    </w:p>
    <w:p>
      <w:pPr>
        <w:spacing w:after="0" w:line="173" w:lineRule="exact"/>
        <w:rPr>
          <w:rFonts w:ascii="Times New Roman" w:cs="Times New Roman" w:eastAsia="Times New Roman" w:hAnsi="Times New Roman"/>
          <w:sz w:val="20"/>
          <w:szCs w:val="20"/>
          <w:color w:val="010000"/>
        </w:rPr>
      </w:pPr>
    </w:p>
    <w:p>
      <w:pPr>
        <w:jc w:val="both"/>
        <w:ind w:left="-20" w:firstLine="1304"/>
        <w:spacing w:after="0" w:line="258" w:lineRule="auto"/>
        <w:tabs>
          <w:tab w:leader="none" w:pos="1674"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Canadian Borrower agrees not to, and to cause each Loan Party not to, plead or assert, whether by way of defence or otherwise, in any proceeding relating to the Loan Documents, that the interest payable thereunder and the calculation thereof has not been adequately disclosed to any Loan Party, whether pursuant to Section 4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or any other applicable law or legal principle.</w:t>
      </w:r>
    </w:p>
    <w:p>
      <w:pPr>
        <w:spacing w:after="0" w:line="212" w:lineRule="exact"/>
        <w:rPr>
          <w:rFonts w:ascii="Times New Roman" w:cs="Times New Roman" w:eastAsia="Times New Roman" w:hAnsi="Times New Roman"/>
          <w:sz w:val="20"/>
          <w:szCs w:val="20"/>
          <w:color w:val="010000"/>
        </w:rPr>
      </w:pPr>
    </w:p>
    <w:p>
      <w:pPr>
        <w:jc w:val="both"/>
        <w:ind w:left="-20" w:firstLine="1304"/>
        <w:spacing w:after="0" w:line="251" w:lineRule="auto"/>
        <w:tabs>
          <w:tab w:leader="none" w:pos="1661"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to the contrary contained in this Agreement, if the amount of interest payable under any Loan Document is reduced by virtue of the application of Section 4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then each Canadian Borrower shall immediately and retroactively be obligated to pay to the Administrative Agent for the account of the applicable Lenders, promptly on demand by the Administrative Agent (or, if an Event of Default described in clause (f)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be continuing, automatically and without further action by the Administrative Agent), an amount equal to the amount of such reduction.</w:t>
      </w:r>
    </w:p>
    <w:p>
      <w:pPr>
        <w:jc w:val="both"/>
        <w:ind w:left="-20" w:firstLine="1304"/>
        <w:spacing w:after="0" w:line="250" w:lineRule="auto"/>
        <w:tabs>
          <w:tab w:leader="none" w:pos="1704"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any provision of this Agreement would oblige a Canadian Borrower to make any payment of interest or other amount payable to any Secured Party in an amount or calculated at a rate which would be prohibited by law or would result in a receipt by that Secured Party of “interest” at a “criminal rate” (as such terms are construed under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 then, notwithstanding such provision, such amount or rate shall be deemed to have been adjusted with retroactive effect to the maximum amount or rate of interest, as the case may be, as would not be so prohibited by applicable law or so result in a receipt by that Secured Party of “interest” at a “criminal rate”, such adjustment to be effected, to the extent necessary (but only to the extent necessary), as follows:</w:t>
      </w:r>
    </w:p>
    <w:p>
      <w:pPr>
        <w:spacing w:after="0" w:line="207" w:lineRule="exact"/>
        <w:rPr>
          <w:rFonts w:ascii="Times New Roman" w:cs="Times New Roman" w:eastAsia="Times New Roman" w:hAnsi="Times New Roman"/>
          <w:sz w:val="20"/>
          <w:szCs w:val="20"/>
          <w:color w:val="010000"/>
        </w:rPr>
      </w:pPr>
    </w:p>
    <w:p>
      <w:pPr>
        <w:ind w:left="2320" w:hanging="388"/>
        <w:spacing w:after="0"/>
        <w:tabs>
          <w:tab w:leader="none" w:pos="2320" w:val="left"/>
        </w:tabs>
        <w:numPr>
          <w:ilvl w:val="1"/>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first, by reducing the amount or rate of interest; 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20"/>
          </w:cols>
          <w:pgMar w:left="340" w:top="1129" w:right="339" w:bottom="1440" w:gutter="0" w:footer="0" w:header="0"/>
        </w:sectPr>
      </w:pPr>
    </w:p>
    <w:bookmarkStart w:id="74" w:name="page75"/>
    <w:bookmarkEnd w:id="74"/>
    <w:p>
      <w:pPr>
        <w:ind w:firstLine="1952"/>
        <w:spacing w:after="0" w:line="283" w:lineRule="auto"/>
        <w:tabs>
          <w:tab w:leader="none" w:pos="2464"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thereafter, by reducing any fees, commissions, costs, expenses, premiums and other amounts required to be paid which would constitute interest for purposes of section 347 of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w:t>
      </w:r>
    </w:p>
    <w:p>
      <w:pPr>
        <w:spacing w:after="0" w:line="173"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2.14.</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left="1720" w:hanging="416"/>
        <w:spacing w:after="0"/>
        <w:tabs>
          <w:tab w:leader="none" w:pos="1720" w:val="left"/>
        </w:tabs>
        <w:numPr>
          <w:ilvl w:val="0"/>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clauses (b), (c), (d), (e) and (f) of this Section 2.14, if:</w:t>
      </w:r>
    </w:p>
    <w:p>
      <w:pPr>
        <w:spacing w:after="0" w:line="242" w:lineRule="exact"/>
        <w:rPr>
          <w:rFonts w:ascii="Times New Roman" w:cs="Times New Roman" w:eastAsia="Times New Roman" w:hAnsi="Times New Roman"/>
          <w:sz w:val="20"/>
          <w:szCs w:val="20"/>
          <w:color w:val="010000"/>
        </w:rPr>
      </w:pPr>
    </w:p>
    <w:p>
      <w:pPr>
        <w:jc w:val="both"/>
        <w:ind w:firstLine="1952"/>
        <w:spacing w:after="0" w:line="253" w:lineRule="auto"/>
        <w:tabs>
          <w:tab w:leader="none" w:pos="2383" w:val="left"/>
        </w:tabs>
        <w:numPr>
          <w:ilvl w:val="1"/>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reasonably determines (which determination shall be conclusive and binding absent manifest error) (A) prior to the commencement of any Interest Period for a Term Benchmark Borrowing, that adequate and reasonable means do not exist for ascertaining the Adjusted Term SOFR Rate, the Adjusted EURIBO Rate or the Adjusted Term CORRA Rate (including because the Relevant Screen Rate is not available or published on a current basis) for the applicable currency and such Interest Period or (B) at any time, that adequate and reasonable means do not exist for ascertaining the applicable Adjusted Daily Simple RFR for the applicable Agreed Currency; or</w:t>
      </w:r>
    </w:p>
    <w:p>
      <w:pPr>
        <w:spacing w:after="0" w:line="219" w:lineRule="exact"/>
        <w:rPr>
          <w:rFonts w:ascii="Times New Roman" w:cs="Times New Roman" w:eastAsia="Times New Roman" w:hAnsi="Times New Roman"/>
          <w:sz w:val="20"/>
          <w:szCs w:val="20"/>
          <w:color w:val="010000"/>
        </w:rPr>
      </w:pPr>
    </w:p>
    <w:p>
      <w:pPr>
        <w:jc w:val="both"/>
        <w:ind w:firstLine="1952"/>
        <w:spacing w:after="0" w:line="253" w:lineRule="auto"/>
        <w:tabs>
          <w:tab w:leader="none" w:pos="2491" w:val="left"/>
        </w:tabs>
        <w:numPr>
          <w:ilvl w:val="1"/>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Benchmark Borrowing, the Adjusted Term SOFR Rate, the Adjusted EURIBO Rate or the Adjusted Term CORRA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then the Administrative Agent shall give notice thereof to the applicable Borrower and the Lenders by telephone, telecopy or electronic mail as promptly as practicable thereafter and, until (x) the Administrative Agent notifies the applicable Borrower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(1)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w:t>
      </w:r>
    </w:p>
    <w:p>
      <w:pPr>
        <w:spacing w:after="0" w:line="6" w:lineRule="exact"/>
        <w:rPr>
          <w:sz w:val="20"/>
          <w:szCs w:val="20"/>
          <w:color w:val="auto"/>
        </w:rPr>
      </w:pPr>
    </w:p>
    <w:p>
      <w:pPr>
        <w:jc w:val="both"/>
        <w:ind w:firstLine="8"/>
        <w:spacing w:after="0" w:line="248" w:lineRule="auto"/>
        <w:tabs>
          <w:tab w:leader="none" w:pos="2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 applicable Borrower’s receipt of the notice from the Administrative Agent referred to in this Section 2.14(a) with respect to a Relevant Rate applicable to such Term Benchmark Loan or RFR Loan, then until (x) the Administrative Agent notifies the Company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886" w:right="339" w:bottom="1440" w:gutter="0" w:footer="0" w:header="0"/>
        </w:sectPr>
      </w:pPr>
    </w:p>
    <w:bookmarkStart w:id="75" w:name="page76"/>
    <w:bookmarkEnd w:id="75"/>
    <w:p>
      <w:pPr>
        <w:jc w:val="both"/>
        <w:ind w:firstLine="8"/>
        <w:spacing w:after="0" w:line="250" w:lineRule="auto"/>
        <w:tabs>
          <w:tab w:leader="none" w:pos="29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or (y) an ABR Loan if the Adjusted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(or in the case of Canadian Dollars, the Canadian Prime Rate) for the applicable Foreign Currency plus the CBR Spread; provided that,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such Foreign Currency shall, at the applicable Borrower’s election prior to such day: (A) be prepaid by such Borrower on such day or (B) 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w:t>
      </w:r>
    </w:p>
    <w:p>
      <w:pPr>
        <w:spacing w:after="0" w:line="206"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38"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20"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13"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(c)(ii) shall not be effective unless the Administrative Agent has delivered to the Lenders and the Company a Term CORRA Notice. For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886" w:right="339" w:bottom="1440" w:gutter="0" w:footer="0" w:header="0"/>
        </w:sectPr>
      </w:pPr>
    </w:p>
    <w:bookmarkStart w:id="76" w:name="page77"/>
    <w:bookmarkEnd w:id="76"/>
    <w:p>
      <w:pPr>
        <w:spacing w:after="0" w:line="283" w:lineRule="auto"/>
        <w:rPr>
          <w:sz w:val="20"/>
          <w:szCs w:val="20"/>
          <w:color w:val="auto"/>
        </w:rPr>
      </w:pPr>
      <w:r>
        <w:rPr>
          <w:rFonts w:ascii="Times New Roman" w:cs="Times New Roman" w:eastAsia="Times New Roman" w:hAnsi="Times New Roman"/>
          <w:sz w:val="20"/>
          <w:szCs w:val="20"/>
          <w:color w:val="auto"/>
        </w:rPr>
        <w:t>avoidance of doubt, the Administrative Agent shall not be required to deliver a Term CORRA Notice after the occurrence of a Term CORRA Reelection Event and may do so in its sole discretion.</w:t>
      </w:r>
    </w:p>
    <w:p>
      <w:pPr>
        <w:spacing w:after="0" w:line="173" w:lineRule="exact"/>
        <w:rPr>
          <w:sz w:val="20"/>
          <w:szCs w:val="20"/>
          <w:color w:val="auto"/>
        </w:rPr>
      </w:pPr>
    </w:p>
    <w:p>
      <w:pPr>
        <w:jc w:val="both"/>
        <w:ind w:firstLine="1304"/>
        <w:spacing w:after="0" w:line="252" w:lineRule="auto"/>
        <w:tabs>
          <w:tab w:leader="none" w:pos="1778"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216"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740"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the EURIBO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23" w:lineRule="exact"/>
        <w:rPr>
          <w:rFonts w:ascii="Times New Roman" w:cs="Times New Roman" w:eastAsia="Times New Roman" w:hAnsi="Times New Roman"/>
          <w:sz w:val="20"/>
          <w:szCs w:val="20"/>
          <w:color w:val="010000"/>
        </w:rPr>
      </w:pPr>
    </w:p>
    <w:p>
      <w:pPr>
        <w:jc w:val="both"/>
        <w:ind w:firstLine="1304"/>
        <w:spacing w:after="0" w:line="263" w:lineRule="auto"/>
        <w:tabs>
          <w:tab w:leader="none" w:pos="1786" w:val="left"/>
        </w:tabs>
        <w:numPr>
          <w:ilvl w:val="0"/>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Upon the Company’s receipt of notice of the commencement of a Benchmark Unavailability Period, the applicable Borrower may revoke any request for (i) a Term Benchmark Borrowing, conversion to or continuation of Term Benchmark Loans to be made, converted or continued or (ii) a RFR Borrowing or conversion to RFR Loans, during any Benchmark Unavailability Period and, failing that, either (x) the applicable Borrower will be deemed to have converted any request for a Term Benchmark Borrowing or RFR Borrowing, as applicable, denominated in Dollars into a request for a Borrowing of or conversion to (A) solely with respect to any such request for a Term Benchmark Borrowing,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any RFR Loan shall on and from such day be converted by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886" w:right="339" w:bottom="1440" w:gutter="0" w:footer="0" w:header="0"/>
        </w:sectPr>
      </w:pPr>
    </w:p>
    <w:bookmarkStart w:id="77" w:name="page78"/>
    <w:bookmarkEnd w:id="7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Administrative Agent to, and shall constitute an ABR Loan and (B) for Loans denominated in a Foreign Currency, (1) any Term Benchmark Loan shall, on the last day of the Interest Period applicable to such Loan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any Foreign Currency shall, at the applicable Borrower’s election prior to such day: (a) be prepaid by such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w:t>
      </w:r>
    </w:p>
    <w:p>
      <w:pPr>
        <w:spacing w:after="0" w:line="228"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2.15.</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 (a) If any Change in Law shall:</w:t>
      </w:r>
    </w:p>
    <w:p>
      <w:pPr>
        <w:spacing w:after="0" w:line="256" w:lineRule="exact"/>
        <w:rPr>
          <w:sz w:val="20"/>
          <w:szCs w:val="20"/>
          <w:color w:val="auto"/>
        </w:rPr>
      </w:pPr>
    </w:p>
    <w:p>
      <w:pPr>
        <w:jc w:val="both"/>
        <w:ind w:firstLine="1304"/>
        <w:spacing w:after="0" w:line="254" w:lineRule="auto"/>
        <w:tabs>
          <w:tab w:leader="none" w:pos="1843"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 the Adjusted EURIBO Rate or the Adjusted Term CORRA Rate, as applicable) or any Issuing Bank;</w:t>
      </w:r>
    </w:p>
    <w:p>
      <w:pPr>
        <w:spacing w:after="0" w:line="214"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30"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spacing w:after="0" w:line="208" w:lineRule="exact"/>
        <w:rPr>
          <w:rFonts w:ascii="Times New Roman" w:cs="Times New Roman" w:eastAsia="Times New Roman" w:hAnsi="Times New Roman"/>
          <w:sz w:val="20"/>
          <w:szCs w:val="20"/>
          <w:color w:val="010000"/>
        </w:rPr>
      </w:pPr>
    </w:p>
    <w:p>
      <w:pPr>
        <w:ind w:firstLine="1304"/>
        <w:spacing w:after="0" w:line="269" w:lineRule="auto"/>
        <w:tabs>
          <w:tab w:leader="none" w:pos="1885"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any Recipient to any Taxes (other than (A) Indemnified Taxes and (B) Excluded Taxes) on its loans, loan principal, letters of credit, commitments, or other obligations, or its deposits, reserves, other liabilities or capital attributable thereto;</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Issuing Bank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220" w:lineRule="exact"/>
        <w:rPr>
          <w:sz w:val="20"/>
          <w:szCs w:val="20"/>
          <w:color w:val="auto"/>
        </w:rPr>
      </w:pPr>
    </w:p>
    <w:p>
      <w:pPr>
        <w:jc w:val="both"/>
        <w:ind w:firstLine="1304"/>
        <w:spacing w:after="0" w:line="253" w:lineRule="auto"/>
        <w:tabs>
          <w:tab w:leader="none" w:pos="1724"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the Commitments of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886" w:right="3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20"/>
          <w:szCs w:val="20"/>
          <w:color w:val="auto"/>
        </w:rPr>
        <w:t>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208" w:lineRule="exact"/>
        <w:rPr>
          <w:sz w:val="20"/>
          <w:szCs w:val="20"/>
          <w:color w:val="auto"/>
        </w:rPr>
      </w:pPr>
    </w:p>
    <w:p>
      <w:pPr>
        <w:jc w:val="both"/>
        <w:ind w:firstLine="1304"/>
        <w:spacing w:after="0" w:line="267" w:lineRule="auto"/>
        <w:tabs>
          <w:tab w:leader="none" w:pos="1740" w:val="left"/>
        </w:tabs>
        <w:numPr>
          <w:ilvl w:val="1"/>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certificate of a Lender or an Issuing Bank setting forth, in reasonable detail, the basis and calculation of the amount or amounts necessary to compensate such Lender or such Issuing Bank or its holding company, as the case may be, as specified in paragraph</w:t>
      </w:r>
    </w:p>
    <w:p>
      <w:pPr>
        <w:spacing w:after="0" w:line="1" w:lineRule="exact"/>
        <w:rPr>
          <w:rFonts w:ascii="Times New Roman" w:cs="Times New Roman" w:eastAsia="Times New Roman" w:hAnsi="Times New Roman"/>
          <w:sz w:val="19"/>
          <w:szCs w:val="19"/>
          <w:color w:val="010000"/>
        </w:rPr>
      </w:pPr>
    </w:p>
    <w:p>
      <w:pPr>
        <w:jc w:val="both"/>
        <w:ind w:firstLine="8"/>
        <w:spacing w:after="0" w:line="253" w:lineRule="auto"/>
        <w:tabs>
          <w:tab w:leader="none" w:pos="27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(b) of this Section shall be delivered to the Company and shall be conclusive absent manifest error. The Company shall pay, or cause the other Borrowers to pay, such Lender or such Issuing Bank, as the case may be, the amount shown as due on any such certificate within ten (10) days after receipt thereof.</w:t>
      </w:r>
    </w:p>
    <w:p>
      <w:pPr>
        <w:spacing w:after="0" w:line="215"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51"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220"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2.16.</w:t>
      </w:r>
      <w:r>
        <w:rPr>
          <w:sz w:val="20"/>
          <w:szCs w:val="20"/>
          <w:color w:val="auto"/>
        </w:rPr>
        <w:tab/>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65" w:lineRule="auto"/>
        <w:tabs>
          <w:tab w:leader="none" w:pos="1727" w:val="left"/>
        </w:tabs>
        <w:numPr>
          <w:ilvl w:val="1"/>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Term Benchmark Loans,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w:t>
      </w:r>
    </w:p>
    <w:p>
      <w:pPr>
        <w:ind w:left="380" w:hanging="372"/>
        <w:spacing w:after="0"/>
        <w:tabs>
          <w:tab w:leader="none" w:pos="3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borrow, convert, continue or prepay any Term Benchmark Loan on the date specified in any notice delivered pursuant</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hereto (regardless of whether such notice may be revoked under Section 2.11(a) and is revoked in accordance therewith), (iv) the assignment of any Term Benchmark Loan other than on the last day of the Interest Period applicable thereto as a result of a request by the Company pursuant to Section 2.19 or 9.02(e) or (v)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222" w:lineRule="exact"/>
        <w:rPr>
          <w:sz w:val="20"/>
          <w:szCs w:val="20"/>
          <w:color w:val="auto"/>
        </w:rPr>
      </w:pPr>
    </w:p>
    <w:p>
      <w:pPr>
        <w:jc w:val="both"/>
        <w:ind w:firstLine="1304"/>
        <w:spacing w:after="0" w:line="250" w:lineRule="auto"/>
        <w:tabs>
          <w:tab w:leader="none" w:pos="1738"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With respect to RFR Loans, in the event of (i) the payment of any principal of any RFR Loan other than on the Interest Payment Date applicable thereto (including as a result of an Event of Default or as a result of any prepayment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and is revoked in accordance therewith), (iii) the assignment of any RFR Loan other than on the Interest Payment Date applicable thereto as a result of a request by the Company pursuant to Section 2.19 or 9.02(e) or (iv)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Borrower shall pay such Lender the amount shown as due on any such certificate within ten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886" w:right="339" w:bottom="1440" w:gutter="0" w:footer="0" w:header="0"/>
        </w:sectPr>
      </w:pPr>
    </w:p>
    <w:bookmarkStart w:id="79" w:name="page80"/>
    <w:bookmarkEnd w:id="79"/>
    <w:p>
      <w:pPr>
        <w:jc w:val="both"/>
        <w:ind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2.17.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Payments Free of Taxes</w:t>
      </w:r>
      <w:r>
        <w:rPr>
          <w:rFonts w:ascii="Times New Roman" w:cs="Times New Roman" w:eastAsia="Times New Roman" w:hAnsi="Times New Roman"/>
          <w:sz w:val="20"/>
          <w:szCs w:val="20"/>
          <w:color w:val="000000"/>
        </w:rPr>
        <w:t>. Any and all payments by or on account of any obligation of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203" w:lineRule="exact"/>
        <w:rPr>
          <w:sz w:val="20"/>
          <w:szCs w:val="20"/>
          <w:color w:val="auto"/>
        </w:rPr>
      </w:pPr>
    </w:p>
    <w:p>
      <w:pPr>
        <w:ind w:right="20" w:firstLine="1304"/>
        <w:spacing w:after="0" w:line="283" w:lineRule="auto"/>
        <w:tabs>
          <w:tab w:leader="none" w:pos="1832"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The relevant Borrower shall timely pay to the relevant Governmental Authority in accordance with applicable law, or at the option of the Administrative Agent timely reimburse it for, Other Taxes.</w:t>
      </w:r>
    </w:p>
    <w:p>
      <w:pPr>
        <w:spacing w:after="0" w:line="186"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821"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14"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92"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219"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40"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226"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05"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886" w:right="339"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20"/>
          <w:szCs w:val="20"/>
          <w:color w:val="auto"/>
        </w:rPr>
        <w:t>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19" w:lineRule="exact"/>
        <w:rPr>
          <w:sz w:val="20"/>
          <w:szCs w:val="20"/>
          <w:color w:val="auto"/>
        </w:rPr>
      </w:pPr>
    </w:p>
    <w:p>
      <w:pPr>
        <w:ind w:left="2400" w:hanging="448"/>
        <w:spacing w:after="0"/>
        <w:tabs>
          <w:tab w:leader="none" w:pos="2400"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generality of the foregoing, in the event that any Borrower is a U.S. Person:</w:t>
      </w:r>
    </w:p>
    <w:p>
      <w:pPr>
        <w:spacing w:after="0" w:line="256" w:lineRule="exact"/>
        <w:rPr>
          <w:sz w:val="20"/>
          <w:szCs w:val="20"/>
          <w:color w:val="auto"/>
        </w:rPr>
      </w:pPr>
    </w:p>
    <w:p>
      <w:pPr>
        <w:jc w:val="both"/>
        <w:ind w:firstLine="1952"/>
        <w:spacing w:after="0" w:line="254" w:lineRule="auto"/>
        <w:tabs>
          <w:tab w:leader="none" w:pos="2416"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p>
      <w:pPr>
        <w:spacing w:after="0" w:line="214" w:lineRule="exact"/>
        <w:rPr>
          <w:rFonts w:ascii="Times New Roman" w:cs="Times New Roman" w:eastAsia="Times New Roman" w:hAnsi="Times New Roman"/>
          <w:sz w:val="20"/>
          <w:szCs w:val="20"/>
          <w:color w:val="010000"/>
        </w:rPr>
      </w:pPr>
    </w:p>
    <w:p>
      <w:pPr>
        <w:jc w:val="both"/>
        <w:ind w:firstLine="1952"/>
        <w:spacing w:after="0" w:line="258" w:lineRule="auto"/>
        <w:tabs>
          <w:tab w:leader="none" w:pos="2541"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99" w:lineRule="exact"/>
        <w:rPr>
          <w:sz w:val="20"/>
          <w:szCs w:val="20"/>
          <w:color w:val="auto"/>
        </w:rPr>
      </w:pPr>
    </w:p>
    <w:p>
      <w:pPr>
        <w:jc w:val="both"/>
        <w:ind w:firstLine="1952"/>
        <w:spacing w:after="0" w:line="253" w:lineRule="auto"/>
        <w:tabs>
          <w:tab w:leader="none" w:pos="242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19" w:lineRule="exact"/>
        <w:rPr>
          <w:rFonts w:ascii="Times New Roman" w:cs="Times New Roman" w:eastAsia="Times New Roman" w:hAnsi="Times New Roman"/>
          <w:sz w:val="20"/>
          <w:szCs w:val="20"/>
          <w:color w:val="auto"/>
        </w:rPr>
      </w:pPr>
    </w:p>
    <w:p>
      <w:pPr>
        <w:ind w:firstLine="1952"/>
        <w:spacing w:after="0" w:line="269" w:lineRule="auto"/>
        <w:tabs>
          <w:tab w:leader="none" w:pos="24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executed copies of IRS Form W-8ECI;</w:t>
      </w:r>
    </w:p>
    <w:p>
      <w:pPr>
        <w:spacing w:after="0" w:line="199"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6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D-1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W-8BEN-E; or</w:t>
      </w:r>
    </w:p>
    <w:p>
      <w:pPr>
        <w:spacing w:after="0" w:line="218" w:lineRule="exact"/>
        <w:rPr>
          <w:rFonts w:ascii="Times New Roman" w:cs="Times New Roman" w:eastAsia="Times New Roman" w:hAnsi="Times New Roman"/>
          <w:sz w:val="20"/>
          <w:szCs w:val="20"/>
          <w:color w:val="auto"/>
        </w:rPr>
      </w:pPr>
    </w:p>
    <w:p>
      <w:pPr>
        <w:jc w:val="both"/>
        <w:ind w:firstLine="1952"/>
        <w:spacing w:after="0" w:line="253" w:lineRule="auto"/>
        <w:tabs>
          <w:tab w:leader="none" w:pos="237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D-3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D-4</w:t>
      </w:r>
      <w:r>
        <w:rPr>
          <w:rFonts w:ascii="Times New Roman" w:cs="Times New Roman" w:eastAsia="Times New Roman" w:hAnsi="Times New Roman"/>
          <w:sz w:val="20"/>
          <w:szCs w:val="20"/>
          <w:color w:val="auto"/>
        </w:rPr>
        <w:t xml:space="preserve"> on behalf of each such direct and indirect partner;</w:t>
      </w:r>
    </w:p>
    <w:p>
      <w:pPr>
        <w:spacing w:after="0" w:line="219" w:lineRule="exact"/>
        <w:rPr>
          <w:sz w:val="20"/>
          <w:szCs w:val="20"/>
          <w:color w:val="auto"/>
        </w:rPr>
      </w:pPr>
    </w:p>
    <w:p>
      <w:pPr>
        <w:jc w:val="both"/>
        <w:ind w:firstLine="1952"/>
        <w:spacing w:after="0" w:line="254" w:lineRule="auto"/>
        <w:tabs>
          <w:tab w:leader="none" w:pos="2541"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886"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20"/>
          <w:szCs w:val="20"/>
          <w:color w:val="auto"/>
        </w:rPr>
        <w:t>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208" w:lineRule="exact"/>
        <w:rPr>
          <w:sz w:val="20"/>
          <w:szCs w:val="20"/>
          <w:color w:val="auto"/>
        </w:rPr>
      </w:pPr>
    </w:p>
    <w:p>
      <w:pPr>
        <w:jc w:val="both"/>
        <w:ind w:firstLine="1952"/>
        <w:spacing w:after="0" w:line="252" w:lineRule="auto"/>
        <w:tabs>
          <w:tab w:leader="none" w:pos="2457"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3" w:lineRule="exact"/>
        <w:rPr>
          <w:sz w:val="20"/>
          <w:szCs w:val="20"/>
          <w:color w:val="auto"/>
        </w:rPr>
      </w:pPr>
    </w:p>
    <w:p>
      <w:pPr>
        <w:jc w:val="both"/>
        <w:ind w:firstLine="1377"/>
        <w:spacing w:after="0" w:line="261"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208" w:lineRule="exact"/>
        <w:rPr>
          <w:sz w:val="20"/>
          <w:szCs w:val="20"/>
          <w:color w:val="auto"/>
        </w:rPr>
      </w:pPr>
    </w:p>
    <w:p>
      <w:pPr>
        <w:jc w:val="both"/>
        <w:ind w:firstLine="1304"/>
        <w:spacing w:after="0" w:line="250" w:lineRule="auto"/>
        <w:tabs>
          <w:tab w:leader="none" w:pos="1724"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10"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GST/HST</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010000"/>
        </w:rPr>
      </w:pPr>
    </w:p>
    <w:p>
      <w:pPr>
        <w:jc w:val="both"/>
        <w:ind w:firstLine="1952"/>
        <w:spacing w:after="0" w:line="254" w:lineRule="auto"/>
        <w:tabs>
          <w:tab w:leader="none" w:pos="2342"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set out or expressed in a Loan Document to be payable by any Loan Party to a Recipient which (in whole or in part) constitute the consideration for any supply or supplies for GST/HST purposes shall be deemed to be exclusive of any GST/HST which is chargeable on such supply or supplies. The Loan Party shall be responsible for paying such GST/HST. If the Recipient is required to account to the relevant tax authority for the GST/HST, that Loan Party shall pay to such Recipient, as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886"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20"/>
          <w:szCs w:val="20"/>
          <w:color w:val="auto"/>
        </w:rPr>
        <w:t>applicable (in addition to and at the same time as paying any other consideration for such supply) an amount equal to the amount of such GST/HST, against proper invoice from the Recipient, separately indicating the amount of the GST/HST and the Recipient’s GST/HST registration number.</w:t>
      </w:r>
    </w:p>
    <w:p>
      <w:pPr>
        <w:spacing w:after="0" w:line="208" w:lineRule="exact"/>
        <w:rPr>
          <w:sz w:val="20"/>
          <w:szCs w:val="20"/>
          <w:color w:val="auto"/>
        </w:rPr>
      </w:pPr>
    </w:p>
    <w:p>
      <w:pPr>
        <w:jc w:val="both"/>
        <w:ind w:firstLine="1952"/>
        <w:spacing w:after="0" w:line="258" w:lineRule="auto"/>
        <w:tabs>
          <w:tab w:leader="none" w:pos="2505" w:val="left"/>
        </w:tabs>
        <w:numPr>
          <w:ilvl w:val="1"/>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 a Loan Document requires any Loan Party to reimburse or indemnify a Recipient for any cost or expense, that Loan Party shall reimburse or indemnify (as the case may be) such Recipient for the full amount of such cost or expense net of any GST/HST that the Recipient reasonably determines that is recoverable to the Recipient as an input tax credit or refund from the relevant tax authority.</w:t>
      </w:r>
    </w:p>
    <w:p>
      <w:pPr>
        <w:spacing w:after="0" w:line="19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83"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08"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93"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Certain FATCA Matters</w:t>
      </w:r>
      <w:r>
        <w:rPr>
          <w:rFonts w:ascii="Times New Roman" w:cs="Times New Roman" w:eastAsia="Times New Roman" w:hAnsi="Times New Roman"/>
          <w:sz w:val="20"/>
          <w:szCs w:val="20"/>
          <w:color w:val="auto"/>
        </w:rPr>
        <w:t>. For purposes of determining withholding Taxes imposed under FATCA, the Loan Parties and the Administrative Agent shall treat (and the Lenders hereby authorize the Administrative Agent to treat) this Agreement and the Loans as not qualifying as “grandfathered obligations” within the meaning of Treasury Regulation Section 1.1471-2(b)(2)(i).</w:t>
      </w:r>
    </w:p>
    <w:p>
      <w:pPr>
        <w:spacing w:after="0" w:line="208" w:lineRule="exact"/>
        <w:rPr>
          <w:rFonts w:ascii="Times New Roman" w:cs="Times New Roman" w:eastAsia="Times New Roman" w:hAnsi="Times New Roman"/>
          <w:sz w:val="20"/>
          <w:szCs w:val="20"/>
          <w:color w:val="010000"/>
        </w:rPr>
      </w:pPr>
    </w:p>
    <w:p>
      <w:pPr>
        <w:ind w:firstLine="1304"/>
        <w:spacing w:after="0" w:line="269" w:lineRule="auto"/>
        <w:tabs>
          <w:tab w:leader="none" w:pos="1873"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2.17, the term “Lender” includes each Issuing Bank and the term “applicable law” includes FATCA.</w:t>
      </w:r>
    </w:p>
    <w:p>
      <w:pPr>
        <w:spacing w:after="0" w:line="200" w:lineRule="exact"/>
        <w:rPr>
          <w:sz w:val="20"/>
          <w:szCs w:val="20"/>
          <w:color w:val="auto"/>
        </w:rPr>
      </w:pPr>
    </w:p>
    <w:p>
      <w:pPr>
        <w:jc w:val="center"/>
        <w:ind w:right="60"/>
        <w:spacing w:after="0"/>
        <w:tabs>
          <w:tab w:leader="none" w:pos="380" w:val="left"/>
        </w:tabs>
        <w:rPr>
          <w:sz w:val="20"/>
          <w:szCs w:val="20"/>
          <w:color w:val="auto"/>
        </w:rPr>
      </w:pPr>
      <w:r>
        <w:rPr>
          <w:rFonts w:ascii="Times New Roman" w:cs="Times New Roman" w:eastAsia="Times New Roman" w:hAnsi="Times New Roman"/>
          <w:sz w:val="20"/>
          <w:szCs w:val="20"/>
          <w:color w:val="010000"/>
        </w:rPr>
        <w:t>SECTION 2.18.</w:t>
      </w:r>
      <w:r>
        <w:rPr>
          <w:sz w:val="20"/>
          <w:szCs w:val="20"/>
          <w:color w:val="auto"/>
        </w:rPr>
        <w:tab/>
      </w:r>
      <w:r>
        <w:rPr>
          <w:rFonts w:ascii="Times New Roman" w:cs="Times New Roman" w:eastAsia="Times New Roman" w:hAnsi="Times New Roman"/>
          <w:sz w:val="19"/>
          <w:szCs w:val="19"/>
          <w:u w:val="single" w:color="auto"/>
          <w:color w:val="auto"/>
        </w:rPr>
        <w:t>Payments Generally; Allocations of Proceeds; Pro Rata Treatment; Sharing of Set-offs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62" w:lineRule="auto"/>
        <w:tabs>
          <w:tab w:leader="none" w:pos="1754" w:val="left"/>
        </w:tabs>
        <w:numPr>
          <w:ilvl w:val="0"/>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 Except with respect to principal of and interest on Loans denominated in a Foreign Currency, each Borrower shall make each payment or prepayment required to be made by it hereunder (whether of principal, interest, fees or reimbursement of LC Disbursements, or of amounts payable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or otherwise) in Dollars prior to 12:00 noon, New York City time, on the date when due or the date fixed for any prepayment hereunder and (ii) all payments with respect to principal and interest on Loans denominated in a Foreign Currency shall be made in such Foreign Currency in the city of the Administrative Agent’s Foreign Currency Payment Office for such currency, in each case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applicable office or offices as described in the Administrative Questionnaire provided by the Administrative Agent to the Company from time to time, except payments to be made directly to any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886" w:right="339" w:bottom="1440" w:gutter="0" w:footer="0" w:header="0"/>
        </w:sectPr>
      </w:pPr>
    </w:p>
    <w:bookmarkStart w:id="83" w:name="page84"/>
    <w:bookmarkEnd w:id="83"/>
    <w:p>
      <w:pPr>
        <w:ind w:right="20"/>
        <w:spacing w:after="0" w:line="283" w:lineRule="auto"/>
        <w:rPr>
          <w:sz w:val="20"/>
          <w:szCs w:val="20"/>
          <w:color w:val="auto"/>
        </w:rPr>
      </w:pPr>
      <w:r>
        <w:rPr>
          <w:rFonts w:ascii="Times New Roman" w:cs="Times New Roman" w:eastAsia="Times New Roman" w:hAnsi="Times New Roman"/>
          <w:sz w:val="20"/>
          <w:szCs w:val="20"/>
          <w:color w:val="auto"/>
        </w:rPr>
        <w:t>due, it being the intention of the parties hereto that the Borrowers take all risks of the imposition of any such currency control or exchange regulations.</w:t>
      </w:r>
    </w:p>
    <w:p>
      <w:pPr>
        <w:spacing w:after="0" w:line="173" w:lineRule="exact"/>
        <w:rPr>
          <w:sz w:val="20"/>
          <w:szCs w:val="20"/>
          <w:color w:val="auto"/>
        </w:rPr>
      </w:pPr>
    </w:p>
    <w:p>
      <w:pPr>
        <w:jc w:val="both"/>
        <w:ind w:firstLine="1304"/>
        <w:spacing w:after="0" w:line="265" w:lineRule="auto"/>
        <w:tabs>
          <w:tab w:leader="none" w:pos="1724"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proceeds of Collateral received by the Administrative Agent pursuant to the terms of any Guarantee and Collateral Agreement shall be applied as provided in such Guarantee and Collateral Agreement. Notwithstanding anything to the contrary contained in this Agreement, unless so directed by the Company, or unless a Default is in existence, none of the Administrative Agent or any Lender shall apply any payment which it receives to any Term Benchmark Loan or an RFR Loan, as applicable, of a Class, except (a) on the expiration date of the Interest Period applicable to any such Term Benchmark Loan or on the Interest Payment Date applicable to any such RFR Loan or</w:t>
      </w:r>
    </w:p>
    <w:p>
      <w:pPr>
        <w:spacing w:after="0" w:line="3" w:lineRule="exact"/>
        <w:rPr>
          <w:rFonts w:ascii="Times New Roman" w:cs="Times New Roman" w:eastAsia="Times New Roman" w:hAnsi="Times New Roman"/>
          <w:sz w:val="19"/>
          <w:szCs w:val="19"/>
          <w:color w:val="010000"/>
        </w:rPr>
      </w:pPr>
    </w:p>
    <w:p>
      <w:pPr>
        <w:ind w:left="280" w:hanging="272"/>
        <w:spacing w:after="0"/>
        <w:tabs>
          <w:tab w:leader="none" w:pos="28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and only to the extent, that there are no outstanding ABR Loans of the same Class and, in any event, the Borrowers shall pay</w:t>
      </w:r>
    </w:p>
    <w:p>
      <w:pPr>
        <w:spacing w:after="0" w:line="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break funding payment required in accordance with Section 2.16. The Administrative Agent and the Lenders shall have the continuing and exclusive right to apply and reverse and reapply any and all such proceeds and payments to any portion of the Obligations.</w:t>
      </w:r>
    </w:p>
    <w:p>
      <w:pPr>
        <w:spacing w:after="0" w:line="215" w:lineRule="exact"/>
        <w:rPr>
          <w:sz w:val="20"/>
          <w:szCs w:val="20"/>
          <w:color w:val="auto"/>
        </w:rPr>
      </w:pPr>
    </w:p>
    <w:p>
      <w:pPr>
        <w:ind w:left="1720" w:hanging="416"/>
        <w:spacing w:after="0"/>
        <w:tabs>
          <w:tab w:leader="none" w:pos="1720"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[Intentionally Omitted].</w:t>
      </w:r>
    </w:p>
    <w:p>
      <w:pPr>
        <w:spacing w:after="0" w:line="256"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873"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except as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any Borrower pursuant to and in accordance with the express terms of this Agreement, (B)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or (C) transactions described in or otherwise in connection with an Incremental Facility Amendment. Each Borrower consents to the foregoing and agrees that, to the extent permitted by applicable law,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23"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40"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notice from the relevant Borrower prior to the date on which any payment is due to the Administrative Agent for the account of the Lenders or the relevant Issuing Bank hereunder that such Borrower will not make such payment, the Administrative Agent may assume that such Borrower has made such payment on such date in accordance herewith and may, in reliance upon such assumption, distribute to the Lenders or the relevant Issuing Bank, as the case may be, the amount due. In such event, if such Borrower has not in fact made such payment, then each of the Lenders or the relevant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208" w:lineRule="exact"/>
        <w:rPr>
          <w:rFonts w:ascii="Times New Roman" w:cs="Times New Roman" w:eastAsia="Times New Roman" w:hAnsi="Times New Roman"/>
          <w:sz w:val="20"/>
          <w:szCs w:val="20"/>
          <w:color w:val="010000"/>
        </w:rPr>
      </w:pPr>
    </w:p>
    <w:p>
      <w:pPr>
        <w:ind w:firstLine="1304"/>
        <w:spacing w:after="0" w:line="283" w:lineRule="auto"/>
        <w:tabs>
          <w:tab w:leader="none" w:pos="1773"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shall fail to make any payment required to be made by it pursuant to Section 2.05(c), 2.06(d) or (e), 2.07(b), 2.18(e) or 9.03(c), then the Administrative Agent may, in its discretion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886"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 contrary provision hereof), (i) apply any amounts thereafter received by the Administrative Agent for the account of such Lender and for the benefit of the Administrative Agent, the Swingline Lender or the Issuing Banks to satisfy such Lender’s obligations to it under such Section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spacing w:after="0" w:line="219"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2.19.</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304"/>
        <w:spacing w:after="0" w:line="267" w:lineRule="auto"/>
        <w:tabs>
          <w:tab w:leader="none" w:pos="1713" w:val="left"/>
        </w:tabs>
        <w:numPr>
          <w:ilvl w:val="1"/>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Lender requests compensation under Section 2.15, or if any Loan Party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1" w:lineRule="exact"/>
        <w:rPr>
          <w:rFonts w:ascii="Times New Roman" w:cs="Times New Roman" w:eastAsia="Times New Roman" w:hAnsi="Times New Roman"/>
          <w:sz w:val="19"/>
          <w:szCs w:val="19"/>
          <w:color w:val="010000"/>
        </w:rPr>
      </w:pPr>
    </w:p>
    <w:p>
      <w:pPr>
        <w:jc w:val="both"/>
        <w:ind w:firstLine="8"/>
        <w:spacing w:after="0" w:line="253" w:lineRule="auto"/>
        <w:tabs>
          <w:tab w:leader="none" w:pos="24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202" w:lineRule="exact"/>
        <w:rPr>
          <w:rFonts w:ascii="Times New Roman" w:cs="Times New Roman" w:eastAsia="Times New Roman" w:hAnsi="Times New Roman"/>
          <w:sz w:val="20"/>
          <w:szCs w:val="20"/>
          <w:color w:val="auto"/>
        </w:rPr>
      </w:pPr>
    </w:p>
    <w:p>
      <w:pPr>
        <w:jc w:val="both"/>
        <w:ind w:firstLine="1304"/>
        <w:spacing w:after="0" w:line="249" w:lineRule="auto"/>
        <w:tabs>
          <w:tab w:leader="none" w:pos="1792"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(i) any Lender requests compensation under Section 2.15, (ii) any Loan Party is required to pay any Indemnified Taxes or additional amounts to any Lender or any Governmental Authority for the account of any Lender pursuant to Section 2.17 (other than amounts in respect of Other Taxes or GST/HST)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Company shall have received the prior written consent of the Administrative Agent (and if a Revolving Commitment is being assigned, the Issuing Banks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18"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2.20.</w:t>
      </w:r>
      <w:r>
        <w:rPr>
          <w:sz w:val="20"/>
          <w:szCs w:val="20"/>
          <w:color w:val="auto"/>
        </w:rPr>
        <w:tab/>
      </w:r>
      <w:r>
        <w:rPr>
          <w:rFonts w:ascii="Times New Roman" w:cs="Times New Roman" w:eastAsia="Times New Roman" w:hAnsi="Times New Roman"/>
          <w:sz w:val="19"/>
          <w:szCs w:val="19"/>
          <w:u w:val="single" w:color="auto"/>
          <w:color w:val="auto"/>
        </w:rPr>
        <w:t>Incremental Facilities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firstLine="1304"/>
        <w:spacing w:after="0" w:line="283" w:lineRule="auto"/>
        <w:tabs>
          <w:tab w:leader="none" w:pos="1794"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may on one or more occasions, by written notice to the Administrative Agent, request (i) during the Availability Period, the establishment of Incremental Revolving Commitments in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886" w:right="339" w:bottom="1440" w:gutter="0" w:footer="0" w:header="0"/>
        </w:sectPr>
      </w:pPr>
    </w:p>
    <w:bookmarkStart w:id="85" w:name="page86"/>
    <w:bookmarkEnd w:id="85"/>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respect of the Global Tranche Commitments and/or the US Tranche Commitments and/or (ii) the establishment of Incremental Term Loan Commitments. Each such notice shall specify (A) the date on which the Company proposes that the Incremental Revolving Commitments or the Incremental Term Loan Commitments, as applicable, shall be effective, which shall be a date not less than ten (10) Business Days (or such shorter period as may be agreed to by the Administrative Agent) after the date on which such notice is delivered to the Administrative Agent, and (B) the amount of the Incremental Revolving Commitments or Incremental Term Loan Commitments, as applicable, being requested (it being agreed that (x) any Lender approached to provide any Incremental Revolving Commitment or Incremental Term Loan Commitment may elect or decline, in its sole discretion, to provide such Incremental Revolving Commitment or Incremental Term Loan Commitment and (y) any Person that the Company proposes to become an Incremental Lender, if such Person is not then a Lender, must be reasonably acceptable to the Administrative Agent and, in the case of any proposed Incremental Revolving Lender, the Issuing Banks and the Swingline Lender). Notwithstanding anything herein to the contrary, the aggregate Dollar Amount (calculated based on the Dollar Amount of such Indebtedness on the date such Indebtedness was incurred, in the case of Incremental Term Loan Commitments, or first committed, in the case of Incremental Revolving Commitments) of all Incremental Revolving Commitments and Incremental Term Loan Commitments established pursuant to this Section 2.20, together with the aggregate Dollar Amount (calculated based on the Dollar Amount of such Indebtedness on the date such Indebtedness is incurred) of all Incremental Equivalent Notes previously (or substantially simultaneously) incurred pursuant to </w:t>
      </w:r>
      <w:r>
        <w:rPr>
          <w:rFonts w:ascii="Times New Roman" w:cs="Times New Roman" w:eastAsia="Times New Roman" w:hAnsi="Times New Roman"/>
          <w:sz w:val="19"/>
          <w:szCs w:val="19"/>
          <w:u w:val="single" w:color="auto"/>
          <w:color w:val="auto"/>
        </w:rPr>
        <w:t>Section 6.05(n)</w:t>
      </w:r>
      <w:r>
        <w:rPr>
          <w:rFonts w:ascii="Times New Roman" w:cs="Times New Roman" w:eastAsia="Times New Roman" w:hAnsi="Times New Roman"/>
          <w:sz w:val="19"/>
          <w:szCs w:val="19"/>
          <w:color w:val="auto"/>
        </w:rPr>
        <w:t xml:space="preserve">, shall not exceed the sum of (A) $500,000,000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amount of any voluntary prepayments of the Term Loans and voluntary permanent reductions of the Revolving Commitments effected after the Effective Date (it being understood that any prepayment of Term Loans with the proceeds of substantially concurrent borrowings of new Loans hereunder or any reduction of Revolving Commitments in connection with a substantially concurrent issuance of new revolving commitments hereunder shall not increase the calculation of the amount under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unlimited additional Incremental Revolving Commitments, Incremental Term Loan Commitments and Incremental Equivalent Notes so long as, after giving pro forma effect thereto (assuming that any such Incremental Revolving Commitments are drawn in full, but excluding the cash proceeds of any such Incremental Term Loans, Incremental Revolving Commitments and Incremental Equivalent Notes for purposes of netting cash and Cash Equivalents in the calculation of the Leverage Ratio), the Leverage Ratio shall not exceed 3.50 to 1.00 (other than to the extent such Incremental Revolving Commitments, Incremental Term Loan Commitments and/or Incremental Equivalent Notes are incurred pursuant to this clause (C) concurrently with the incurrence of Incremental Revolving Commitments, Incremental Term Loan Commitments and/or Incremental Equivalent Notes in reliance on clause (A) of this sentence, in which case the Leverage Ratio shall be permitted to exceed 3.50 to 1.00 to the extent of such Incremental Revolving Commitments, Incremental Term Loan Commitments and/or Incremental Equivalent Notes incurred in reliance on such clause (A));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Incremental Revolving Commitments, Incremental Term Loan Commitments and Incremental Equivalent Notes may be incurred pursuant to this clause (C) prior to utilization of the amount set forth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sentence.</w:t>
      </w:r>
    </w:p>
    <w:p>
      <w:pPr>
        <w:spacing w:after="0" w:line="200" w:lineRule="exact"/>
        <w:rPr>
          <w:sz w:val="20"/>
          <w:szCs w:val="20"/>
          <w:color w:val="auto"/>
        </w:rPr>
      </w:pPr>
    </w:p>
    <w:p>
      <w:pPr>
        <w:spacing w:after="0" w:line="250" w:lineRule="exact"/>
        <w:rPr>
          <w:sz w:val="20"/>
          <w:szCs w:val="20"/>
          <w:color w:val="auto"/>
        </w:rPr>
      </w:pPr>
    </w:p>
    <w:p>
      <w:pPr>
        <w:jc w:val="both"/>
        <w:ind w:firstLine="1304"/>
        <w:spacing w:after="0" w:line="250" w:lineRule="auto"/>
        <w:tabs>
          <w:tab w:leader="none" w:pos="1778"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terms and conditions of any Incremental Revolving Commitment and Loans and other extensions of credit to be made thereunder shall be identical to those of the Revolving Commitments and Loans and other extensions of credit made thereunder (including the Tranche under which such Incremental Revolving Commitment is being effected), and shall be treated as a single Class with such Revolving Commitments and Loans under such Tranche. The terms and conditions of any Incremental Term Loan Commitments and the Incremental Term Loans to be made thereunder shall be, except as otherwise set forth herein or in the applicable Incremental Facility Agreement, identical to those of the Tranche A Term Loan Commitments and the Tranche A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interest rate margins with respect to any Incremental Term Loans shall be as agreed by the Company and the lenders in respect thereof, (ii) any Incremental Term Loan shall have terms, in the Company’s reasonable judgment, customary for a term loan of such type under then-existing market convention, (iii) subject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the amortization schedule with respect to any Incremental Term Loans shall be as agreed by the Company and the lenders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weighted average life to maturity of any Incremental Term Loans shall be no shorter than the remaining weighted average life to maturity of the Tranche A Terms Loans and Incremental Term</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886" w:right="339" w:bottom="1440" w:gutter="0" w:footer="0" w:header="0"/>
        </w:sectPr>
      </w:pPr>
    </w:p>
    <w:bookmarkStart w:id="86" w:name="page87"/>
    <w:bookmarkEnd w:id="86"/>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Loans with the longest remaining weighted average life to maturity, (iv) no Incremental Term Maturity Date with respect to Incremental Term Loans shall be earlier than the Tranche A Term Loan Maturity Date, (v) except as set forth above (or otherwise customary for Incremental Term Loans of such type), the Incremental Term Loans shall be treated no more favorably than the Tranche A Term Loans (in each case, including with respect to mandatory and voluntary prepayments);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covenants or other provisions applicable only to periods after the Latest Maturity Date in effect immediately prior to the establishment of such Incremental Term Loans;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any Incremental Term Loans may add additional covenants or events of default not otherwise applicable to the Tranche A Term Loans or covenants more restrictive than the covenants applicable to the Tranche A Term Loans in each case prior to the Latest Maturity Date in effect immediately prior to the establishment of such Incremental Facility so long as all Lenders receive the benefits of such additional covenants, events of default or more restrictive covenants (unless such additional covenants, events of default or more restrictive covenants are customarily limited to term loans of the type of such Incremental Term Loans), (vi) to the extent the terms applicable to any Incremental Term Loans are inconsistent with the terms applicable to the Tranche A Term Loans (except, in each case, as otherwise permitted pursuant to this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such terms shall be reasonably satisfactory to the Administrative Agent, (vii) any Incremental Term Loans shall have the same Guarantees as, shall rank pari passu with respect to the Liens on the Collateral and in right of payment with the Loans (except to the extent that the related Incremental Facility Agreement provides for such Incremental Term Loans to be treated less favorably, in which case such Incremental Term Loans shall be subject to a customary intercreditor agreement in form and substance reasonably satisfactory to the Administrative Agent), (viii), in the case of Incremental Term Loans marketed as term “B” loans to institutional investors (“</w:t>
      </w:r>
      <w:r>
        <w:rPr>
          <w:rFonts w:ascii="Times New Roman" w:cs="Times New Roman" w:eastAsia="Times New Roman" w:hAnsi="Times New Roman"/>
          <w:sz w:val="19"/>
          <w:szCs w:val="19"/>
          <w:u w:val="single" w:color="auto"/>
          <w:color w:val="auto"/>
        </w:rPr>
        <w:t>Incremental Term B Loans</w:t>
      </w:r>
      <w:r>
        <w:rPr>
          <w:rFonts w:ascii="Times New Roman" w:cs="Times New Roman" w:eastAsia="Times New Roman" w:hAnsi="Times New Roman"/>
          <w:sz w:val="19"/>
          <w:szCs w:val="19"/>
          <w:color w:val="auto"/>
        </w:rPr>
        <w:t xml:space="preserve">”), any Incremental Term Loan Amendment with respect to Incremental Term B Loans may (A) include such features as are, in the reasonable judgment of the Company and the Administrative Agent, customarily applicable to such type of loans (including but not limited to the ability to do refinancing amendments, extensions/loan modification offers and repurchases of such Incremental Term B Loans and limitations on the applicability of financial covenants to such Incremental Term B Loans) and (B) may provide for additional Collateral hereunder so long as such Collateral is shared on a pari passu basis with the Loans, (ix) any lenders holding Incremental Term B Loans may agree in advance pursuant to an Incremental Term Loan Amendment to certain modifications to the negative (but not financial maintenance) covenants set forth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hereof so long as such modifications shall not be applicable under this Agreement until such time as, and to the extent that, the Required Lenders (calculated without giving effect to the lenders holding such Incremental Term B Loans) have otherwise approved such modifications. Any Incremental Term Loan Commitments established pursuant to an Incremental Facility Agreement that have identical terms and conditions, and any Incremental Term Loans made thereunder, shall be designated as a separate series (each a “</w:t>
      </w:r>
      <w:r>
        <w:rPr>
          <w:rFonts w:ascii="Times New Roman" w:cs="Times New Roman" w:eastAsia="Times New Roman" w:hAnsi="Times New Roman"/>
          <w:sz w:val="19"/>
          <w:szCs w:val="19"/>
          <w:u w:val="single" w:color="auto"/>
          <w:color w:val="auto"/>
        </w:rPr>
        <w:t>Series</w:t>
      </w:r>
      <w:r>
        <w:rPr>
          <w:rFonts w:ascii="Times New Roman" w:cs="Times New Roman" w:eastAsia="Times New Roman" w:hAnsi="Times New Roman"/>
          <w:sz w:val="19"/>
          <w:szCs w:val="19"/>
          <w:color w:val="auto"/>
        </w:rPr>
        <w:t>”) of Incremental Term Loan Commitments and Incremental Term Loans for all purposes of this Agreement. Notwithstanding the foregoing, in no event shall there be more than five (5) maturity dates in respect of the Credit Facilities (including any Replacement Term Loans or Replacement Revolving Facilities).</w:t>
      </w:r>
    </w:p>
    <w:p>
      <w:pPr>
        <w:spacing w:after="0" w:line="200" w:lineRule="exact"/>
        <w:rPr>
          <w:sz w:val="20"/>
          <w:szCs w:val="20"/>
          <w:color w:val="auto"/>
        </w:rPr>
      </w:pPr>
    </w:p>
    <w:p>
      <w:pPr>
        <w:spacing w:after="0" w:line="250" w:lineRule="exact"/>
        <w:rPr>
          <w:sz w:val="20"/>
          <w:szCs w:val="20"/>
          <w:color w:val="auto"/>
        </w:rPr>
      </w:pPr>
    </w:p>
    <w:p>
      <w:pPr>
        <w:jc w:val="both"/>
        <w:ind w:firstLine="1304"/>
        <w:spacing w:after="0" w:line="251" w:lineRule="auto"/>
        <w:tabs>
          <w:tab w:leader="none" w:pos="1713"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Incremental Commitments shall be effected pursuant to one or more Incremental Facility Agreements executed and delivered by the Company, each Incremental Lender providing such Incremental Commitments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(other than with respect to the incurrence of Incremental Term Loans the proceeds of which shall be used to consummate an acquisition permitted by this Agreement for which the Company has determined, in good faith, that limited conditionality is reasonably necessary (any such acquisition, a “</w:t>
      </w:r>
      <w:r>
        <w:rPr>
          <w:rFonts w:ascii="Times New Roman" w:cs="Times New Roman" w:eastAsia="Times New Roman" w:hAnsi="Times New Roman"/>
          <w:sz w:val="20"/>
          <w:szCs w:val="20"/>
          <w:u w:val="single" w:color="auto"/>
          <w:color w:val="auto"/>
        </w:rPr>
        <w:t>Limited Conditionality Acquisition</w:t>
      </w:r>
      <w:r>
        <w:rPr>
          <w:rFonts w:ascii="Times New Roman" w:cs="Times New Roman" w:eastAsia="Times New Roman" w:hAnsi="Times New Roman"/>
          <w:sz w:val="20"/>
          <w:szCs w:val="20"/>
          <w:color w:val="auto"/>
        </w:rPr>
        <w:t>”) as to which conditions (i) through (iii) below shall not apply) no Incremental Commitments shall become effective unless (i) no Default or Event of Default shall have occurred and be continuing on the date of effectiveness thereof, both immediately prior to and immediately after giving effect to such Incremental Commitments and the making of Loans and issuance of Letters of Credit thereunder to be made on such date, (ii) on the date of effectiveness thereof, the representations and warranties of each Loan Party set forth in the Loan Documents shall be true and correct in all material respects (or, in the case of any representation or warranty qualified by materiality or Material Adverse Effect, in all respects) on and as of such date, (iii) after giving effect to such Incremental Commitments and the making of Loans and other extensions of credit thereunder to be made on the date of effectiveness thereof (and assuming, in the case of any Incremental Revolving Commitments to be made on the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886" w:right="339" w:bottom="1440" w:gutter="0" w:footer="0" w:header="0"/>
        </w:sectPr>
      </w:pPr>
    </w:p>
    <w:bookmarkStart w:id="87" w:name="page88"/>
    <w:bookmarkEnd w:id="87"/>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date of effectiveness thereof, that such Incremental Revolving Commitments are fully drawn), the Company shall be in pro forma compliance with the financial covenants set forth in Sections 5.09 and 5.10, (iv) the Company shall make any payments required to be made pursuant to Section 2.16 in connection with such Incremental Commitments and the related transactions under this Section, and (v) the other conditions, if any, set forth in the applicable Incremental Facility Agreement are satisfied;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Incremental Term Loans in respect of a Limited Conditionality Acquisition shall become effective unless (1) as of the date of execution of the definitive acquisition documentation in respect of such Limited Conditionality Acquisition (the “</w:t>
      </w:r>
      <w:r>
        <w:rPr>
          <w:rFonts w:ascii="Times New Roman" w:cs="Times New Roman" w:eastAsia="Times New Roman" w:hAnsi="Times New Roman"/>
          <w:sz w:val="19"/>
          <w:szCs w:val="19"/>
          <w:u w:val="single" w:color="auto"/>
          <w:color w:val="auto"/>
        </w:rPr>
        <w:t>Limited Conditionality Acquisition Agreement</w:t>
      </w:r>
      <w:r>
        <w:rPr>
          <w:rFonts w:ascii="Times New Roman" w:cs="Times New Roman" w:eastAsia="Times New Roman" w:hAnsi="Times New Roman"/>
          <w:sz w:val="19"/>
          <w:szCs w:val="19"/>
          <w:color w:val="auto"/>
        </w:rPr>
        <w:t xml:space="preserve">”) by the parties thereto, no Default or Event of Default shall have occurred and be continuing or would result from entry into the Limited Conditionality Acquisition Agreement, (2) as of the date of the borrowing of such Incremental Term Loans, no Event of Default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is in existence immediately before or after giving effect (including on a pro forma basis) to such borrowing and to any concurrent transactions and any substantially concurrent use of proceeds thereof, (3) the representations and warranties of each Loan Party set forth in the Loan Documents shall be true and correct in all material respects (or, in the case of any representation or warranty qualified by materiality or Material Adverse Effect, in all respects) as of the date of execution of the applicable Limited Conditionality Acquisition Agreement by the parties thereto, (4) as of the date of the borrowing of such Incremental Term Loans, customary “Sungard” representations and warranties (with such representations and warranties to be reasonably determined by the Lenders providing such Incremental Term Loans) shall be true and correct in all material respects (or, in the case of any representation or warranty qualified by materiality or Material Adverse Effect, in all respects) immediately prior to, and after giving effect to, the incurrence of such Incremental Term Loans and (5) as of the date of execution of the related Limited Conditionality Acquisition Agreement by the parties thereto, the Company shall be in pro forma compliance with the financial covenants set forth in Sections 5.09 and 5.10. Each Incremental Facility Agreement may, without the consent of any Lender, effect such amendments to this Agreement and the other Loan Documents as may be necessary or appropriate, in the opinion of the Administrative Agent, to give effect to the provisions of this Section, including, without limitation, amendments to address equity and cash patronage provisions reasonably requested by any farm credit bank and reasonably acceptable to the Administrative Agent and the Company.</w:t>
      </w:r>
    </w:p>
    <w:p>
      <w:pPr>
        <w:spacing w:after="0" w:line="197" w:lineRule="exact"/>
        <w:rPr>
          <w:sz w:val="20"/>
          <w:szCs w:val="20"/>
          <w:color w:val="auto"/>
        </w:rPr>
      </w:pPr>
    </w:p>
    <w:p>
      <w:pPr>
        <w:jc w:val="both"/>
        <w:ind w:firstLine="1304"/>
        <w:spacing w:after="0" w:line="265" w:lineRule="auto"/>
        <w:tabs>
          <w:tab w:leader="none" w:pos="1724" w:val="left"/>
        </w:tabs>
        <w:numPr>
          <w:ilvl w:val="1"/>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Upon the effectiveness of an Incremental Commitment of any Incremental Lender, (i) such Incremental Lender shall be deemed to be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(and a Lender in respect of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 and (ii) in the case of any Incremental Revolving Commitment in respect of any Class, (A) such Incremental Revolving Commitment shall constitute (or, in the event such Incremental Lender already has a Revolving Commitment, shall increase) the Revolving Commitment of such Incremental Lender in respect of such Class and</w:t>
      </w:r>
    </w:p>
    <w:p>
      <w:pPr>
        <w:jc w:val="both"/>
        <w:ind w:firstLine="8"/>
        <w:spacing w:after="0" w:line="249" w:lineRule="auto"/>
        <w:tabs>
          <w:tab w:leader="none" w:pos="32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Revolving Commitments of such Class shall be increased by the amount of such Incremental Revolving Commitment, in each case, subject to further increase or reduction from time to time as set forth in the definition of the term “</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For the avoidance of doubt, upon the effectiveness of any Incremental Revolving Commitment, the Revolving Exposure of the Incremental Revolving Lender holding such Commitment, and the Applicable Percentage of all the Revolving Lenders, shall automatically be adjusted to give effect thereto.</w:t>
      </w:r>
    </w:p>
    <w:p>
      <w:pPr>
        <w:spacing w:after="0" w:line="222"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40"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the date of effectiveness of any Incremental Revolving Commitments of any Class, each Revolving Lender of any applicable Class shall assign to each Incremental Revolving Lender holding such Incremental Revolving Commitment, and each such Incremental Revolving Lender shall purchase from each such Revolving Lender of any applicable Class, at the principal amount thereof (together with accrued interest), such interests in the Revolving Loans and participations in Letters of Credit outstanding on such date as shall be necessary in order that, after giving effect to all such assignments and purchases, such Revolving Loans and participations in Letters of Credit will be held by all the Revolving Lenders of each applicable Class ratably in accordance with their Applicable Percentages after giving effect to the effectiveness of such Incremental Revolving Commitment.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886" w:right="339" w:bottom="1440" w:gutter="0" w:footer="0" w:header="0"/>
        </w:sectPr>
      </w:pPr>
    </w:p>
    <w:bookmarkStart w:id="88" w:name="page89"/>
    <w:bookmarkEnd w:id="88"/>
    <w:p>
      <w:pPr>
        <w:jc w:val="both"/>
        <w:ind w:firstLine="1304"/>
        <w:spacing w:after="0" w:line="261" w:lineRule="auto"/>
        <w:tabs>
          <w:tab w:leader="none" w:pos="1719"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terms and conditions set forth herein and in the applicable Incremental Facility Agreement, each Lender holding an Incremental Term Loan Commitment of any Series shall make a loan to the Company in an amount equal to such Incremental Term Loan Commitment on the date specified in such Incremental Facility Agreement.</w:t>
      </w:r>
    </w:p>
    <w:p>
      <w:pPr>
        <w:spacing w:after="0" w:line="208"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78"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notify the Lenders promptly upon receipt by the Administrative Agent of any notice from the Company referred to in paragraph (a) above and of the effectiveness of any Incremental Commitments, in each case advising the Lenders of the details thereof and, in the case of effectiveness of any Incremental Revolving Commitments, of the Applicable Percentages of the Revolving Lenders after giving effect thereto and of the assignments required to be made pursuant to paragraph (e) above.</w:t>
      </w:r>
    </w:p>
    <w:p>
      <w:pPr>
        <w:spacing w:after="0" w:line="199" w:lineRule="exact"/>
        <w:rPr>
          <w:sz w:val="20"/>
          <w:szCs w:val="20"/>
          <w:color w:val="auto"/>
        </w:rPr>
      </w:pPr>
    </w:p>
    <w:p>
      <w:pPr>
        <w:jc w:val="both"/>
        <w:ind w:firstLine="1296"/>
        <w:spacing w:after="0" w:line="239" w:lineRule="exact"/>
        <w:rPr>
          <w:sz w:val="20"/>
          <w:szCs w:val="20"/>
          <w:color w:val="auto"/>
        </w:rPr>
      </w:pPr>
      <w:r>
        <w:rPr>
          <w:rFonts w:ascii="Times New Roman" w:cs="Times New Roman" w:eastAsia="Times New Roman" w:hAnsi="Times New Roman"/>
          <w:sz w:val="20"/>
          <w:szCs w:val="20"/>
          <w:color w:val="010000"/>
        </w:rPr>
        <w:t xml:space="preserve">SECTION 2.21. </w:t>
      </w:r>
      <w:r>
        <w:rPr>
          <w:rFonts w:ascii="Times New Roman" w:cs="Times New Roman" w:eastAsia="Times New Roman" w:hAnsi="Times New Roman"/>
          <w:sz w:val="20"/>
          <w:szCs w:val="20"/>
          <w:u w:val="single" w:color="auto"/>
          <w:color w:val="000000"/>
        </w:rPr>
        <w:t>Judgment Currency</w:t>
      </w:r>
      <w:r>
        <w:rPr>
          <w:rFonts w:ascii="Times New Roman" w:cs="Times New Roman" w:eastAsia="Times New Roman" w:hAnsi="Times New Roman"/>
          <w:sz w:val="20"/>
          <w:szCs w:val="20"/>
          <w:color w:val="000000"/>
        </w:rPr>
        <w:t>. If for the purposes of obtaining judgment in any court it is necessary to convert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sum due from any Borrower hereunder in the currency expressed to be payable herein (the “</w:t>
      </w:r>
      <w:r>
        <w:rPr>
          <w:rFonts w:ascii="Times New Roman" w:cs="Times New Roman" w:eastAsia="Times New Roman" w:hAnsi="Times New Roman"/>
          <w:sz w:val="20"/>
          <w:szCs w:val="20"/>
          <w:u w:val="single" w:color="auto"/>
          <w:color w:val="000000"/>
        </w:rPr>
        <w:t>specified currency</w:t>
      </w:r>
      <w:r>
        <w:rPr>
          <w:rFonts w:ascii="Times New Roman" w:cs="Times New Roman" w:eastAsia="Times New Roman" w:hAnsi="Times New Roman"/>
          <w:sz w:val="20"/>
          <w:szCs w:val="20"/>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w:t>
      </w:r>
      <w:r>
        <w:rPr>
          <w:rFonts w:ascii="MS PGothic" w:cs="MS PGothic" w:eastAsia="MS PGothic" w:hAnsi="MS PGothic"/>
          <w:sz w:val="20"/>
          <w:szCs w:val="20"/>
          <w:color w:val="000000"/>
        </w:rPr>
        <w:t>‑</w:t>
      </w:r>
      <w:r>
        <w:rPr>
          <w:rFonts w:ascii="Times New Roman" w:cs="Times New Roman" w:eastAsia="Times New Roman" w:hAnsi="Times New Roman"/>
          <w:sz w:val="20"/>
          <w:szCs w:val="20"/>
          <w:color w:val="000000"/>
        </w:rPr>
        <w:t>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23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2.22. </w:t>
      </w:r>
      <w:r>
        <w:rPr>
          <w:rFonts w:ascii="Times New Roman" w:cs="Times New Roman" w:eastAsia="Times New Roman" w:hAnsi="Times New Roman"/>
          <w:sz w:val="20"/>
          <w:szCs w:val="20"/>
          <w:u w:val="single" w:color="auto"/>
          <w:color w:val="000000"/>
        </w:rPr>
        <w:t>Defaulting Lenders</w:t>
      </w:r>
      <w:r>
        <w:rPr>
          <w:rFonts w:ascii="Times New Roman" w:cs="Times New Roman" w:eastAsia="Times New Roman" w:hAnsi="Times New Roman"/>
          <w:sz w:val="20"/>
          <w:szCs w:val="20"/>
          <w:color w:val="000000"/>
        </w:rPr>
        <w:t>. Notwithstanding any provision of this Agreement to the contrary, if any Lender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becomes a Defaulting Lender, then the following provisions shall apply for so long as such Lender is a Defaulting Lender:</w:t>
      </w:r>
    </w:p>
    <w:p>
      <w:pPr>
        <w:spacing w:after="0" w:line="200" w:lineRule="exact"/>
        <w:rPr>
          <w:sz w:val="20"/>
          <w:szCs w:val="20"/>
          <w:color w:val="auto"/>
        </w:rPr>
      </w:pPr>
    </w:p>
    <w:p>
      <w:pPr>
        <w:ind w:left="1760" w:hanging="456"/>
        <w:spacing w:after="0"/>
        <w:tabs>
          <w:tab w:leader="none" w:pos="176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fees shall cease to accrue on the unfunded portion of the Commitment of such Defaulting Lender pursuant to 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2.12(a);</w:t>
      </w:r>
    </w:p>
    <w:p>
      <w:pPr>
        <w:spacing w:after="0" w:line="234" w:lineRule="exact"/>
        <w:rPr>
          <w:sz w:val="20"/>
          <w:szCs w:val="20"/>
          <w:color w:val="auto"/>
        </w:rPr>
      </w:pPr>
    </w:p>
    <w:p>
      <w:pPr>
        <w:jc w:val="both"/>
        <w:ind w:firstLine="1304"/>
        <w:spacing w:after="0" w:line="250" w:lineRule="auto"/>
        <w:tabs>
          <w:tab w:leader="none" w:pos="1738"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such Defaulting Lender (whether voluntary or mandatory, at maturity, pursuant to the Guarantee and Collateral Agreement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any Issuing Bank or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Issuing Banks’ LC Exposure with respect to such Defaulting Lender in accordance with this Section;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if so determined by the Administrative Agent and the Company, to be held in a deposit account and released pro rata in order to (x) satisfy such</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129" w:right="339" w:bottom="1440" w:gutter="0" w:footer="0" w:header="0"/>
        </w:sectPr>
      </w:pPr>
    </w:p>
    <w:bookmarkStart w:id="89" w:name="page90"/>
    <w:bookmarkEnd w:id="89"/>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payment of any amounts owing to the Lenders, the Issuing Banks or the Swingline Lender as a result of any judgment of a court of competent jurisdiction obtained by any Lender, any Issuing Bank or the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94" w:lineRule="exact"/>
        <w:rPr>
          <w:sz w:val="20"/>
          <w:szCs w:val="20"/>
          <w:color w:val="auto"/>
        </w:rPr>
      </w:pPr>
    </w:p>
    <w:p>
      <w:pPr>
        <w:jc w:val="both"/>
        <w:ind w:firstLine="1304"/>
        <w:spacing w:after="0" w:line="253" w:lineRule="auto"/>
        <w:tabs>
          <w:tab w:leader="none" w:pos="1835"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Commitment and Revolving Credit Exposure of such Defaulting Lender shall not be included in determining whether the Required Lenders or a Majority in Interest of any Class of Lenders have taken or may take any action hereunder (including any consent to any amendment, waiver or other modification pursuant to Section 9.02);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218"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Swingline Exposure or LC Exposure exists at the time such Lender becomes a Defaulting Lender then:</w:t>
      </w:r>
    </w:p>
    <w:p>
      <w:pPr>
        <w:spacing w:after="0" w:line="256" w:lineRule="exact"/>
        <w:rPr>
          <w:sz w:val="20"/>
          <w:szCs w:val="20"/>
          <w:color w:val="auto"/>
        </w:rPr>
      </w:pPr>
    </w:p>
    <w:p>
      <w:pPr>
        <w:jc w:val="both"/>
        <w:ind w:firstLine="1304"/>
        <w:spacing w:after="0" w:line="249" w:lineRule="auto"/>
        <w:tabs>
          <w:tab w:leader="none" w:pos="1708"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(1) all or any part of the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that are Global Tranche Lenders (the “</w:t>
      </w:r>
      <w:r>
        <w:rPr>
          <w:rFonts w:ascii="Times New Roman" w:cs="Times New Roman" w:eastAsia="Times New Roman" w:hAnsi="Times New Roman"/>
          <w:sz w:val="20"/>
          <w:szCs w:val="20"/>
          <w:u w:val="single" w:color="auto"/>
          <w:color w:val="auto"/>
        </w:rPr>
        <w:t>Non-Defaulting Global Tranche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in accordance with their respective Global Tranche Percentages but only to the extent the (A) the sum of all Non-Defaulting Global Tranche Lenders’ Global Tranche Revolving Credit Exposures does not exceed the total of all Non-Defaulting Global Tranche Lenders’ Global Tranche Commitments and (B) each Non-Defaulting Global Tranche Lender’s Global Tranche Revolving Credit Exposure does not exceed such Non-Defaulting Global Tranche Lender’s Global Tranche Commitment; and (2) all or any part of the US Tranche LC Exposure of such Defaulting Lender shall be reallocated among the non-Defaulting Lenders that are US Tranche Lenders (the “</w:t>
      </w:r>
      <w:r>
        <w:rPr>
          <w:rFonts w:ascii="Times New Roman" w:cs="Times New Roman" w:eastAsia="Times New Roman" w:hAnsi="Times New Roman"/>
          <w:sz w:val="20"/>
          <w:szCs w:val="20"/>
          <w:u w:val="single" w:color="auto"/>
          <w:color w:val="auto"/>
        </w:rPr>
        <w:t>Non-Defaulting US Tranche Lenders</w:t>
      </w:r>
      <w:r>
        <w:rPr>
          <w:rFonts w:ascii="Times New Roman" w:cs="Times New Roman" w:eastAsia="Times New Roman" w:hAnsi="Times New Roman"/>
          <w:sz w:val="20"/>
          <w:szCs w:val="20"/>
          <w:color w:val="auto"/>
        </w:rPr>
        <w:t>”) in accordance with their respective US Tranche Percentages but only to the extent (A) the sum of all Non-Defaulting US Tranche Lenders’ US Tranche Revolving Credit Exposures does not exceed the total of all Non-Defaulting US Tranche Lenders’ US Tranche Commitments and (B) each Non-Defaulting US Tranche Lender’s US Tranche Revolving Credit Exposure does not exceed such Non-Defaulting US Tranche Lender’s US Tranche Commitment; and (3) all or any part of the Global Tranche LC Exposure of such Defaulting Lender shall be reallocated among the Non-Defaulting Global Tranche Lenders in accordance with their respective Global Tranche Percentages but only to the extent (A) the sum of all Non-Defaulting Global Tranche Lenders’ Global Tranche Revolving Credit Exposures does not exceed the total of all Non-Defaulting Global Tranche Lenders’ Global Tranche Commitments and (B) each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886" w:right="339" w:bottom="1440" w:gutter="0" w:footer="0" w:header="0"/>
        </w:sectPr>
      </w:pPr>
    </w:p>
    <w:bookmarkStart w:id="90" w:name="page91"/>
    <w:bookmarkEnd w:id="90"/>
    <w:p>
      <w:pPr>
        <w:spacing w:after="0" w:line="283" w:lineRule="auto"/>
        <w:rPr>
          <w:sz w:val="20"/>
          <w:szCs w:val="20"/>
          <w:color w:val="auto"/>
        </w:rPr>
      </w:pPr>
      <w:r>
        <w:rPr>
          <w:rFonts w:ascii="Times New Roman" w:cs="Times New Roman" w:eastAsia="Times New Roman" w:hAnsi="Times New Roman"/>
          <w:sz w:val="20"/>
          <w:szCs w:val="20"/>
          <w:color w:val="auto"/>
        </w:rPr>
        <w:t>Non-Defaulting Global Tranche Lender’s Global Tranche Revolving Credit Exposure does not exceed such Non-Defaulting Global Tranche Lender’s Global Tranche Commitment;</w:t>
      </w:r>
    </w:p>
    <w:p>
      <w:pPr>
        <w:spacing w:after="0" w:line="173" w:lineRule="exact"/>
        <w:rPr>
          <w:sz w:val="20"/>
          <w:szCs w:val="20"/>
          <w:color w:val="auto"/>
        </w:rPr>
      </w:pPr>
    </w:p>
    <w:p>
      <w:pPr>
        <w:ind w:left="1760" w:hanging="456"/>
        <w:spacing w:after="0"/>
        <w:tabs>
          <w:tab w:leader="none" w:pos="1760" w:val="left"/>
        </w:tabs>
        <w:numPr>
          <w:ilvl w:val="1"/>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reallocation described in clause (i) above cannot, or can only partially, be effected, the Company shall within one</w:t>
      </w:r>
    </w:p>
    <w:p>
      <w:pPr>
        <w:spacing w:after="0" w:line="39" w:lineRule="exact"/>
        <w:rPr>
          <w:rFonts w:ascii="Times New Roman" w:cs="Times New Roman" w:eastAsia="Times New Roman" w:hAnsi="Times New Roman"/>
          <w:sz w:val="19"/>
          <w:szCs w:val="19"/>
          <w:color w:val="010000"/>
        </w:rPr>
      </w:pPr>
    </w:p>
    <w:p>
      <w:pPr>
        <w:jc w:val="both"/>
        <w:ind w:firstLine="8"/>
        <w:spacing w:after="0" w:line="253" w:lineRule="auto"/>
        <w:tabs>
          <w:tab w:leader="none" w:pos="29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 following notice by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such Swingline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for the benefit of each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20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90"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Company cash collateralizes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208"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06"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208"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38"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the relevant Issuing Bank or any other Lender hereunder, all letter of credit fees payable under Section 2.12(b) with respect to such Defaulting Lender’s LC Exposure shall be payable to such Issuing Bank until and to the extent that such LC Exposure is reallocated and/or cash collateralized; and</w:t>
      </w:r>
    </w:p>
    <w:p>
      <w:pPr>
        <w:spacing w:after="0" w:line="199" w:lineRule="exact"/>
        <w:rPr>
          <w:sz w:val="20"/>
          <w:szCs w:val="20"/>
          <w:color w:val="auto"/>
        </w:rPr>
      </w:pPr>
    </w:p>
    <w:p>
      <w:pPr>
        <w:jc w:val="both"/>
        <w:ind w:firstLine="1304"/>
        <w:spacing w:after="0" w:line="253" w:lineRule="auto"/>
        <w:tabs>
          <w:tab w:leader="none" w:pos="1727"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such Lender is a Defaulting Lender, the Swingline Lender shall not be required to fund any Swingline Loan and the relevant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Company in accordance with Section 2.22(d), and Swingline Exposure related to any such newly made Swingline Loan or LC Exposure related to any newly issued or increased Letter of Credit shall be allocated among non-Defaulting Lenders in a manner consistent with Section 2.22(d)(i) (and such Defaulting Lender shall not participate therein).</w:t>
      </w:r>
    </w:p>
    <w:p>
      <w:pPr>
        <w:spacing w:after="0" w:line="21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relevant Issuing Bank, as the case may be, shall have entered into arrangements with the Company or such Lender, satisfactory to the Swingline Lender or such Issuing Bank, as the case may be, to defease any risk to it in respect of such Lender hereunder.</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In the event that the Administrative Agent, the Company,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US Tranche Revolving Loans of the other Lenders and/or Global Tranche Revolving Loans of the other Lenders (other than Swingline Loans) as the Administrative Agent shall determine may be necessary in order for such Lender to hold such Loans in accordance with its Applicable Percentage.</w:t>
      </w:r>
    </w:p>
    <w:p>
      <w:pPr>
        <w:spacing w:after="0" w:line="21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2.23. </w:t>
      </w:r>
      <w:r>
        <w:rPr>
          <w:rFonts w:ascii="Times New Roman" w:cs="Times New Roman" w:eastAsia="Times New Roman" w:hAnsi="Times New Roman"/>
          <w:sz w:val="20"/>
          <w:szCs w:val="20"/>
          <w:u w:val="single" w:color="auto"/>
          <w:color w:val="000000"/>
        </w:rPr>
        <w:t>Designation of Subsidiary Borrowers</w:t>
      </w:r>
      <w:r>
        <w:rPr>
          <w:rFonts w:ascii="Times New Roman" w:cs="Times New Roman" w:eastAsia="Times New Roman" w:hAnsi="Times New Roman"/>
          <w:sz w:val="20"/>
          <w:szCs w:val="20"/>
          <w:color w:val="000000"/>
        </w:rPr>
        <w:t>. On the Effective Date, and subject to the satisfaction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applicable conditions in </w:t>
      </w:r>
      <w:r>
        <w:rPr>
          <w:rFonts w:ascii="Times New Roman" w:cs="Times New Roman" w:eastAsia="Times New Roman" w:hAnsi="Times New Roman"/>
          <w:sz w:val="20"/>
          <w:szCs w:val="20"/>
          <w:u w:val="single" w:color="auto"/>
          <w:color w:val="000000"/>
        </w:rPr>
        <w:t>Article IV</w:t>
      </w:r>
      <w:r>
        <w:rPr>
          <w:rFonts w:ascii="Times New Roman" w:cs="Times New Roman" w:eastAsia="Times New Roman" w:hAnsi="Times New Roman"/>
          <w:sz w:val="20"/>
          <w:szCs w:val="20"/>
          <w:color w:val="000000"/>
        </w:rPr>
        <w:t xml:space="preserve"> hereto, each of the Initial Subsidiary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886" w:right="339" w:bottom="1440" w:gutter="0" w:footer="0" w:header="0"/>
        </w:sectPr>
      </w:pPr>
    </w:p>
    <w:bookmarkStart w:id="91" w:name="page92"/>
    <w:bookmarkEnd w:id="9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Borrowers shall be Subsidiary Borrowers party to this Agreement until the Company shall have executed and delivered to the Administrative Agent a Subsidiary Borrower Termination with respect to any such Subsidiary, whereupon such Subsidiary shall cease to be a Subsidiary Borrower and cease to be a party to this Agreement. After the Effective Date, the Company may at any time and from time to time designate any Eligible Subsidiary as a Subsidiary Borrower by delivery to the Administrative Agent of a Subsidiary Borrower Agreement executed by such Subsidiary and the Company and the satisfaction of the other conditions precedent set forth in Section 4.03, and upon such delivery and satisfaction such Subsidiary shall for all purposes of this Agreement be a Subsidiary Borrower and a party to this Agreement. Each Subsidiary Borrower shall remain a Subsidiary Borrower until the Company shall have executed and delivered to the Administrative Agent a Subsidiary Borrower Termination with respect to such Subsidiary, whereupon such Subsidiary shall cease to be a Subsidiary Borrower and a party to this Agreement. Notwithstanding anything else in this Section 2.23 to the contrary, no Subsidiary Borrower Termination will become effective as to any Subsidiary Borrower at a time when any principal of or interest on any Loan to such Borrower shall be outstanding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Subsidiary Borrower Termination shall be effective to terminate the right of such Subsidiary Borrower to make further Borrowings under this Agreement. As soon as practicable upon receipt of a Subsidiary Borrower Agreement, the Administrative Agent shall furnish a copy thereof to each Lender.</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2.24. </w:t>
      </w:r>
      <w:r>
        <w:rPr>
          <w:rFonts w:ascii="Times New Roman" w:cs="Times New Roman" w:eastAsia="Times New Roman" w:hAnsi="Times New Roman"/>
          <w:sz w:val="20"/>
          <w:szCs w:val="20"/>
          <w:u w:val="single" w:color="auto"/>
          <w:color w:val="000000"/>
        </w:rPr>
        <w:t>Administrative Borrower</w:t>
      </w:r>
      <w:r>
        <w:rPr>
          <w:rFonts w:ascii="Times New Roman" w:cs="Times New Roman" w:eastAsia="Times New Roman" w:hAnsi="Times New Roman"/>
          <w:sz w:val="20"/>
          <w:szCs w:val="20"/>
          <w:color w:val="000000"/>
        </w:rPr>
        <w:t>. Each Borrower hereby irrevocably appoints the Company as its agent for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purposes relevant to the administration of this Agreement and each of the other Loan Documents, including (i) the giving and receipt of notices and (ii) the execution and delivery of all documents, instruments and certificates contemplated herein (other than any waiver, amendment or other modification contemplated by Section 9.02). Any notice, demand, consent, acknowledgement, direction, certification or other communication delivered to the Company in accordance with the terms of this Agreement shall be deemed to have been delivered to the Borrowers.</w:t>
      </w:r>
    </w:p>
    <w:p>
      <w:pPr>
        <w:spacing w:after="0" w:line="20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2.25. </w:t>
      </w:r>
      <w:r>
        <w:rPr>
          <w:rFonts w:ascii="Times New Roman" w:cs="Times New Roman" w:eastAsia="Times New Roman" w:hAnsi="Times New Roman"/>
          <w:sz w:val="20"/>
          <w:szCs w:val="20"/>
          <w:u w:val="single" w:color="auto"/>
          <w:color w:val="000000"/>
        </w:rPr>
        <w:t>Lender Qualified Bilateral Letters of Credit</w:t>
      </w:r>
      <w:r>
        <w:rPr>
          <w:rFonts w:ascii="Times New Roman" w:cs="Times New Roman" w:eastAsia="Times New Roman" w:hAnsi="Times New Roman"/>
          <w:sz w:val="20"/>
          <w:szCs w:val="20"/>
          <w:color w:val="000000"/>
        </w:rPr>
        <w:t>. Each Lender or Affiliate thereof providing one or more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letters of credit to the Company or any Subsidiary that are intended to constitute Lender Qualified Bilateral Letters of Credit shall deliver to the Administrative Agent, promptly after the entry into a letter of credit facility or the issuance of any such letter of credit, written notice setting forth the maximum face amount of each such letter of credit; provided that JPMorgan Chase Bank, N.A. as Lender shall not be required to deliver such notice to the Administrative Agent in respect of any Lender Qualified Bilateral Letter of Credit issued by it. In addition, each such Lender or Affiliate thereof shall deliver to the Administrative Agent, from time to time after a significant change therein or upon a request therefor, a summary of the amounts due or to become due in respect of such letter of credit. The most recent information provided to the Administrative Agent pursuant to this Section 2.25 shall be used in determining the amounts to be applied in respect of the Obligations in respect of such letters of credit pursuant to Section 7.5 of the Guarantee and Collateral Agreement. It is understood and agreed that, with respect to the terms and conditions of any letter of credit agreement related to Lender Qualified Bilateral Letters of Credit, in the event of any inconsistency between the terms and conditions of this Agreement and the terms and conditions of any such letter of credit agreement related to Lender Qualified Bilateral Letters of Credit, the terms and conditions of this Agreement shall control.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III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In order to induce the Lenders and the Administrative Agent to enter into this Agreement and to make the Loans and issue or participate in the Letters of Credit herein provided for, the Company hereby represents and warrants to the Administrative Agent and to each Lender that:</w:t>
      </w:r>
    </w:p>
    <w:p>
      <w:pPr>
        <w:spacing w:after="0" w:line="195"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3.01.</w:t>
      </w:r>
      <w:r>
        <w:rPr>
          <w:sz w:val="20"/>
          <w:szCs w:val="20"/>
          <w:color w:val="auto"/>
        </w:rPr>
        <w:tab/>
      </w:r>
      <w:r>
        <w:rPr>
          <w:rFonts w:ascii="Times New Roman" w:cs="Times New Roman" w:eastAsia="Times New Roman" w:hAnsi="Times New Roman"/>
          <w:sz w:val="19"/>
          <w:szCs w:val="19"/>
          <w:u w:val="single" w:color="auto"/>
          <w:color w:val="auto"/>
        </w:rPr>
        <w:t>Financial Condition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886" w:right="339" w:bottom="1440" w:gutter="0" w:footer="0" w:header="0"/>
        </w:sectPr>
      </w:pPr>
    </w:p>
    <w:bookmarkStart w:id="92" w:name="page93"/>
    <w:bookmarkEnd w:id="92"/>
    <w:p>
      <w:pPr>
        <w:jc w:val="both"/>
        <w:ind w:firstLine="1304"/>
        <w:spacing w:after="0" w:line="253" w:lineRule="auto"/>
        <w:tabs>
          <w:tab w:leader="none" w:pos="1713"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unaudited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capitalization of the Company and its consolidated Subsidiaries as at June 28, 2025 (including the notes thereto) (the “</w:t>
      </w:r>
      <w:r>
        <w:rPr>
          <w:rFonts w:ascii="Times New Roman" w:cs="Times New Roman" w:eastAsia="Times New Roman" w:hAnsi="Times New Roman"/>
          <w:sz w:val="20"/>
          <w:szCs w:val="20"/>
          <w:u w:val="single" w:color="auto"/>
          <w:color w:val="auto"/>
        </w:rPr>
        <w:t>Pro Forma Balance Sheet</w:t>
      </w:r>
      <w:r>
        <w:rPr>
          <w:rFonts w:ascii="Times New Roman" w:cs="Times New Roman" w:eastAsia="Times New Roman" w:hAnsi="Times New Roman"/>
          <w:sz w:val="20"/>
          <w:szCs w:val="20"/>
          <w:color w:val="auto"/>
        </w:rPr>
        <w:t xml:space="preserve">”), copies of which have heretofore been furnished to each Lender, has been prepared giving effect (as if such events had occurred on such date) to (i) the consummation of the Refinancing and (ii) the payment of fees and expenses in connection with the Refinancing. The Pro Forma Balance Sheet fairly presents in all material respects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the estimated financial position of Company and its consolidated Subsidiaries as at June 28, 2025 (subject to year-end audit adjustments and the absence of footnotes), assuming that the events specified in the preceding sentence had actually occurred at such date.</w:t>
      </w:r>
    </w:p>
    <w:p>
      <w:pPr>
        <w:spacing w:after="0" w:line="219"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92"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audited consolidated balance sheet of the Company and its consolidated Subsidiaries as at September 30, 2022, September 30, 2023 and September 30, 2024 and the related consolidated statements of income and of cash flows for the fiscal year ended on such date, reported on by Deloitte &amp; Touche LLP, copies of which have heretofore been delivered to each of the Lenders, fairly present in all material respects the consolidated financial condition of the Company and its consolidated Subsidiaries as at such respective dates, and the consolidated results of their operations and their consolidated cash flows for the fiscal periods then ended. Such financial statements, including the related schedules and notes thereto, have been prepared in accordance with GAAP applied consistently throughout the periods involved (except as approved by such accountants and as disclosed therein). Since September 30, 2024 there has been no development or event which has had or could reasonably be expected to have a Material Adverse Effect.</w:t>
      </w:r>
    </w:p>
    <w:p>
      <w:pPr>
        <w:spacing w:after="0" w:line="209"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3.02.</w:t>
      </w:r>
      <w:r>
        <w:rPr>
          <w:sz w:val="20"/>
          <w:szCs w:val="20"/>
          <w:color w:val="auto"/>
        </w:rPr>
        <w:tab/>
      </w:r>
      <w:r>
        <w:rPr>
          <w:rFonts w:ascii="Times New Roman" w:cs="Times New Roman" w:eastAsia="Times New Roman" w:hAnsi="Times New Roman"/>
          <w:sz w:val="19"/>
          <w:szCs w:val="19"/>
          <w:u w:val="single" w:color="auto"/>
          <w:color w:val="auto"/>
        </w:rPr>
        <w:t>Corporate Existence; Compliance with Law</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51" w:lineRule="auto"/>
        <w:tabs>
          <w:tab w:leader="none" w:pos="1767"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Company and its Material Subsidiaries (a) is duly organized or incorporated, validly existing and, where applicable, in good standing under the laws of the jurisdiction of its incorporation, (b) has the corporate or other power and authority and the legal right to own and operate its property, to lease the property it leases and to conduct the business in which it is currently engaged, (c) is duly qualified as a foreign corporation or other applicable entity and in good standing under the laws of any jurisdiction where its ownership, lease or operation of property or the conduct or proposed conduct of its business requires such qualification, except where the failure to so qualify would not, in any instance or in the aggregate, reasonably be expected to have a Material Adverse Effect and (d) is in compliance with all material Requirements of Law applicable to it or its business, except where such failure to comply would not reasonably be expected to have a Material Adverse Effect.</w:t>
      </w:r>
    </w:p>
    <w:p>
      <w:pPr>
        <w:spacing w:after="0" w:line="222"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886"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implemented and maintains in effect policies and procedures reasonably designed to ensure compliance by the Company, its Subsidiaries and their respective directors, officers, employees and agents with Anti-Corruption Laws, Anti-Money Laundering Laws and applicable Sanctions, and the Company, its Subsidiaries and their respective directors and officers and, to the knowledge of a Responsible Officer of the Company, its employees and agents, are in compliance with Anti-Corruption Laws, Anti-Money Laundering Laws and applicable Sanctions in all material respects and, in the case of any Foreign Subsidiary Borrower, is not knowingly engaged in any activity that would reasonably be expected to result in such Borrower being designated as a Sanctioned Person. None of (i) the Company, any Subsidiary or, to the knowledge of a Responsible Officer of the Company or such Subsidiary, any of their respective directors, officers or employees, or (ii) to the knowledge of the Company, any agent of the Company or any Subsidiary that will act in any capacity in connection with or benefit from the credit facility established hereby, is a Sanctioned Person. No Borrowing or Letter of Credit, use of proceeds or other transaction contemplated by this Agreement will violate Anti-Corruption Laws, Anti-Money Laundering Laws or applicable Sanctions.</w:t>
      </w:r>
    </w:p>
    <w:p>
      <w:pPr>
        <w:spacing w:after="0" w:line="21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3.03. </w:t>
      </w:r>
      <w:r>
        <w:rPr>
          <w:rFonts w:ascii="Times New Roman" w:cs="Times New Roman" w:eastAsia="Times New Roman" w:hAnsi="Times New Roman"/>
          <w:sz w:val="20"/>
          <w:szCs w:val="20"/>
          <w:u w:val="single" w:color="auto"/>
          <w:color w:val="000000"/>
        </w:rPr>
        <w:t>Corporate Power; Authorization; Enforceable Obligations</w:t>
      </w:r>
      <w:r>
        <w:rPr>
          <w:rFonts w:ascii="Times New Roman" w:cs="Times New Roman" w:eastAsia="Times New Roman" w:hAnsi="Times New Roman"/>
          <w:sz w:val="20"/>
          <w:szCs w:val="20"/>
          <w:color w:val="000000"/>
        </w:rPr>
        <w:t>. Each of the Company and its Subsidiaries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corporate or other power and authority and the legal right to make, deliver and perform this Agreement and the other Loan Documents to which it is a party and to borrow hereunder (in the case of the Company and any Subsidiary Borrower) and has taken all corporate or other action necessary to be taken by it to authorize such actions. No consent, waiver or authorization of, filing with, or other act by or in respect of, any Governmental Authority or any other Person is required to be made or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886" w:right="339" w:bottom="1440" w:gutter="0" w:footer="0" w:header="0"/>
        </w:sectPr>
      </w:pPr>
    </w:p>
    <w:bookmarkStart w:id="93" w:name="page94"/>
    <w:bookmarkEnd w:id="93"/>
    <w:p>
      <w:pPr>
        <w:jc w:val="both"/>
        <w:spacing w:after="0" w:line="251" w:lineRule="auto"/>
        <w:rPr>
          <w:sz w:val="20"/>
          <w:szCs w:val="20"/>
          <w:color w:val="auto"/>
        </w:rPr>
      </w:pPr>
      <w:r>
        <w:rPr>
          <w:rFonts w:ascii="Times New Roman" w:cs="Times New Roman" w:eastAsia="Times New Roman" w:hAnsi="Times New Roman"/>
          <w:sz w:val="20"/>
          <w:szCs w:val="20"/>
          <w:color w:val="auto"/>
        </w:rPr>
        <w:t>obtained by the Company or its Subsidiaries in connection with the borrowings hereunder or the execution, delivery, performance, validity or enforceability of this Agreement and the other Loan Documents to which it is a party, except (i) such as have been obtained or made and are in full force and effect and (ii) any SEC filings to be made in connection with the Refinancing. This Agreement constitutes, and the other Loan Documents to which the Company or any Subsidiary is a party when executed and delivered hereunder will constitute, a legal, valid and binding obligation of the Company and such Subsidiary, enforceable against the Company and such Subsidiary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2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3.04. </w:t>
      </w:r>
      <w:r>
        <w:rPr>
          <w:rFonts w:ascii="Times New Roman" w:cs="Times New Roman" w:eastAsia="Times New Roman" w:hAnsi="Times New Roman"/>
          <w:sz w:val="20"/>
          <w:szCs w:val="20"/>
          <w:u w:val="single" w:color="auto"/>
          <w:color w:val="000000"/>
        </w:rPr>
        <w:t>No Legal Bar</w:t>
      </w:r>
      <w:r>
        <w:rPr>
          <w:rFonts w:ascii="Times New Roman" w:cs="Times New Roman" w:eastAsia="Times New Roman" w:hAnsi="Times New Roman"/>
          <w:sz w:val="20"/>
          <w:szCs w:val="20"/>
          <w:color w:val="000000"/>
        </w:rPr>
        <w:t>. The execution, delivery and performance of this Agreement and the other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Documents, the borrowings hereunder and the use of the proceeds thereof do not (i) violate any Requirement of Law applicable to the Company and its subsidiaries or Contractual Obligation of the Company or any of its Material Subsidiaries, except to the extent such violation could not reasonably be expected to have a Material Adverse Effect or (ii) result in, or require, the creation or imposition of any Lien on any of its or their respective properties or revenues pursuant to any such Requirement of Law or Contractual Obligation which could reasonably be expected to have a Material Adverse Effect except for Liens which may be required by the Existing Senior Notes Indentures.</w:t>
      </w:r>
    </w:p>
    <w:p>
      <w:pPr>
        <w:spacing w:after="0" w:line="20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3.05. </w:t>
      </w:r>
      <w:r>
        <w:rPr>
          <w:rFonts w:ascii="Times New Roman" w:cs="Times New Roman" w:eastAsia="Times New Roman" w:hAnsi="Times New Roman"/>
          <w:sz w:val="20"/>
          <w:szCs w:val="20"/>
          <w:u w:val="single" w:color="auto"/>
          <w:color w:val="000000"/>
        </w:rPr>
        <w:t>No Material Litigation</w:t>
      </w:r>
      <w:r>
        <w:rPr>
          <w:rFonts w:ascii="Times New Roman" w:cs="Times New Roman" w:eastAsia="Times New Roman" w:hAnsi="Times New Roman"/>
          <w:sz w:val="20"/>
          <w:szCs w:val="20"/>
          <w:color w:val="000000"/>
        </w:rPr>
        <w:t>. Except as set forth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3.05</w:t>
      </w:r>
      <w:r>
        <w:rPr>
          <w:rFonts w:ascii="Times New Roman" w:cs="Times New Roman" w:eastAsia="Times New Roman" w:hAnsi="Times New Roman"/>
          <w:sz w:val="20"/>
          <w:szCs w:val="20"/>
          <w:color w:val="000000"/>
        </w:rPr>
        <w:t>, no litigation, investigation or proceeding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or before any arbitrator or Governmental Authority is pending or, to the knowledge of a Responsible Officer of the Company, threatened by or against the Company or any of its Subsidiaries (a) with respect to this Agreement, any of the other Loan Documents or any of the transactions contemplated hereby or thereby or (b) as to which there is a reasonable possibility of an adverse determination with respect to the Company or any of its Subsidiaries and that, if adversely determined, could reasonably be expected to have a Material Adverse Effect.</w:t>
      </w:r>
    </w:p>
    <w:p>
      <w:pPr>
        <w:spacing w:after="0" w:line="20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3.06. </w:t>
      </w:r>
      <w:r>
        <w:rPr>
          <w:rFonts w:ascii="Times New Roman" w:cs="Times New Roman" w:eastAsia="Times New Roman" w:hAnsi="Times New Roman"/>
          <w:sz w:val="20"/>
          <w:szCs w:val="20"/>
          <w:u w:val="single" w:color="auto"/>
          <w:color w:val="000000"/>
        </w:rPr>
        <w:t>No Burdensome Restrictions</w:t>
      </w:r>
      <w:r>
        <w:rPr>
          <w:rFonts w:ascii="Times New Roman" w:cs="Times New Roman" w:eastAsia="Times New Roman" w:hAnsi="Times New Roman"/>
          <w:sz w:val="20"/>
          <w:szCs w:val="20"/>
          <w:color w:val="000000"/>
        </w:rPr>
        <w:t>. No Requirement of Law or Contractual Obligation of the Company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of its Subsidiaries could reasonably be expected to have a Material Adverse Effect.</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3.07. </w:t>
      </w:r>
      <w:r>
        <w:rPr>
          <w:rFonts w:ascii="Times New Roman" w:cs="Times New Roman" w:eastAsia="Times New Roman" w:hAnsi="Times New Roman"/>
          <w:sz w:val="20"/>
          <w:szCs w:val="20"/>
          <w:u w:val="single" w:color="auto"/>
          <w:color w:val="000000"/>
        </w:rPr>
        <w:t>No Default</w:t>
      </w:r>
      <w:r>
        <w:rPr>
          <w:rFonts w:ascii="Times New Roman" w:cs="Times New Roman" w:eastAsia="Times New Roman" w:hAnsi="Times New Roman"/>
          <w:sz w:val="20"/>
          <w:szCs w:val="20"/>
          <w:color w:val="000000"/>
        </w:rPr>
        <w:t>. Neither the Company nor any of its Subsidiaries is in default under or with respect to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its Contractual Obligations in any respect which would reasonably be expected to have a Material Adverse Effect. No Default or Event of Default has occurred and is continuing. Neither the Company nor any of its Subsidiaries is in default under any order, award or decree of any arbitrator or Governmental Authority binding upon it or by which any of its properties or assets may be bound, where such default would reasonably be expected to have a Material Adverse Effect.</w:t>
      </w:r>
    </w:p>
    <w:p>
      <w:pPr>
        <w:spacing w:after="0" w:line="20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3.08. </w:t>
      </w:r>
      <w:r>
        <w:rPr>
          <w:rFonts w:ascii="Times New Roman" w:cs="Times New Roman" w:eastAsia="Times New Roman" w:hAnsi="Times New Roman"/>
          <w:sz w:val="20"/>
          <w:szCs w:val="20"/>
          <w:u w:val="single" w:color="auto"/>
          <w:color w:val="000000"/>
        </w:rPr>
        <w:t>Subsidiaries</w:t>
      </w:r>
      <w:r>
        <w:rPr>
          <w:rFonts w:ascii="Times New Roman" w:cs="Times New Roman" w:eastAsia="Times New Roman" w:hAnsi="Times New Roman"/>
          <w:sz w:val="20"/>
          <w:szCs w:val="20"/>
          <w:color w:val="000000"/>
        </w:rPr>
        <w:t>. The Subsidiaries listed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3.08</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constitute all of the Subsidiaries of the Company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existence on the Effective Date.</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3.09.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No representations or warranties made by, or written or other formally presented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information (other than information of a general economic or industry specific nature) supplied by, the Company or any of its Subsidiaries in this Agreement, any other Loan Document or in any other document, including without limitation the Lender Presentation and any Beneficial Ownership Certification, furnished to the Lenders from time to time in connection herewith or therewith (as such other documents may be supplemented or updated from time to time), taken as a whole, contains any untrue statement of a material fact or omits to state any material fact necessary to make the statements herein or therein, in light of the circumstances under which they were made, not materially misleading; provided that with respect to projected financial information, including the Projections, the Company represents only that such information was prepared in good faith based upon assumptions believed to be reasonable at the time.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886" w:right="339" w:bottom="1440" w:gutter="0" w:footer="0" w:header="0"/>
        </w:sectPr>
      </w:pPr>
    </w:p>
    <w:bookmarkStart w:id="94" w:name="page95"/>
    <w:bookmarkEnd w:id="94"/>
    <w:p>
      <w:pPr>
        <w:ind w:left="1300"/>
        <w:spacing w:after="0"/>
        <w:rPr>
          <w:sz w:val="20"/>
          <w:szCs w:val="20"/>
          <w:color w:val="auto"/>
        </w:rPr>
      </w:pPr>
      <w:r>
        <w:rPr>
          <w:rFonts w:ascii="Times New Roman" w:cs="Times New Roman" w:eastAsia="Times New Roman" w:hAnsi="Times New Roman"/>
          <w:sz w:val="20"/>
          <w:szCs w:val="20"/>
          <w:color w:val="010000"/>
        </w:rPr>
        <w:t>SECTION 3.10.</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important activities, in the business Regulation U of the Board).</w:t>
      </w:r>
    </w:p>
    <w:p>
      <w:pPr>
        <w:spacing w:after="0" w:line="20" w:lineRule="exact"/>
        <w:rPr>
          <w:sz w:val="20"/>
          <w:szCs w:val="20"/>
          <w:color w:val="auto"/>
        </w:rPr>
      </w:pPr>
      <w:r>
        <w:rPr>
          <w:sz w:val="20"/>
          <w:szCs w:val="20"/>
          <w:color w:val="auto"/>
        </w:rPr>
        <w:br w:type="column"/>
      </w:r>
    </w:p>
    <w:p>
      <w:pPr>
        <w:ind w:hanging="57"/>
        <w:spacing w:after="0" w:line="283" w:lineRule="auto"/>
        <w:rPr>
          <w:sz w:val="20"/>
          <w:szCs w:val="20"/>
          <w:color w:val="auto"/>
        </w:rPr>
      </w:pP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None of the Company nor any of its Subsidiaries is engaged principally, or as one of its of extending credit for the purpose of purchasing or carrying “margin stock” (as defined under</w:t>
      </w:r>
    </w:p>
    <w:p>
      <w:pPr>
        <w:spacing w:after="0" w:line="400" w:lineRule="exact"/>
        <w:rPr>
          <w:sz w:val="20"/>
          <w:szCs w:val="20"/>
          <w:color w:val="auto"/>
        </w:rPr>
      </w:pPr>
    </w:p>
    <w:p>
      <w:pPr>
        <w:sectPr>
          <w:pgSz w:w="11900" w:h="16838" w:orient="portrait"/>
          <w:cols w:equalWidth="0" w:num="2">
            <w:col w:w="3000" w:space="100"/>
            <w:col w:w="8140"/>
          </w:cols>
          <w:pgMar w:left="320" w:top="886" w:right="339" w:bottom="1440" w:gutter="0" w:footer="0" w:header="0"/>
        </w:sectPr>
      </w:pPr>
    </w:p>
    <w:p>
      <w:pPr>
        <w:spacing w:after="0" w:line="15"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3.11. </w:t>
      </w:r>
      <w:r>
        <w:rPr>
          <w:rFonts w:ascii="Times New Roman" w:cs="Times New Roman" w:eastAsia="Times New Roman" w:hAnsi="Times New Roman"/>
          <w:sz w:val="20"/>
          <w:szCs w:val="20"/>
          <w:u w:val="single" w:color="auto"/>
          <w:color w:val="000000"/>
        </w:rPr>
        <w:t>Federal Regulations</w:t>
      </w:r>
      <w:r>
        <w:rPr>
          <w:rFonts w:ascii="Times New Roman" w:cs="Times New Roman" w:eastAsia="Times New Roman" w:hAnsi="Times New Roman"/>
          <w:sz w:val="20"/>
          <w:szCs w:val="20"/>
          <w:color w:val="000000"/>
        </w:rPr>
        <w:t>. No part of the proceeds of any Loans will be used for any purpose which violates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provisions of the Regulations of the Board, including Regulations T, U and X, as now and from time to time hereafter in effect.</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3.12. </w:t>
      </w:r>
      <w:r>
        <w:rPr>
          <w:rFonts w:ascii="Times New Roman" w:cs="Times New Roman" w:eastAsia="Times New Roman" w:hAnsi="Times New Roman"/>
          <w:sz w:val="20"/>
          <w:szCs w:val="20"/>
          <w:u w:val="single" w:color="auto"/>
          <w:color w:val="000000"/>
        </w:rPr>
        <w:t>Investment Company Act; Other Regulations</w:t>
      </w:r>
      <w:r>
        <w:rPr>
          <w:rFonts w:ascii="Times New Roman" w:cs="Times New Roman" w:eastAsia="Times New Roman" w:hAnsi="Times New Roman"/>
          <w:sz w:val="20"/>
          <w:szCs w:val="20"/>
          <w:color w:val="000000"/>
        </w:rPr>
        <w:t>. Neither the Company nor any of its Subsidiaries is 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“investment company” within the meaning of, or subject to regulation under, the Investment Company Act of 1940, as amended. Neither the Company nor any of its Subsidiaries is subject to regulation under any U.S. federal or state statute or regulation which limits its ability to incur indebtedness.</w:t>
      </w:r>
    </w:p>
    <w:p>
      <w:pPr>
        <w:spacing w:after="0" w:line="19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3.13.</w:t>
      </w:r>
      <w:r>
        <w:rPr>
          <w:sz w:val="20"/>
          <w:szCs w:val="20"/>
          <w:color w:val="auto"/>
        </w:rPr>
        <w:tab/>
      </w:r>
      <w:r>
        <w:rPr>
          <w:rFonts w:ascii="Times New Roman" w:cs="Times New Roman" w:eastAsia="Times New Roman" w:hAnsi="Times New Roman"/>
          <w:sz w:val="20"/>
          <w:szCs w:val="20"/>
          <w:u w:val="single" w:color="auto"/>
          <w:color w:val="auto"/>
        </w:rPr>
        <w:t>Labor Matters</w:t>
      </w:r>
      <w:r>
        <w:rPr>
          <w:rFonts w:ascii="Times New Roman" w:cs="Times New Roman" w:eastAsia="Times New Roman" w:hAnsi="Times New Roman"/>
          <w:sz w:val="20"/>
          <w:szCs w:val="20"/>
          <w:color w:val="auto"/>
        </w:rPr>
        <w:t>. Except as, in the aggregate, could not reasonably be expected to have a Material</w:t>
      </w:r>
    </w:p>
    <w:p>
      <w:pPr>
        <w:spacing w:after="0" w:line="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Adverse Effect: (a) there are no strikes or other labor disputes against the Company or any of its Subsidiaries pending or, to the knowledge of a Responsible Officer of the Company, threatened; (b) hours worked by and payment made to employees of the Company and its Subsidiaries have not been in violation of the Fair Labor Standards Act or any other applicable Requirement of Law dealing with such matters; and (c) all payments due from the Company or any of its Subsidiaries on account of employee health and welfare insurance have been paid or accrued as a liability on the books of the Company or the relevant Subsidiary.</w:t>
      </w:r>
    </w:p>
    <w:p>
      <w:pPr>
        <w:spacing w:after="0" w:line="22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3.14. </w:t>
      </w:r>
      <w:r>
        <w:rPr>
          <w:rFonts w:ascii="Times New Roman" w:cs="Times New Roman" w:eastAsia="Times New Roman" w:hAnsi="Times New Roman"/>
          <w:sz w:val="20"/>
          <w:szCs w:val="20"/>
          <w:u w:val="single" w:color="auto"/>
          <w:color w:val="000000"/>
        </w:rPr>
        <w:t>ERISA</w:t>
      </w:r>
      <w:r>
        <w:rPr>
          <w:rFonts w:ascii="Times New Roman" w:cs="Times New Roman" w:eastAsia="Times New Roman" w:hAnsi="Times New Roman"/>
          <w:sz w:val="20"/>
          <w:szCs w:val="20"/>
          <w:color w:val="000000"/>
        </w:rPr>
        <w:t>. No ERISA Event has occurred or is reasonably expected to occur that, when taken together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with all other such ERISA Events for which liability is reasonably expected to occur, could reasonably be expected to result in a Material Adverse Effect. No Foreign Plan Event has occurred or is reasonably expected to occur that, when taken together with all other such Foreign Plan Events for which liability is reasonably expected to occur, could reasonably be expected to result in a Material Adverse Effect. No Canadian Pension Plan is a Canadian Defined Benefit Plan. All contributions required to be made by any Loan Party to a Canadian Pension Plan have been timely made in accordance with the terms of the plan and applicable law except where the failure to do so would not reasonably be expected to have a Material Adverse Effect.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3.15. </w:t>
      </w:r>
      <w:r>
        <w:rPr>
          <w:rFonts w:ascii="Times New Roman" w:cs="Times New Roman" w:eastAsia="Times New Roman" w:hAnsi="Times New Roman"/>
          <w:sz w:val="20"/>
          <w:szCs w:val="20"/>
          <w:u w:val="single" w:color="auto"/>
          <w:color w:val="000000"/>
        </w:rPr>
        <w:t>Title to Real Property</w:t>
      </w:r>
      <w:r>
        <w:rPr>
          <w:rFonts w:ascii="Times New Roman" w:cs="Times New Roman" w:eastAsia="Times New Roman" w:hAnsi="Times New Roman"/>
          <w:sz w:val="20"/>
          <w:szCs w:val="20"/>
          <w:color w:val="000000"/>
        </w:rPr>
        <w:t>. Each of the Company and its Subsidiaries has good title in fee simple to, or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valid and subsisting leasehold, easement or other interest in, all of the real property on which it operates its business and good title to all its other property, except where the failure to have such good title or subsisting leasehold, easement or other interest would not reasonably be expected to have a Material Adverse Effect.</w:t>
      </w:r>
    </w:p>
    <w:p>
      <w:pPr>
        <w:spacing w:after="0" w:line="19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3.16.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Each of the Company and its Subsidiaries has filed or caused to be filed all tax returns which are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required to be filed and has paid all taxes shown to be due and payable on said returns or on any assessments made against it or any of its property and all other taxes, fees or other charges imposed on it or any of its property by any Governmental Authority (other than any taxes, fees or charges the amount or validity of which are currently being contested in good faith by appropriate proceedings and with respect to which reserves in accordance with GAAP have been provided on the books of the Company or its Subsidiaries, as the case may be) except where the failure to file such returns or pay such taxes and/or assessments would not reasonably be expected to have a Material Adverse Effect. Under the laws of its Relevant Jurisdiction it is not necessary that any stamp, registration, notarial or similar Taxes or fees be paid on or in relation to the Loan Documents or the transactions contemplated by the Loan Documents, subject to any qualifications contained in any legal opinion issued in relation to any of the Loan Documents, and except to the extent such stamp, registration, notarial or similar Taxes or fees are necessary, the Company has paid or caused such amounts to be paid when due (or paid or caused such amounts (together with any interest and penalties) to be paid promptly after a Responsible Officer obtains knowledge of the same if such amounts were not paid when due).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886" w:right="339" w:bottom="1440" w:gutter="0" w:footer="0" w:header="0"/>
          <w:type w:val="continuous"/>
        </w:sectPr>
      </w:pPr>
    </w:p>
    <w:bookmarkStart w:id="95" w:name="page96"/>
    <w:bookmarkEnd w:id="95"/>
    <w:p>
      <w:pPr>
        <w:ind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3.17. </w:t>
      </w:r>
      <w:r>
        <w:rPr>
          <w:rFonts w:ascii="Times New Roman" w:cs="Times New Roman" w:eastAsia="Times New Roman" w:hAnsi="Times New Roman"/>
          <w:sz w:val="20"/>
          <w:szCs w:val="20"/>
          <w:u w:val="single" w:color="auto"/>
          <w:color w:val="000000"/>
        </w:rPr>
        <w:t>Environmental Matters</w:t>
      </w:r>
      <w:r>
        <w:rPr>
          <w:rFonts w:ascii="Times New Roman" w:cs="Times New Roman" w:eastAsia="Times New Roman" w:hAnsi="Times New Roman"/>
          <w:sz w:val="20"/>
          <w:szCs w:val="20"/>
          <w:color w:val="000000"/>
        </w:rPr>
        <w:t>. Except as set forth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3.17</w:t>
      </w:r>
      <w:r>
        <w:rPr>
          <w:rFonts w:ascii="Times New Roman" w:cs="Times New Roman" w:eastAsia="Times New Roman" w:hAnsi="Times New Roman"/>
          <w:sz w:val="20"/>
          <w:szCs w:val="20"/>
          <w:color w:val="000000"/>
        </w:rPr>
        <w:t>, each of the following is true and correct,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other than exceptions to any of the following that, in the aggregate, would not reasonably be expected to have a Material Adverse Effect:</w:t>
      </w:r>
    </w:p>
    <w:p>
      <w:pPr>
        <w:spacing w:after="0" w:line="173" w:lineRule="exact"/>
        <w:rPr>
          <w:sz w:val="20"/>
          <w:szCs w:val="20"/>
          <w:color w:val="auto"/>
        </w:rPr>
      </w:pPr>
    </w:p>
    <w:p>
      <w:pPr>
        <w:jc w:val="both"/>
        <w:ind w:firstLine="1304"/>
        <w:spacing w:after="0" w:line="258" w:lineRule="auto"/>
        <w:tabs>
          <w:tab w:leader="none" w:pos="1713"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properties currently owned or operated by the Company or any of its Subsidiaries does not contain, and has not previously contained, any Materials of Environmental Concern in amounts or concentrations which (i) constitute or constituted a violation of, or (ii) could reasonably give rise to liability to the Company or any of its Subsidiaries under, any applicable Environmental Laws.</w:t>
      </w:r>
    </w:p>
    <w:p>
      <w:pPr>
        <w:spacing w:after="0" w:line="212"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724"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are and have been in compliance with all applicable Environmental Laws, and to the knowledge of a Responsible Officer of the Company there is no contamination or violation of any applicable Environmental Law which, in the aggregate with all other contaminations and violations, could reasonably be expected to interfere with the continued operations or the business of the Company and its Subsidiaries.</w:t>
      </w:r>
    </w:p>
    <w:p>
      <w:pPr>
        <w:spacing w:after="0" w:line="214"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02"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received any notice of violation, alleged violation, non-compliance, liability or potential liability regarding environmental matters or compliance with Environmental Laws nor is it reasonably expected that any such notice will be received or is being threatened.</w:t>
      </w:r>
    </w:p>
    <w:p>
      <w:pPr>
        <w:spacing w:after="0" w:line="208"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92"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knowledge of a Responsible Officer of the Company, (i) Materials of Environmental Concern have not been transported or disposed of in violation of, or in a manner or to a location which would reasonably be expected to give rise to liability to the Company or any of its Subsidiaries under any applicable Environmental Laws, and (ii) Materials of Environmental Concern have not been generated, treated, stored or disposed of at, on or under any of the Company’s or any of its Subsidiaries’ properties in a manner that would reasonably be expected to give rise to liability to the Company or any of its Subsidiaries under, any applicable Environmental Laws.</w:t>
      </w:r>
    </w:p>
    <w:p>
      <w:pPr>
        <w:spacing w:after="0" w:line="218"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81"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judicial proceedings or governmental or administrative action is pending, or, to the knowledge of the Company, threatened, under any Environmental Law to which the Company or any of its Subsidiaries is or to the knowledge of a Responsible Officer of the Company will be named as a party or which will adversely affect the ability of the Company or any of its Subsidiaries to conduct any part of their business nor are there any consent decrees or other decrees, consent orders, administrative orders or other orders, or other administrative or judicial requirements outstanding under any applicable Environmental Law with respect to the Company or any of its Subsidiaries.</w:t>
      </w:r>
    </w:p>
    <w:p>
      <w:pPr>
        <w:spacing w:after="0" w:line="20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73"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has been no release or threat of release of Materials of Environmental Concern at any location for which the Company or any of its Subsidiaries is liable by contract or operation of law, in violation of or in amounts or in a manner that would reasonably be expected to give rise to liability to the Company or any of its Subsidiaries under any applicable Environmental Laws.</w:t>
      </w:r>
    </w:p>
    <w:p>
      <w:pPr>
        <w:spacing w:after="0" w:line="208" w:lineRule="exact"/>
        <w:rPr>
          <w:sz w:val="20"/>
          <w:szCs w:val="20"/>
          <w:color w:val="auto"/>
        </w:rPr>
      </w:pPr>
    </w:p>
    <w:p>
      <w:pPr>
        <w:jc w:val="both"/>
        <w:ind w:firstLine="1296"/>
        <w:spacing w:after="0" w:line="240" w:lineRule="exact"/>
        <w:rPr>
          <w:sz w:val="20"/>
          <w:szCs w:val="20"/>
          <w:color w:val="auto"/>
        </w:rPr>
      </w:pPr>
      <w:r>
        <w:rPr>
          <w:rFonts w:ascii="Times New Roman" w:cs="Times New Roman" w:eastAsia="Times New Roman" w:hAnsi="Times New Roman"/>
          <w:sz w:val="19"/>
          <w:szCs w:val="19"/>
          <w:color w:val="010000"/>
        </w:rPr>
        <w:t xml:space="preserve">SECTION 3.18. </w:t>
      </w:r>
      <w:r>
        <w:rPr>
          <w:rFonts w:ascii="Times New Roman" w:cs="Times New Roman" w:eastAsia="Times New Roman" w:hAnsi="Times New Roman"/>
          <w:sz w:val="19"/>
          <w:szCs w:val="19"/>
          <w:u w:val="single" w:color="auto"/>
          <w:color w:val="000000"/>
        </w:rPr>
        <w:t>Intellectual Property</w:t>
      </w:r>
      <w:r>
        <w:rPr>
          <w:rFonts w:ascii="Times New Roman" w:cs="Times New Roman" w:eastAsia="Times New Roman" w:hAnsi="Times New Roman"/>
          <w:sz w:val="19"/>
          <w:szCs w:val="19"/>
          <w:color w:val="000000"/>
        </w:rPr>
        <w:t>. The Company and each of its Subsidiaries owns, or is licensed to use, 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trademarks, tradenames, copyrights, technology, know</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how and processes necessary for the conduct of its business as currently conducted except for those the failure of which to own or license would not reasonably be expected to have a Material Adverse Effect (the “</w:t>
      </w:r>
      <w:r>
        <w:rPr>
          <w:rFonts w:ascii="Times New Roman" w:cs="Times New Roman" w:eastAsia="Times New Roman" w:hAnsi="Times New Roman"/>
          <w:sz w:val="19"/>
          <w:szCs w:val="19"/>
          <w:u w:val="single" w:color="auto"/>
          <w:color w:val="000000"/>
        </w:rPr>
        <w:t>Significant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Intellectual Property</w:t>
      </w:r>
      <w:r>
        <w:rPr>
          <w:rFonts w:ascii="Times New Roman" w:cs="Times New Roman" w:eastAsia="Times New Roman" w:hAnsi="Times New Roman"/>
          <w:sz w:val="19"/>
          <w:szCs w:val="19"/>
          <w:color w:val="000000"/>
        </w:rPr>
        <w:t>”). No claim has been asserted and is pending by any Person challenging or questioning the use of any such Significant Intellectual Property or the validity or effectiveness of any such Significant Intellectual Property, and no Responsible Officer of the Company knows of any valid basis for any such claim, except for such claims which would not reasonably be expected to have a Material Adverse Effect. The use of such Significant Intellectual Property by the Company and its Subsidiaries does not infringe on the rights of any Person, except for such claims and infringements that, in the aggregate, would not reasonably be expected to have a Material Adverse Effect.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129" w:right="339" w:bottom="1440" w:gutter="0" w:footer="0" w:header="0"/>
        </w:sectPr>
      </w:pPr>
    </w:p>
    <w:bookmarkStart w:id="96" w:name="page97"/>
    <w:bookmarkEnd w:id="96"/>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3.19. </w:t>
      </w:r>
      <w:r>
        <w:rPr>
          <w:rFonts w:ascii="Times New Roman" w:cs="Times New Roman" w:eastAsia="Times New Roman" w:hAnsi="Times New Roman"/>
          <w:sz w:val="20"/>
          <w:szCs w:val="20"/>
          <w:u w:val="single" w:color="auto"/>
          <w:color w:val="000000"/>
        </w:rPr>
        <w:t>Security Documents</w:t>
      </w:r>
      <w:r>
        <w:rPr>
          <w:rFonts w:ascii="Times New Roman" w:cs="Times New Roman" w:eastAsia="Times New Roman" w:hAnsi="Times New Roman"/>
          <w:sz w:val="20"/>
          <w:szCs w:val="20"/>
          <w:color w:val="000000"/>
        </w:rPr>
        <w:t>. Except to the extent otherwise noted therein, the Guarantee and Collateral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Agreement and each Foreign Pledge Agreement are effective to create, or continue, in favor of the Administrative Agent, for the benefit of the Lenders (or, where required by law, in favor of each Lender), a legal, valid and enforceable security interest in the Collateral described therein and the proceeds thereof. In the case of (i) the Pledged Stock described and defined in the Guarantee and Collateral Agreement, except to the extent otherwise noted therein, when stock certificates representing such Pledged Stock are delivered to the Administrative Agent, (ii) the other Collateral described and defined in the Guarantee and Collateral Agreement, except to the extent otherwise noted therein, when the financing statements specified on </w:t>
      </w:r>
      <w:r>
        <w:rPr>
          <w:rFonts w:ascii="Times New Roman" w:cs="Times New Roman" w:eastAsia="Times New Roman" w:hAnsi="Times New Roman"/>
          <w:sz w:val="20"/>
          <w:szCs w:val="20"/>
          <w:u w:val="single" w:color="auto"/>
          <w:color w:val="000000"/>
        </w:rPr>
        <w:t>Schedule 3.19(ii)</w:t>
      </w:r>
      <w:r>
        <w:rPr>
          <w:rFonts w:ascii="Times New Roman" w:cs="Times New Roman" w:eastAsia="Times New Roman" w:hAnsi="Times New Roman"/>
          <w:sz w:val="20"/>
          <w:szCs w:val="20"/>
          <w:color w:val="000000"/>
        </w:rPr>
        <w:t xml:space="preserve"> in appropriate form are filed in the offices specified on </w:t>
      </w:r>
      <w:r>
        <w:rPr>
          <w:rFonts w:ascii="Times New Roman" w:cs="Times New Roman" w:eastAsia="Times New Roman" w:hAnsi="Times New Roman"/>
          <w:sz w:val="20"/>
          <w:szCs w:val="20"/>
          <w:u w:val="single" w:color="auto"/>
          <w:color w:val="000000"/>
        </w:rPr>
        <w:t>Schedule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3.19(ii)</w:t>
      </w:r>
      <w:r>
        <w:rPr>
          <w:rFonts w:ascii="Times New Roman" w:cs="Times New Roman" w:eastAsia="Times New Roman" w:hAnsi="Times New Roman"/>
          <w:sz w:val="20"/>
          <w:szCs w:val="20"/>
          <w:color w:val="000000"/>
        </w:rPr>
        <w:t xml:space="preserve"> and (iii) the filings and other actions are made in respect of the Foreign Pledge Agreements specified on </w:t>
      </w:r>
      <w:r>
        <w:rPr>
          <w:rFonts w:ascii="Times New Roman" w:cs="Times New Roman" w:eastAsia="Times New Roman" w:hAnsi="Times New Roman"/>
          <w:sz w:val="20"/>
          <w:szCs w:val="20"/>
          <w:u w:val="single" w:color="auto"/>
          <w:color w:val="000000"/>
        </w:rPr>
        <w:t>Schedule 3.19(iii)</w:t>
      </w:r>
      <w:r>
        <w:rPr>
          <w:rFonts w:ascii="Times New Roman" w:cs="Times New Roman" w:eastAsia="Times New Roman" w:hAnsi="Times New Roman"/>
          <w:sz w:val="20"/>
          <w:szCs w:val="20"/>
          <w:color w:val="000000"/>
        </w:rPr>
        <w:t>, each Security Document shall constitute a fully perfected Lien on, and security interest in, all right, title and interest of the Loan Parties in such Collateral and the proceeds thereof, as security for the Obligations, in each case prior and superior in right to any other Person, subject to Liens permitted by Section 6.01. The pledge of the voting Capital Stock of any Foreign Subsidiary will be limited to 65% of such Capital Stock of such Foreign Subsidiary, but no other assets of Foreign Subsidiaries of the Company shall be pledged as collateral security.</w:t>
      </w:r>
    </w:p>
    <w:p>
      <w:pPr>
        <w:spacing w:after="0" w:line="20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3.20. </w:t>
      </w:r>
      <w:r>
        <w:rPr>
          <w:rFonts w:ascii="Times New Roman" w:cs="Times New Roman" w:eastAsia="Times New Roman" w:hAnsi="Times New Roman"/>
          <w:sz w:val="20"/>
          <w:szCs w:val="20"/>
          <w:u w:val="single" w:color="auto"/>
          <w:color w:val="000000"/>
        </w:rPr>
        <w:t>Solvency</w:t>
      </w:r>
      <w:r>
        <w:rPr>
          <w:rFonts w:ascii="Times New Roman" w:cs="Times New Roman" w:eastAsia="Times New Roman" w:hAnsi="Times New Roman"/>
          <w:sz w:val="20"/>
          <w:szCs w:val="20"/>
          <w:color w:val="000000"/>
        </w:rPr>
        <w:t>. The Company and its Subsidiaries, on a consolidated basis, are, and after giving effect to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Refinancing and the incurrence of all Indebtedness and obligations being incurred in connection herewith and therewith will be and will continue to be, Solvent.</w:t>
      </w:r>
    </w:p>
    <w:p>
      <w:pPr>
        <w:spacing w:after="0" w:line="208"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3.21.</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5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3.22. </w:t>
      </w:r>
      <w:r>
        <w:rPr>
          <w:rFonts w:ascii="Times New Roman" w:cs="Times New Roman" w:eastAsia="Times New Roman" w:hAnsi="Times New Roman"/>
          <w:sz w:val="20"/>
          <w:szCs w:val="20"/>
          <w:u w:val="single" w:color="auto"/>
          <w:color w:val="000000"/>
        </w:rPr>
        <w:t>Outbound Investment Rules</w:t>
      </w:r>
      <w:r>
        <w:rPr>
          <w:rFonts w:ascii="Times New Roman" w:cs="Times New Roman" w:eastAsia="Times New Roman" w:hAnsi="Times New Roman"/>
          <w:sz w:val="20"/>
          <w:szCs w:val="20"/>
          <w:color w:val="000000"/>
        </w:rPr>
        <w:t>. Neither the Company nor any of its Subsidiaries is a ‘covered foreign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person’ as that term is used in the Outbound Investment Rules.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any Company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 .</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IV</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4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4.01. </w:t>
      </w:r>
      <w:r>
        <w:rPr>
          <w:rFonts w:ascii="Times New Roman" w:cs="Times New Roman" w:eastAsia="Times New Roman" w:hAnsi="Times New Roman"/>
          <w:sz w:val="20"/>
          <w:szCs w:val="20"/>
          <w:u w:val="single" w:color="auto"/>
          <w:color w:val="000000"/>
        </w:rPr>
        <w:t>Effective Date</w:t>
      </w:r>
      <w:r>
        <w:rPr>
          <w:rFonts w:ascii="Times New Roman" w:cs="Times New Roman" w:eastAsia="Times New Roman" w:hAnsi="Times New Roman"/>
          <w:sz w:val="20"/>
          <w:szCs w:val="20"/>
          <w:color w:val="000000"/>
        </w:rPr>
        <w:t>. The obligations of the Lenders to make Loans and of the Issuing Banks to issue Letters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Credit hereunder shall not become effective until the date on which each of the following conditions is satisfied:</w:t>
      </w:r>
    </w:p>
    <w:p>
      <w:pPr>
        <w:spacing w:after="0" w:line="187" w:lineRule="exact"/>
        <w:rPr>
          <w:sz w:val="20"/>
          <w:szCs w:val="20"/>
          <w:color w:val="auto"/>
        </w:rPr>
      </w:pPr>
    </w:p>
    <w:p>
      <w:pPr>
        <w:jc w:val="both"/>
        <w:ind w:firstLine="1304"/>
        <w:spacing w:after="0" w:line="254" w:lineRule="auto"/>
        <w:tabs>
          <w:tab w:leader="none" w:pos="1767"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(or its counsel) shall have received from each party hereto either (A) a counterpart of this Agreement signed on behalf of such party or (B) written evidence satisfactory to the Administrative Agent (which, subject to Section 9.06, may include any Electronic Signatures transmitted by telecopy, emailed pdf, or any other electronic means that reproduces an image of an actual executed signature page) that such party has signed a counterpart of this Agreement.</w:t>
      </w:r>
    </w:p>
    <w:p>
      <w:pPr>
        <w:spacing w:after="0" w:line="214"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65"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favorable written opinions (addressed to the Administrative Agent and the Lenders and dated the Effective Date) of (i) Hunton Andrews Kurth LLP, special US counsel for the Loan Parties, (ii) Vorys, Sater, Seymour and Pease LLP, special Ohio counsel for the Loan Parties, (iii) Brownstein Hyatt Farber Schreck, LLP, special Nevada counsel for the Loan Parties, and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129" w:right="339" w:bottom="1440" w:gutter="0" w:footer="0" w:header="0"/>
        </w:sectPr>
      </w:pPr>
    </w:p>
    <w:bookmarkStart w:id="97" w:name="page98"/>
    <w:bookmarkEnd w:id="97"/>
    <w:p>
      <w:pPr>
        <w:jc w:val="both"/>
        <w:ind w:firstLine="8"/>
        <w:spacing w:after="0" w:line="261" w:lineRule="auto"/>
        <w:tabs>
          <w:tab w:leader="none" w:pos="359"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Borden Ladner Gervais LLP, special Canadian counsel for the Loan Parties, in each case covering such matters relating to the Loan Parties, the Loan Documents or the Transactions as the Administrative Agent shall reasonably request. The Company hereby requests such counsel to deliver such opinion.</w:t>
      </w:r>
    </w:p>
    <w:p>
      <w:pPr>
        <w:spacing w:after="0" w:line="20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35"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such documents and certificates as the Administrative Agent or its counsel may reasonably request relating to the organization or incorporation, existence and, where applicable,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18"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24"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a certificate, dated the Effective Date and signed by the President, a Vice President or a Responsible Officer of the Company, certifying (i) that the representations and warranties contained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are true and correct in all material respects (or, in the case of any representation or warranty qualified by materiality or Material Adverse Effect, in all respects) as of such date and (ii) that no Default or Event of Default has occurred and is continuing as of such date.</w:t>
      </w:r>
    </w:p>
    <w:p>
      <w:pPr>
        <w:spacing w:after="0" w:line="19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40"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from the Borrowers, (i) for the benefit of each Term Lender under (and as defined in) the Existing Credit Agreement payment of the outstanding principal amount of all Term Loans under (and as defined in) the Existing Credit Agreement and all accrued interest thereon.</w:t>
      </w:r>
    </w:p>
    <w:p>
      <w:pPr>
        <w:spacing w:after="0" w:line="208"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46"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Administrative Agent shall have received, at least five (5) days prior to the Effective Date, all documentation and other information regarding the initial Borrowers requested in connection with applicable “know your customer” and anti-money laundering rules and regulations, including the Patriot Act, to the extent requested in writing of the Company at least ten (10) days prior to the Effective Date and (ii) to the extent any initial Borrower qualifies as a “legal entity customer” under the Beneficial Ownership Regulation, at least five (5) days prior to the Effective Date, any Lender that has requested, in a written notice to the Company at least ten (10)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(f) shall be deemed to be satisfied).</w:t>
      </w:r>
    </w:p>
    <w:p>
      <w:pPr>
        <w:spacing w:after="0" w:line="22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51"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(or provisions reasonably satisfactory to the Administrative Agent shall have been made for the concurrent payment of) all fees and other amounts due and payable on or prior to the Effective Date, including, to the extent invoiced, reimbursement or payment of all out-of-pocket expenses required to be reimbursed or paid by the Company hereunder.</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purpose of determining compliance with the conditions specified in this Section 4.01, each Lender that has signed this Agreement shall be deemed to have accepted, and to be satisfied with, each document or other matter required under this Section 4.01 unless the Administrative Agent shall have received written notice from such Lender prior to the proposed Effective Date specifying its objection thereto. The Administrative Agent shall notify the Company and the Lenders of the Effective Date, and such notice shall be conclusive and binding.</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4.02. </w:t>
      </w:r>
      <w:r>
        <w:rPr>
          <w:rFonts w:ascii="Times New Roman" w:cs="Times New Roman" w:eastAsia="Times New Roman" w:hAnsi="Times New Roman"/>
          <w:sz w:val="20"/>
          <w:szCs w:val="20"/>
          <w:u w:val="single" w:color="auto"/>
          <w:color w:val="000000"/>
        </w:rPr>
        <w:t>Each Credit Event</w:t>
      </w:r>
      <w:r>
        <w:rPr>
          <w:rFonts w:ascii="Times New Roman" w:cs="Times New Roman" w:eastAsia="Times New Roman" w:hAnsi="Times New Roman"/>
          <w:sz w:val="20"/>
          <w:szCs w:val="20"/>
          <w:color w:val="000000"/>
        </w:rPr>
        <w:t>. The obligation of each Lender to make a Loan on the occasion of any Borrowing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(other than in the case of a refinancing of a Borrowing with a new Borrowing that does not increase the aggregate principal amount of the Loans of any Lender outstanding), and of the Issuing Banks to issue, amend or extend any Letter of Credit, is subject to the satisfaction of the following conditions:</w:t>
      </w:r>
    </w:p>
    <w:p>
      <w:pPr>
        <w:spacing w:after="0" w:line="213" w:lineRule="exact"/>
        <w:rPr>
          <w:sz w:val="20"/>
          <w:szCs w:val="20"/>
          <w:color w:val="auto"/>
        </w:rPr>
      </w:pPr>
    </w:p>
    <w:p>
      <w:pPr>
        <w:ind w:firstLine="1304"/>
        <w:spacing w:after="0" w:line="269" w:lineRule="auto"/>
        <w:tabs>
          <w:tab w:leader="none" w:pos="1727"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of the Borrowers set forth in this Agreement shall be true and correct in all material respects (or, in the case of any representation or warranty qualified by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886" w:right="339" w:bottom="1440" w:gutter="0" w:footer="0" w:header="0"/>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20"/>
          <w:szCs w:val="20"/>
          <w:color w:val="auto"/>
        </w:rPr>
        <w:t>materiality or Material Adverse Effect, in all respects) on and as of the date of such Borrowing or the date of issuance, amendment or extension of such Letter of Credit, as applicable,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spacing w:after="0" w:line="199" w:lineRule="exact"/>
        <w:rPr>
          <w:sz w:val="20"/>
          <w:szCs w:val="20"/>
          <w:color w:val="auto"/>
        </w:rPr>
      </w:pPr>
    </w:p>
    <w:p>
      <w:pPr>
        <w:ind w:firstLine="1304"/>
        <w:spacing w:after="0" w:line="283" w:lineRule="auto"/>
        <w:tabs>
          <w:tab w:leader="none" w:pos="1738"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time of and immediately after giving effect to such Borrowing or the issuance, amendment or extension of such Letter of Credit, as applicable, no Default or Event of Default shall have occurred and be continuing.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request for Borrowing (but not any Interest Election Request) and each issuance, amendment or extension of a Letter of Credit shall be deemed to constitute a representation and warranty by the Borrowers on the date thereof as to the matters specified in paragraphs (a) and (b) of this Section.</w:t>
      </w:r>
    </w:p>
    <w:p>
      <w:pPr>
        <w:spacing w:after="0" w:line="19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4.03. </w:t>
      </w:r>
      <w:r>
        <w:rPr>
          <w:rFonts w:ascii="Times New Roman" w:cs="Times New Roman" w:eastAsia="Times New Roman" w:hAnsi="Times New Roman"/>
          <w:sz w:val="20"/>
          <w:szCs w:val="20"/>
          <w:u w:val="single" w:color="auto"/>
          <w:color w:val="000000"/>
        </w:rPr>
        <w:t>Designation of a Subsidiary Borrower</w:t>
      </w:r>
      <w:r>
        <w:rPr>
          <w:rFonts w:ascii="Times New Roman" w:cs="Times New Roman" w:eastAsia="Times New Roman" w:hAnsi="Times New Roman"/>
          <w:sz w:val="20"/>
          <w:szCs w:val="20"/>
          <w:color w:val="000000"/>
        </w:rPr>
        <w:t>. The designation of a Subsidiary Borrower pursuant to Section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2.23 is subject to the condition precedent that the Company or such proposed Subsidiary Borrower shall have furnished or caused to be furnished to the Administrative Agent:</w:t>
      </w:r>
    </w:p>
    <w:p>
      <w:pPr>
        <w:spacing w:after="0" w:line="188" w:lineRule="exact"/>
        <w:rPr>
          <w:sz w:val="20"/>
          <w:szCs w:val="20"/>
          <w:color w:val="auto"/>
        </w:rPr>
      </w:pPr>
    </w:p>
    <w:p>
      <w:pPr>
        <w:jc w:val="both"/>
        <w:ind w:firstLine="1304"/>
        <w:spacing w:after="0" w:line="257" w:lineRule="auto"/>
        <w:tabs>
          <w:tab w:leader="none" w:pos="1754"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Copies, certified by the Secretary or Assistant Secretary of such Subsidiary, of its board of directors’ resolutions (and resolutions of other bodies, if any are deemed necessary by counsel for the Administrative Agent) approving the Subsidiary Borrower Agreement and any other Loan Documents to which such Subsidiary is becoming a party and such documents and certificates as the Administrative Agent or its counsel may reasonably request relating to the organization or incorporation, existence and good standing of such Subsidiary;</w:t>
      </w:r>
    </w:p>
    <w:p>
      <w:pPr>
        <w:spacing w:after="0" w:line="199"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24"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incumbency certificate, executed by the Secretary or Assistant Secretary of such Subsidiary, which shall identify by name and title and bear the signature of the officers of such Subsidiary authorized to request Borrowings hereunder and sign the Subsidiary Borrower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199" w:lineRule="exact"/>
        <w:rPr>
          <w:rFonts w:ascii="Times New Roman" w:cs="Times New Roman" w:eastAsia="Times New Roman" w:hAnsi="Times New Roman"/>
          <w:sz w:val="20"/>
          <w:szCs w:val="20"/>
          <w:color w:val="010000"/>
        </w:rPr>
      </w:pPr>
    </w:p>
    <w:p>
      <w:pPr>
        <w:jc w:val="both"/>
        <w:ind w:right="20" w:firstLine="1304"/>
        <w:spacing w:after="0" w:line="268" w:lineRule="auto"/>
        <w:tabs>
          <w:tab w:leader="none" w:pos="1727"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spacing w:after="0" w:line="188"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24"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documentation and other information related to such Subsidiary reasonably requested by the Administrative Agent or any Lender under applicable “know your customer” or similar rules and regulations, including the Act and the Beneficial Ownership Regulation; and</w:t>
      </w:r>
    </w:p>
    <w:p>
      <w:pPr>
        <w:spacing w:after="0" w:line="208" w:lineRule="exact"/>
        <w:rPr>
          <w:rFonts w:ascii="Times New Roman" w:cs="Times New Roman" w:eastAsia="Times New Roman" w:hAnsi="Times New Roman"/>
          <w:sz w:val="20"/>
          <w:szCs w:val="20"/>
          <w:color w:val="010000"/>
        </w:rPr>
      </w:pPr>
    </w:p>
    <w:p>
      <w:pPr>
        <w:ind w:firstLine="1304"/>
        <w:spacing w:after="0" w:line="283" w:lineRule="auto"/>
        <w:tabs>
          <w:tab w:leader="none" w:pos="1740"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promissory notes requested by any Lender, and any other instruments and documents reasonably requested by the Administrative Agent; and</w:t>
      </w:r>
    </w:p>
    <w:p>
      <w:pPr>
        <w:spacing w:after="0" w:line="173"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00"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documentation and other information that is reasonably requested by the Administrative Agent or any of the Lenders and that is required by regulatory authorities under applicable “know-your-customer” and Anti-Money Laundering Laws, including the Patriot Act and the Beneficial Ownership Regulation.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886" w:right="339" w:bottom="1440" w:gutter="0" w:footer="0" w:header="0"/>
        </w:sectPr>
      </w:pPr>
    </w:p>
    <w:bookmarkStart w:id="99" w:name="page100"/>
    <w:bookmarkEnd w:id="99"/>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Company hereby agrees that, until the Commitments have expired or been terminated and the principal of and interest on each Loan and all fees payable hereunder shall have been paid in full (other than Unliquidated Obligations) and all Letters of Credit shall have expired or terminated, in each case, without any pending draw, and all LC Disbursements shall have been reimbursed, the Company shall, and in the case of the agreements set forth in Sections 5.03, 5.04, 5.05, 5.06, 5.07, 5.11 and 5.12, shall cause each of its Material Subsidiaries to:</w:t>
      </w:r>
    </w:p>
    <w:p>
      <w:pPr>
        <w:spacing w:after="0" w:line="219"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5.01.</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Furnish to the Administrative Agent (for distribution to each Lender):</w:t>
      </w:r>
    </w:p>
    <w:p>
      <w:pPr>
        <w:spacing w:after="0" w:line="256" w:lineRule="exact"/>
        <w:rPr>
          <w:sz w:val="20"/>
          <w:szCs w:val="20"/>
          <w:color w:val="auto"/>
        </w:rPr>
      </w:pPr>
    </w:p>
    <w:p>
      <w:pPr>
        <w:jc w:val="both"/>
        <w:ind w:firstLine="1304"/>
        <w:spacing w:after="0" w:line="253" w:lineRule="auto"/>
        <w:tabs>
          <w:tab w:leader="none" w:pos="174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soon as available, but in any event within 90 days after the end of each fiscal year of the Company (beginning with the fiscal year ending September 30, 2026), a copy of the audited consolidated balance sheet of the Company and its Subsidiaries as at the end of such year and the related statements of consolidated income and retained earnings and of cash flows for such year, setting forth in each case in comparative form the figures for the previous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consolidated statements shall be certified by independent certified public accountants of nationally recognized standing without a “going concern” or like qualification or exception or qualification arising out of the scope of the audit;</w:t>
      </w:r>
    </w:p>
    <w:p>
      <w:pPr>
        <w:spacing w:after="0" w:line="205"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51"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available, but in any event not later than 45 days after the end of each of the first three quarterly periods of each fiscal year of the Company (beginning with the fiscal quarter ending on or about December 31, 2025), a copy of the unaudited consolidated balance sheet of the Company and its Subsidiaries as at the end of each such quarter and the related unaudited statements of consolidated income and retained earnings and of cash flows for such quarter and the portion of the fiscal year through such date setting forth in each case in comparative form the figures for the previous year, certified by a Responsible Officer of the Company as being fairly stated in all material respects; and</w:t>
      </w:r>
    </w:p>
    <w:p>
      <w:pPr>
        <w:spacing w:after="0" w:line="219"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889"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010000"/>
        </w:rPr>
        <w:t>f</w:t>
      </w:r>
      <w:r>
        <w:rPr>
          <w:rFonts w:ascii="Times New Roman" w:cs="Times New Roman" w:eastAsia="Times New Roman" w:hAnsi="Times New Roman"/>
          <w:sz w:val="20"/>
          <w:szCs w:val="20"/>
          <w:color w:val="000000"/>
        </w:rPr>
        <w:t>or any period during which there are any Excluded Entities, simultaneously with the delivery of each set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consolidated financial statements referred to in Sections 5.01(a) and 5.01(b) above, reasonable supplemental financial information reflecting adjustments necessary to eliminate the accounts of the Excluded Entities (if any) from such consolidated financial statements (which may be in footnote form);</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such financial statements to be complete and correct in all material respects and prepared in reasonable detail and in accordance with GAAP (except, in the case of the financial statements referred to in subparagraph (b), such financial statements need not contain notes and shall be prepared substantially in accordance with GAAP) applied consistently throughout the periods reflected therein, except as otherwise disclosed in the notes thereto.</w:t>
      </w:r>
    </w:p>
    <w:p>
      <w:pPr>
        <w:spacing w:after="0" w:line="19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Any financial statement or other documents required to be delivered pursuant to this Section 5.01 or Section 5.02(c) below shall be deemed to have been delivered on the date on which the Company posts such financial statement or other document on its website at www.scotts.com or when such financial statement or other document is posted on the SEC’s website at www.sec.gov.</w:t>
      </w:r>
    </w:p>
    <w:p>
      <w:pPr>
        <w:spacing w:after="0" w:line="188"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5.02.</w:t>
      </w:r>
      <w:r>
        <w:rPr>
          <w:sz w:val="20"/>
          <w:szCs w:val="20"/>
          <w:color w:val="auto"/>
        </w:rPr>
        <w:tab/>
      </w:r>
      <w:r>
        <w:rPr>
          <w:rFonts w:ascii="Times New Roman" w:cs="Times New Roman" w:eastAsia="Times New Roman" w:hAnsi="Times New Roman"/>
          <w:sz w:val="19"/>
          <w:szCs w:val="19"/>
          <w:u w:val="single" w:color="auto"/>
          <w:color w:val="auto"/>
        </w:rPr>
        <w:t>Certificates; Other Information</w:t>
      </w:r>
      <w:r>
        <w:rPr>
          <w:rFonts w:ascii="Times New Roman" w:cs="Times New Roman" w:eastAsia="Times New Roman" w:hAnsi="Times New Roman"/>
          <w:sz w:val="19"/>
          <w:szCs w:val="19"/>
          <w:color w:val="auto"/>
        </w:rPr>
        <w:t>. Furnish to the Administrative Agent (for distribution to each Lender):</w:t>
      </w:r>
    </w:p>
    <w:p>
      <w:pPr>
        <w:spacing w:after="0" w:line="256" w:lineRule="exact"/>
        <w:rPr>
          <w:sz w:val="20"/>
          <w:szCs w:val="20"/>
          <w:color w:val="auto"/>
        </w:rPr>
      </w:pPr>
    </w:p>
    <w:p>
      <w:pPr>
        <w:jc w:val="both"/>
        <w:ind w:firstLine="1304"/>
        <w:spacing w:after="0" w:line="253" w:lineRule="auto"/>
        <w:tabs>
          <w:tab w:leader="none" w:pos="1740"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010000"/>
        </w:rPr>
        <w:t>c</w:t>
      </w:r>
      <w:r>
        <w:rPr>
          <w:rFonts w:ascii="Times New Roman" w:cs="Times New Roman" w:eastAsia="Times New Roman" w:hAnsi="Times New Roman"/>
          <w:sz w:val="20"/>
          <w:szCs w:val="20"/>
          <w:color w:val="000000"/>
        </w:rPr>
        <w:t>oncurrently with the delivery of the financial statements referred to in Section 5.01(a) and 5.01(b) above, a certificate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from a Responsible Officer of the Company (i) certifying as to whether a Default or Event of Default has occurred and, if a Default or Event of Default has occurred, specifying the details thereof and any action taken or proposed to be taken with respect thereto, (ii) showing in detail the calculations supporting such statement in respect of Sections 5.09 and 5.10 and (iii) certifying that the aggregate amount of all obligations under Lender Supply Chain Financing Agreements that constitute “Obligations” under this Agreement and the other Loan Documents secured by the Collateral does not exceed $125,000,000;</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886" w:right="339" w:bottom="1440" w:gutter="0" w:footer="0" w:header="0"/>
        </w:sectPr>
      </w:pPr>
    </w:p>
    <w:bookmarkStart w:id="100" w:name="page101"/>
    <w:bookmarkEnd w:id="100"/>
    <w:p>
      <w:pPr>
        <w:jc w:val="both"/>
        <w:ind w:firstLine="1304"/>
        <w:spacing w:after="0" w:line="258" w:lineRule="auto"/>
        <w:tabs>
          <w:tab w:leader="none" w:pos="1832"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available, and in any event no later than 90 days after the end of each fiscal year of the Company, a consolidated budget for the following fiscal year (including a projected consolidated balance sheet of the Company and its Subsidiaries as of the end of the following fiscal year, the related consolidated statements of projected income and cash flow and a description of the underlying assumptions applicable thereto) (collectively,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862"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after the same are sent and received, copies of all financial statements, reports and notices which the Company sends to its shareholders and promptly after the same are filed and received, copies of all financial statements and reports which the Company may make to, or file with, and copies of all material notices the Company receives from, the SEC or any public body succeeding to any or all of the functions of the SEC;</w:t>
      </w:r>
    </w:p>
    <w:p>
      <w:pPr>
        <w:spacing w:after="0" w:line="21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846"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upon receipt thereof, copies of all final reports submitted to the board of directors of the Company by independent certified public accountants in connection with each annual, interim or special audit of the books of the Company made by such accountants, including, without limitation, any letter to the board of directors of the Company by such accountants regarding internal controls (subject, in all cases, to applicable professional guidelines or ethical rules or the terms of any applicable engagement letter);</w:t>
      </w:r>
    </w:p>
    <w:p>
      <w:pPr>
        <w:spacing w:after="0" w:line="199" w:lineRule="exact"/>
        <w:rPr>
          <w:rFonts w:ascii="Times New Roman" w:cs="Times New Roman" w:eastAsia="Times New Roman" w:hAnsi="Times New Roman"/>
          <w:sz w:val="20"/>
          <w:szCs w:val="20"/>
          <w:color w:val="010000"/>
        </w:rPr>
      </w:pPr>
    </w:p>
    <w:p>
      <w:pPr>
        <w:jc w:val="both"/>
        <w:ind w:right="20" w:firstLine="1304"/>
        <w:spacing w:after="0" w:line="261" w:lineRule="auto"/>
        <w:tabs>
          <w:tab w:leader="none" w:pos="1767"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 and</w:t>
      </w:r>
    </w:p>
    <w:p>
      <w:pPr>
        <w:spacing w:after="0" w:line="208" w:lineRule="exact"/>
        <w:rPr>
          <w:rFonts w:ascii="Times New Roman" w:cs="Times New Roman" w:eastAsia="Times New Roman" w:hAnsi="Times New Roman"/>
          <w:sz w:val="20"/>
          <w:szCs w:val="20"/>
          <w:color w:val="010000"/>
        </w:rPr>
      </w:pPr>
    </w:p>
    <w:p>
      <w:pPr>
        <w:ind w:right="20" w:firstLine="1304"/>
        <w:spacing w:after="0" w:line="283" w:lineRule="auto"/>
        <w:tabs>
          <w:tab w:leader="none" w:pos="1732"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on reasonable notice to the Company, such additional financial and other information as the Administrative Agent or any Lender may from time to time reasonably request.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5.03. </w:t>
      </w:r>
      <w:r>
        <w:rPr>
          <w:rFonts w:ascii="Times New Roman" w:cs="Times New Roman" w:eastAsia="Times New Roman" w:hAnsi="Times New Roman"/>
          <w:sz w:val="20"/>
          <w:szCs w:val="20"/>
          <w:u w:val="single" w:color="auto"/>
          <w:color w:val="000000"/>
        </w:rPr>
        <w:t>Payment of Taxes</w:t>
      </w:r>
      <w:r>
        <w:rPr>
          <w:rFonts w:ascii="Times New Roman" w:cs="Times New Roman" w:eastAsia="Times New Roman" w:hAnsi="Times New Roman"/>
          <w:sz w:val="20"/>
          <w:szCs w:val="20"/>
          <w:color w:val="000000"/>
        </w:rPr>
        <w:t>. Pay its Tax liabilities that, if not paid, could reasonably be expected to result in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Material Adverse Effect before the same shall become delinquent or in default, except where Taxes that are being contested in good faith by appropriate proceedings and for which the Company or such Subsidiary, as applicable, has set aside on its books adequate reserves in accordance with GAAP.</w:t>
      </w:r>
    </w:p>
    <w:p>
      <w:pPr>
        <w:spacing w:after="0" w:line="19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5.04. </w:t>
      </w:r>
      <w:r>
        <w:rPr>
          <w:rFonts w:ascii="Times New Roman" w:cs="Times New Roman" w:eastAsia="Times New Roman" w:hAnsi="Times New Roman"/>
          <w:sz w:val="20"/>
          <w:szCs w:val="20"/>
          <w:u w:val="single" w:color="auto"/>
          <w:color w:val="000000"/>
        </w:rPr>
        <w:t>Compliance with Laws</w:t>
      </w:r>
      <w:r>
        <w:rPr>
          <w:rFonts w:ascii="Times New Roman" w:cs="Times New Roman" w:eastAsia="Times New Roman" w:hAnsi="Times New Roman"/>
          <w:sz w:val="20"/>
          <w:szCs w:val="20"/>
          <w:color w:val="000000"/>
        </w:rPr>
        <w:t>. (a) Comply with all laws, rules, regulations and orders of any Governmental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Authority and any Contractual Obligations applicable to it or its property, except where the failure to do so, individually or in the aggregate, could not reasonably be expected to result in a Material Adverse Effect and (b) maintain in effect and enforce policies and procedures reasonably designed to ensure compliance by the Company, its Subsidiaries and their respective directors, officers, employees and agents with Anti-Corruption Laws, Anti-Money Laundering Laws and Sanctions.</w:t>
      </w:r>
    </w:p>
    <w:p>
      <w:pPr>
        <w:spacing w:after="0" w:line="20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5.05. </w:t>
      </w:r>
      <w:r>
        <w:rPr>
          <w:rFonts w:ascii="Times New Roman" w:cs="Times New Roman" w:eastAsia="Times New Roman" w:hAnsi="Times New Roman"/>
          <w:sz w:val="20"/>
          <w:szCs w:val="20"/>
          <w:u w:val="single" w:color="auto"/>
          <w:color w:val="000000"/>
        </w:rPr>
        <w:t>Conduct of Business and Maintenance of Existence</w:t>
      </w:r>
      <w:r>
        <w:rPr>
          <w:rFonts w:ascii="Times New Roman" w:cs="Times New Roman" w:eastAsia="Times New Roman" w:hAnsi="Times New Roman"/>
          <w:sz w:val="20"/>
          <w:szCs w:val="20"/>
          <w:color w:val="000000"/>
        </w:rPr>
        <w:t>. Continue to engage in business of the same general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type as now conducted by it and, except as may be permitted under Section 6.03, preserve, renew and keep in full force and effect its corporate existence in its jurisdiction of organization and take all reasonable action to maintain all material rights, privileges, contracts, copyrights, patents, trademarks, tradenames and franchises necessary or desirable in the normal conduct of its business as then being conducted;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neither the Company nor any Material Subsidiary shall be required to preserve any such rights, privileges, contracts, copyrights, patents, trademarks, trade names and franchises if the Company or such Material Subsidiary should reasonably determine that the preservation thereof is no longer desirable in the conduct of the Company’s or such Material Subsidiary’s business.</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5.06. </w:t>
      </w:r>
      <w:r>
        <w:rPr>
          <w:rFonts w:ascii="Times New Roman" w:cs="Times New Roman" w:eastAsia="Times New Roman" w:hAnsi="Times New Roman"/>
          <w:sz w:val="20"/>
          <w:szCs w:val="20"/>
          <w:u w:val="single" w:color="auto"/>
          <w:color w:val="000000"/>
        </w:rPr>
        <w:t>Maintenance of Property; Insurance</w:t>
      </w:r>
      <w:r>
        <w:rPr>
          <w:rFonts w:ascii="Times New Roman" w:cs="Times New Roman" w:eastAsia="Times New Roman" w:hAnsi="Times New Roman"/>
          <w:sz w:val="20"/>
          <w:szCs w:val="20"/>
          <w:color w:val="000000"/>
        </w:rPr>
        <w:t>. Keep all property useful and necessary in its business in good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working order and condition (ordinary wear and tear and casualty excepted); maintain with financially sound and reputable insurance companies insurance on all its property in at least such</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129" w:right="339" w:bottom="1440" w:gutter="0" w:footer="0" w:header="0"/>
        </w:sectPr>
      </w:pPr>
    </w:p>
    <w:bookmarkStart w:id="101" w:name="page102"/>
    <w:bookmarkEnd w:id="101"/>
    <w:p>
      <w:pPr>
        <w:jc w:val="both"/>
        <w:spacing w:after="0" w:line="283" w:lineRule="auto"/>
        <w:rPr>
          <w:sz w:val="20"/>
          <w:szCs w:val="20"/>
          <w:color w:val="auto"/>
        </w:rPr>
      </w:pPr>
      <w:r>
        <w:rPr>
          <w:rFonts w:ascii="Times New Roman" w:cs="Times New Roman" w:eastAsia="Times New Roman" w:hAnsi="Times New Roman"/>
          <w:sz w:val="20"/>
          <w:szCs w:val="20"/>
          <w:color w:val="auto"/>
        </w:rPr>
        <w:t>amounts and against at least such risks as are usually insured against in the same general area by companies engaged in the same or a similar business; and furnish to the Administrative Agent, upon written request, reasonable information as to the insurance carried.</w:t>
      </w:r>
    </w:p>
    <w:p>
      <w:pPr>
        <w:spacing w:after="0" w:line="17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5.07. </w:t>
      </w:r>
      <w:r>
        <w:rPr>
          <w:rFonts w:ascii="Times New Roman" w:cs="Times New Roman" w:eastAsia="Times New Roman" w:hAnsi="Times New Roman"/>
          <w:sz w:val="20"/>
          <w:szCs w:val="20"/>
          <w:u w:val="single" w:color="auto"/>
          <w:color w:val="000000"/>
        </w:rPr>
        <w:t>Inspection of Property; Books and Records; Discussions</w:t>
      </w:r>
      <w:r>
        <w:rPr>
          <w:rFonts w:ascii="Times New Roman" w:cs="Times New Roman" w:eastAsia="Times New Roman" w:hAnsi="Times New Roman"/>
          <w:sz w:val="20"/>
          <w:szCs w:val="20"/>
          <w:color w:val="000000"/>
        </w:rPr>
        <w:t>. Keep proper books of record and account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accordance with GAAP; and permit representatives of the Administrative Agent (or upon the occurrence and during the continuance of an Event of Default, the Lenders), upon reasonable prior notice, to visit and inspect any of its properties during normal business hours, and examine and make abstracts from any of its books and records at the Company’s expense, and to discuss the business, operations, properties and financial and other condition of the Company and its Subsidiaries with officers and employees of the Company and its Subsidiaries and with its independent certified public accountants all at such reasonable times and as often as reasonably requested (provided that the Company may, if it so chooses, be present and participate in any such discussions);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so long as no Event of Default has occurred and is continuing, the Administrative Agent and its designated representatives shall not be reimbursed for more than one such visit and inspection per year.</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5.08. </w:t>
      </w:r>
      <w:r>
        <w:rPr>
          <w:rFonts w:ascii="Times New Roman" w:cs="Times New Roman" w:eastAsia="Times New Roman" w:hAnsi="Times New Roman"/>
          <w:sz w:val="20"/>
          <w:szCs w:val="20"/>
          <w:u w:val="single" w:color="auto"/>
          <w:color w:val="000000"/>
        </w:rPr>
        <w:t>Notices</w:t>
      </w:r>
      <w:r>
        <w:rPr>
          <w:rFonts w:ascii="Times New Roman" w:cs="Times New Roman" w:eastAsia="Times New Roman" w:hAnsi="Times New Roman"/>
          <w:sz w:val="20"/>
          <w:szCs w:val="20"/>
          <w:color w:val="000000"/>
        </w:rPr>
        <w:t>. Promptly give notice to the Administrative Agent (for distribution to each Lender) (and,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case of clauses (a) and (b) below, in any event within five Business Days after a Responsible Officer learns thereof):</w:t>
      </w:r>
    </w:p>
    <w:p>
      <w:pPr>
        <w:spacing w:after="0" w:line="200" w:lineRule="exact"/>
        <w:rPr>
          <w:sz w:val="20"/>
          <w:szCs w:val="20"/>
          <w:color w:val="auto"/>
        </w:rPr>
      </w:pPr>
    </w:p>
    <w:p>
      <w:pPr>
        <w:ind w:left="1720" w:hanging="416"/>
        <w:spacing w:after="0"/>
        <w:tabs>
          <w:tab w:leader="none" w:pos="172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of the occurrence of any Default or Event of Default;</w:t>
      </w:r>
    </w:p>
    <w:p>
      <w:pPr>
        <w:spacing w:after="0" w:line="24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51"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of any litigation or proceeding against or affecting the Company or any of its Subsidiaries (i) which, in the reasonable opinion of a Responsible Officer of the Company, if adversely determined, would reasonably be expected to have a Material Adverse Effect or (ii) in which injunctive or similar relief is sought and which, in the reasonable opinion of a Responsible Officer of the Company, if adversely determined, would reasonably be expected to have a Material Adverse Effect;</w:t>
      </w:r>
    </w:p>
    <w:p>
      <w:pPr>
        <w:spacing w:after="0" w:line="212"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727"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of the following events, as soon as possible and in any event within 30 days after the Company knows or has reason to know thereof: (i) the occurrence of any ERISA Event that, alone or together with any other ERISA Events that have occurred, could reasonably be expected to result in a Material Adverse Effect; or (ii) the occurrence of any Foreign Plan Event that, alone or together with any other Foreign Plan Events that have occurred, could reasonably be expected to result in a Material Adverse Effect;</w:t>
      </w:r>
    </w:p>
    <w:p>
      <w:pPr>
        <w:spacing w:after="0" w:line="214"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846"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promptly following receipt thereof, copies of any documents or notices described in Sections 101(k) or 101(l) of ERISA that the Company, any Subsidiary Borrower or any Commonly Controlled Entity requests with respect to any Multiemployer Plan or any documents described in Section 101(f) of ERISA that the Company, any Subsidiary Borrower or any Commonly Controlled Entity requests with respect to any Single Employer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any Subsidiary Borrower or any Commonly Controlled Entity has not requested such documents or notices from the administrator or sponsor of the applicable Multiemployer Plan, then, upon reasonable request of the Administrative Agent, the Company, Subsidiary Borrower(s) or Commonly Controlled Entity(ies) shall promptly make a request for such documents or notices from such administrator or sponsor and the Company shall provide copies of such documents and notices to the Administrative Agent promptly upon receipt thereof;</w:t>
      </w:r>
    </w:p>
    <w:p>
      <w:pPr>
        <w:spacing w:after="0" w:line="22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27"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decision or other action of any Governmental Authority which cancels, limits, or otherwise restricts the use or sale of any of the products (including any of the material active ingredients in any of the products) of the Company or any of its Subsidiaries which decision or other action, in the reasonable opinion of a Responsible Officer of the Company, would reasonably be expected to have a Material Adverse Effect; and</w:t>
      </w:r>
    </w:p>
    <w:p>
      <w:pPr>
        <w:spacing w:after="0" w:line="199" w:lineRule="exact"/>
        <w:rPr>
          <w:rFonts w:ascii="Times New Roman" w:cs="Times New Roman" w:eastAsia="Times New Roman" w:hAnsi="Times New Roman"/>
          <w:sz w:val="20"/>
          <w:szCs w:val="20"/>
          <w:color w:val="010000"/>
        </w:rPr>
      </w:pPr>
    </w:p>
    <w:p>
      <w:pPr>
        <w:ind w:left="1700" w:hanging="396"/>
        <w:spacing w:after="0"/>
        <w:tabs>
          <w:tab w:leader="none" w:pos="170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of any event, act or omission which would reasonably be expected to have a Material Adverse Effect.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886"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20"/>
          <w:szCs w:val="20"/>
          <w:color w:val="auto"/>
        </w:rPr>
        <w:t>Each notice pursuant to clauses (a) through (f) of this Section 5.08 shall be accompanied by a statement of the Chief Executive Officer or Chief Financial Officer or other Responsible Officer of the Company setting forth details of the occurrence referred to therein and stating what action the Company proposes to take with respect thereto. For all purposes of clause (d) of this Section 5.08, the Company shall be deemed to have knowledge of all facts attributable to the administrator of such Plan.</w:t>
      </w:r>
    </w:p>
    <w:p>
      <w:pPr>
        <w:spacing w:after="0" w:line="19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5.09. </w:t>
      </w:r>
      <w:r>
        <w:rPr>
          <w:rFonts w:ascii="Times New Roman" w:cs="Times New Roman" w:eastAsia="Times New Roman" w:hAnsi="Times New Roman"/>
          <w:sz w:val="20"/>
          <w:szCs w:val="20"/>
          <w:u w:val="single" w:color="auto"/>
          <w:color w:val="000000"/>
        </w:rPr>
        <w:t>Maintenance of Interest Coverage Ratio</w:t>
      </w:r>
      <w:r>
        <w:rPr>
          <w:rFonts w:ascii="Times New Roman" w:cs="Times New Roman" w:eastAsia="Times New Roman" w:hAnsi="Times New Roman"/>
          <w:sz w:val="20"/>
          <w:szCs w:val="20"/>
          <w:color w:val="000000"/>
        </w:rPr>
        <w:t>. Maintain the Interest Coverage Ratio, determined as of the end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its fiscal quarter ending on or about December 31, 2025 and each of its fiscal quarters ending thereafter, of not less than the applicable ratio set forth in the grid below:</w:t>
      </w:r>
    </w:p>
    <w:p>
      <w:pPr>
        <w:spacing w:after="0" w:line="218" w:lineRule="exact"/>
        <w:rPr>
          <w:sz w:val="20"/>
          <w:szCs w:val="20"/>
          <w:color w:val="auto"/>
        </w:rPr>
      </w:pPr>
    </w:p>
    <w:tbl>
      <w:tblPr>
        <w:tblLayout w:type="fixed"/>
        <w:tblInd w:w="1310" w:type="dxa"/>
        <w:tblCellMar>
          <w:top w:w="0" w:type="dxa"/>
          <w:left w:w="0" w:type="dxa"/>
          <w:bottom w:w="0" w:type="dxa"/>
          <w:right w:w="0" w:type="dxa"/>
        </w:tblCellMar>
      </w:tblPr>
      <w:tr>
        <w:trPr>
          <w:trHeight w:val="230"/>
        </w:trPr>
        <w:tc>
          <w:tcPr>
            <w:tcW w:w="4340" w:type="dxa"/>
            <w:vAlign w:val="bottom"/>
            <w:tcBorders>
              <w:top w:val="single" w:sz="8" w:color="auto"/>
              <w:left w:val="single" w:sz="8" w:color="auto"/>
              <w:right w:val="single" w:sz="8" w:color="auto"/>
            </w:tcBorders>
            <w:gridSpan w:val="3"/>
          </w:tcPr>
          <w:p>
            <w:pPr>
              <w:ind w:left="760"/>
              <w:spacing w:after="0"/>
              <w:rPr>
                <w:sz w:val="20"/>
                <w:szCs w:val="20"/>
                <w:color w:val="auto"/>
              </w:rPr>
            </w:pPr>
            <w:r>
              <w:rPr>
                <w:rFonts w:ascii="Times New Roman" w:cs="Times New Roman" w:eastAsia="Times New Roman" w:hAnsi="Times New Roman"/>
                <w:sz w:val="20"/>
                <w:szCs w:val="20"/>
                <w:color w:val="auto"/>
              </w:rPr>
              <w:t>Fiscal Quarter Ending On or About</w:t>
            </w:r>
          </w:p>
        </w:tc>
        <w:tc>
          <w:tcPr>
            <w:tcW w:w="412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Interest Coverage Ratio</w:t>
            </w:r>
          </w:p>
        </w:tc>
      </w:tr>
      <w:tr>
        <w:trPr>
          <w:trHeight w:val="34"/>
        </w:trPr>
        <w:tc>
          <w:tcPr>
            <w:tcW w:w="760" w:type="dxa"/>
            <w:vAlign w:val="bottom"/>
            <w:tcBorders>
              <w:left w:val="single" w:sz="8" w:color="auto"/>
              <w:bottom w:val="single" w:sz="8" w:color="auto"/>
            </w:tcBorders>
          </w:tcPr>
          <w:p>
            <w:pPr>
              <w:spacing w:after="0"/>
              <w:rPr>
                <w:sz w:val="2"/>
                <w:szCs w:val="2"/>
                <w:color w:val="auto"/>
              </w:rPr>
            </w:pPr>
          </w:p>
        </w:tc>
        <w:tc>
          <w:tcPr>
            <w:tcW w:w="280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80" w:type="dxa"/>
            <w:vAlign w:val="bottom"/>
            <w:tcBorders>
              <w:top w:val="single" w:sz="8" w:color="auto"/>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60"/>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December 31, 2025</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3.00 to 1.00</w:t>
            </w:r>
          </w:p>
        </w:tc>
      </w:tr>
      <w:tr>
        <w:trPr>
          <w:trHeight w:val="263"/>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March 31, 2026</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3.00 to 1.00</w:t>
            </w:r>
          </w:p>
        </w:tc>
      </w:tr>
      <w:tr>
        <w:trPr>
          <w:trHeight w:val="263"/>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June 30, 2026</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3.00 to 1.00</w:t>
            </w:r>
          </w:p>
        </w:tc>
      </w:tr>
      <w:tr>
        <w:trPr>
          <w:trHeight w:val="263"/>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September 30, 2026</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3.00 to 1.00</w:t>
            </w:r>
          </w:p>
        </w:tc>
      </w:tr>
      <w:tr>
        <w:trPr>
          <w:trHeight w:val="263"/>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December 31, 2026</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3.25 to 1.00</w:t>
            </w:r>
          </w:p>
        </w:tc>
      </w:tr>
      <w:tr>
        <w:trPr>
          <w:trHeight w:val="263"/>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March 31, 2027</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3.25 to 1.00</w:t>
            </w:r>
          </w:p>
        </w:tc>
      </w:tr>
      <w:tr>
        <w:trPr>
          <w:trHeight w:val="264"/>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June 30, 2027</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3.25 to 1.00</w:t>
            </w:r>
          </w:p>
        </w:tc>
      </w:tr>
      <w:tr>
        <w:trPr>
          <w:trHeight w:val="263"/>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September 30, 2027</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3.25 to 1.00</w:t>
            </w:r>
          </w:p>
        </w:tc>
      </w:tr>
      <w:tr>
        <w:trPr>
          <w:trHeight w:val="263"/>
        </w:trPr>
        <w:tc>
          <w:tcPr>
            <w:tcW w:w="4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December 31, 2027 and each fiscal quarter thereafter</w:t>
            </w:r>
          </w:p>
        </w:tc>
        <w:tc>
          <w:tcPr>
            <w:tcW w:w="1100" w:type="dxa"/>
            <w:vAlign w:val="bottom"/>
            <w:tcBorders>
              <w:bottom w:val="single" w:sz="8" w:color="auto"/>
            </w:tcBorders>
          </w:tcPr>
          <w:p>
            <w:pPr>
              <w:spacing w:after="0"/>
              <w:rPr>
                <w:sz w:val="22"/>
                <w:szCs w:val="22"/>
                <w:color w:val="auto"/>
              </w:rPr>
            </w:pPr>
          </w:p>
        </w:tc>
        <w:tc>
          <w:tcPr>
            <w:tcW w:w="302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8"/>
              </w:rPr>
              <w:t>3.50 to 1.00</w:t>
            </w:r>
          </w:p>
        </w:tc>
      </w:tr>
    </w:tbl>
    <w:p>
      <w:pPr>
        <w:spacing w:after="0" w:line="315"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5.10. </w:t>
      </w:r>
      <w:r>
        <w:rPr>
          <w:rFonts w:ascii="Times New Roman" w:cs="Times New Roman" w:eastAsia="Times New Roman" w:hAnsi="Times New Roman"/>
          <w:sz w:val="20"/>
          <w:szCs w:val="20"/>
          <w:u w:val="single" w:color="auto"/>
          <w:color w:val="000000"/>
        </w:rPr>
        <w:t>Maintenance of Leverage Ratio</w:t>
      </w:r>
      <w:r>
        <w:rPr>
          <w:rFonts w:ascii="Times New Roman" w:cs="Times New Roman" w:eastAsia="Times New Roman" w:hAnsi="Times New Roman"/>
          <w:sz w:val="20"/>
          <w:szCs w:val="20"/>
          <w:color w:val="000000"/>
        </w:rPr>
        <w:t>. Maintain the Leverage Ratio, determined as of the end of its fiscal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quarter ending on or about December 31, 2025 and each of its fiscal quarters ending thereafter, of not greater than 5.00 to 1.00.</w:t>
      </w:r>
    </w:p>
    <w:p>
      <w:pPr>
        <w:spacing w:after="0" w:line="200"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5.11.</w:t>
      </w:r>
      <w:r>
        <w:rPr>
          <w:sz w:val="20"/>
          <w:szCs w:val="20"/>
          <w:color w:val="auto"/>
        </w:rPr>
        <w:tab/>
      </w:r>
      <w:r>
        <w:rPr>
          <w:rFonts w:ascii="Times New Roman" w:cs="Times New Roman" w:eastAsia="Times New Roman" w:hAnsi="Times New Roman"/>
          <w:sz w:val="19"/>
          <w:szCs w:val="19"/>
          <w:u w:val="single" w:color="auto"/>
          <w:color w:val="auto"/>
        </w:rPr>
        <w:t>Additional Collateral, etc</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50" w:lineRule="auto"/>
        <w:tabs>
          <w:tab w:leader="none" w:pos="1835"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During any Full Security Period, with respect to any Specified Property acquired after the Effective Date by the Company or any of its Required Subsidiaries (other than (w) any Specified Property described in clause (b) or (c) below, (x) any Specified Property subject to a Lien expressly permitted by Section 6.01(a) or Section 6.01(l), (y) Specified Property acquired by any Excluded Domestic Subsidiary and (z) Specified Property acquired by any Foreign Subsidiary) as to which the Administrative Agent, for the benefit of the Secured Parties, does not have a perfected Lien, promptly (i) execute and deliver to the Administrative Agent such amendments to the Guarantee and Collateral Agreement or such other documents as the Administrative Agent deems necessary or advisable to grant to the Administrative Agent, for the benefit of the Secured Parties, a security interest in such Specified Property and (ii) take all actions necessary or advisable to grant to the Administrative Agent, for the benefit of the Secured Parties, a perfected first priority security interest in such Specified Property, including the filing of IP Security Agreements with the United States Patent and Trademark Office, the United States Copyright Office or any similar office or agency within the United States and the filing of UCC financing statements in such jurisdictions as may be required by the applicable Guarantee and Collateral Agreement or by law or as may be requested by the Administrative Agent.</w:t>
      </w:r>
    </w:p>
    <w:p>
      <w:pPr>
        <w:spacing w:after="0" w:line="213"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805"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During any Full Security Period, with respect to any Subsidiary that becomes a Required Subsidiary (other than an Excluded Domestic Subsidiary) after the Effective Date (any such Subsidiary, a “</w:t>
      </w:r>
      <w:r>
        <w:rPr>
          <w:rFonts w:ascii="Times New Roman" w:cs="Times New Roman" w:eastAsia="Times New Roman" w:hAnsi="Times New Roman"/>
          <w:sz w:val="20"/>
          <w:szCs w:val="20"/>
          <w:u w:val="single" w:color="auto"/>
          <w:color w:val="auto"/>
        </w:rPr>
        <w:t>New Required Subsidiary</w:t>
      </w:r>
      <w:r>
        <w:rPr>
          <w:rFonts w:ascii="Times New Roman" w:cs="Times New Roman" w:eastAsia="Times New Roman" w:hAnsi="Times New Roman"/>
          <w:sz w:val="20"/>
          <w:szCs w:val="20"/>
          <w:color w:val="auto"/>
        </w:rPr>
        <w:t>”), promptly and in any event within thirty (30) days of such Subsidiary becomes a New Required Subsidiary (or such later date as is agreed to by the Administrative Agent in its reasonable discretion)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129" w:right="339" w:bottom="1440" w:gutter="0" w:footer="0" w:header="0"/>
        </w:sectPr>
      </w:pPr>
    </w:p>
    <w:bookmarkStart w:id="103" w:name="page104"/>
    <w:bookmarkEnd w:id="10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Capital Stock of such New Required Subsidiary that is owned by the Company or any of its Subsidiaries, (ii) deliver to the Administrative Agent the certificates representing such Capital Stock, together with undated stock powers, in blank, executed and delivered by a duly authorized officer of the Company or such Subsidiary, as the case may be, (iii) cause such New Required Subsidiary (A) to become a party to the Guarantee and Collateral Agreement and such other Security Documents, as applicable, (B) to take such actions necessary or advisable to grant to the Administrative Agent for the benefit of the Secured Parties a perfected first priority security interest in the Collateral described in the Guarantee and Collateral Agreement or such other Security Document, as applicable, with respect to such New Required Subsidiary (however, in the case of a pledge by such New Required Subsidiary of voting Capital Stock of a first-tier Foreign Subsidiary, such pledge shall be limited to 65% of such Capital Stock of such first-tier Foreign Subsidiary), including the filing of UCC financing statements in such jurisdictions as may be required by applicable Guarantee and Collateral Agreement or by law or as may be requested by the Administrative Agent and (C) to deliver to the Administrative Agent a certificate of such New Required Subsidiary,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Notwithstanding the foregoing, no new Foreign Pledge Agreement (or any legal opinions in respect thereof), shall be required hereunder (A) until the date that is sixty (60) days after the Effective Date or such later date as the Administrative Agent may agree in the exercise of its reasonable discretion with respect thereto, and (B) to the extent the Administrative Agent determines that such pledge would not provide material credit support for the benefit of the Secured Parties pursuant to legally valid, binding and enforceable pledge agreements.</w:t>
      </w:r>
    </w:p>
    <w:p>
      <w:pPr>
        <w:spacing w:after="0" w:line="207" w:lineRule="exact"/>
        <w:rPr>
          <w:sz w:val="20"/>
          <w:szCs w:val="20"/>
          <w:color w:val="auto"/>
        </w:rPr>
      </w:pPr>
    </w:p>
    <w:p>
      <w:pPr>
        <w:jc w:val="both"/>
        <w:ind w:firstLine="1304"/>
        <w:spacing w:after="0" w:line="251" w:lineRule="auto"/>
        <w:tabs>
          <w:tab w:leader="none" w:pos="1781"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Wherever the Administrative Agent reasonably requests the Company to do anything (i) to ensure that any Security Document is fully effective, enforceable and perfected with the contemplated priority, (ii) for more satisfactorily assuring or securing to the Lenders the property the subject of such Security Document in a manner consistent with such Security Document, or (iii) for aiding the exercise of any right or power in any Security Document, the Company shall (and, with respect to actions by third parties that are not Controlled directly or indirectly by the Company, shall use commercially reasonably efforts to) do it promptly and at its own cost. This may include using commercially reasonable efforts to obtain consents, get documents completed and signed, supply information, deliver documents and evidence of title and executed blank transfers, and give possession or control with respect to any property the subject of any Foreign Pledge Agreement.</w:t>
      </w:r>
    </w:p>
    <w:p>
      <w:pPr>
        <w:spacing w:after="0" w:line="222"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846"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ten (10) days of the Company or any of its Subsidiaries receipt of the HGC Divestiture Initial Non-Cash Consideration (or such later date as is agreed to by the Administrative Agent in its reasonable discretion), the Company will enter into an amendment to the Guaranty and Collateral Agreement (in form and substance reasonably satisfactory to the Administrative Agent) pursuant to which the HGC Divestiture Initial Non-Cash Consideration shall be pledged to the Administrative Agent as security for the Obligations.</w:t>
      </w:r>
    </w:p>
    <w:p>
      <w:pPr>
        <w:spacing w:after="0" w:line="1"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54"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ten (10) days of the Company or any of its Subsidiaries receipt of the HGC Divestiture Subsequent Non-Cash Consideration (or such later date as is agreed to by the Administrative Agent in its reasonable discretion), the Company will enter into an amendment to the Guaranty and Collateral Agreement (in form and substance reasonably satisfactory to the Administrative Agent) pursuant to which the HGC Divestiture Subsequent Non-Cash Consideration shall be pledged to the Administrative Agent as security for the Obligations.</w:t>
      </w:r>
    </w:p>
    <w:p>
      <w:pPr>
        <w:spacing w:after="0" w:line="206"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5.12.</w:t>
      </w:r>
      <w:r>
        <w:rPr>
          <w:sz w:val="20"/>
          <w:szCs w:val="20"/>
          <w:color w:val="auto"/>
        </w:rPr>
        <w:tab/>
      </w:r>
      <w:r>
        <w:rPr>
          <w:rFonts w:ascii="Times New Roman" w:cs="Times New Roman" w:eastAsia="Times New Roman" w:hAnsi="Times New Roman"/>
          <w:sz w:val="19"/>
          <w:szCs w:val="19"/>
          <w:u w:val="single" w:color="auto"/>
          <w:color w:val="auto"/>
        </w:rPr>
        <w:t>Environmental, Health and Safety Matters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58" w:lineRule="auto"/>
        <w:tabs>
          <w:tab w:leader="none" w:pos="1767"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Comply in all material respects with all applicable Environmental Laws, including, without limitation, obtaining and complying with and maintaining any and all licenses, approvals, notifications, registrations or permits required by applicable Environmental Laws. For purposes of this Section 5.12(a), material noncompliance by the Company, any of its Subsidiaries or any tenant or subtenant, with any applicable Environmental Law shall be deemed not to constitute a breach of this covenant provided that, upon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886" w:right="339" w:bottom="1440" w:gutter="0" w:footer="0" w:header="0"/>
        </w:sectPr>
      </w:pPr>
    </w:p>
    <w:bookmarkStart w:id="104" w:name="page105"/>
    <w:bookmarkEnd w:id="10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learning of any actual or suspected material noncompliance, the Company and the relevant Subsidiaries shall promptly undertake all reasonable efforts to achieve material compliance (or contest in good faith by appropriate proceedings the alleged violation or applicable Environmental Law at issue and (to the extent required by GAAP) provide on the books of the Company or any of its Subsidiaries, as the case may be, reserves in accordance with GAAP with respect thereto),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any case, such noncompliance, and any other noncompliance with applicable Environmental Law, individually or in the aggregate, could not reasonably be expected to have a Material Adverse Effect.</w:t>
      </w:r>
    </w:p>
    <w:p>
      <w:pPr>
        <w:spacing w:after="0" w:line="219" w:lineRule="exact"/>
        <w:rPr>
          <w:sz w:val="20"/>
          <w:szCs w:val="20"/>
          <w:color w:val="auto"/>
        </w:rPr>
      </w:pPr>
    </w:p>
    <w:p>
      <w:pPr>
        <w:jc w:val="both"/>
        <w:ind w:firstLine="1304"/>
        <w:spacing w:after="0" w:line="254" w:lineRule="auto"/>
        <w:tabs>
          <w:tab w:leader="none" w:pos="1724"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comply in all material respects with all lawful orders and directives of all Governmental Authorities regarding applicable Environmental Laws, except to the extent that the validity thereof is currently being contested in good faith by appropriate proceedings and (to the extent required by GAAP) reserves in accordance with GAAP with respect thereto have been provided on the books of the Company or any of its Subsidiaries, as the case may be.</w:t>
      </w:r>
    </w:p>
    <w:p>
      <w:pPr>
        <w:spacing w:after="0" w:line="214"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889"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Company or any of its Subsidiaries or any of their respective operations or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out of the gross negligence or willful misconduct of (or, as determined pursuant to a claim initiated by the Company, breach in bad faith of its express obligations under the applicable Loan Documents by) the party seeking indemnification therefor, in each case, as determined by a final non-appealable judgment by a court of competent jurisdiction. This indemnity shall continue in full force and effect regardless of the termination of this Agreement.</w:t>
      </w:r>
    </w:p>
    <w:p>
      <w:pPr>
        <w:spacing w:after="0" w:line="22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010000"/>
        </w:rPr>
        <w:t xml:space="preserve">SECTION 5.13. </w:t>
      </w:r>
      <w:r>
        <w:rPr>
          <w:rFonts w:ascii="Times New Roman" w:cs="Times New Roman" w:eastAsia="Times New Roman" w:hAnsi="Times New Roman"/>
          <w:sz w:val="19"/>
          <w:szCs w:val="19"/>
          <w:u w:val="single" w:color="auto"/>
          <w:color w:val="000000"/>
        </w:rPr>
        <w:t>Foreign Pledge Agreements</w:t>
      </w:r>
      <w:r>
        <w:rPr>
          <w:rFonts w:ascii="Times New Roman" w:cs="Times New Roman" w:eastAsia="Times New Roman" w:hAnsi="Times New Roman"/>
          <w:sz w:val="19"/>
          <w:szCs w:val="19"/>
          <w:color w:val="000000"/>
        </w:rPr>
        <w:t>. Use commercially reasonable efforts to, within 60 days after the Effective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Date (or such later date as the Administrative Agent may agree), deliver to the Administrative Agent (a)(i) the duly executed Foreign Pledge Agreements in respect of the Foreign Subsidiaries described in </w:t>
      </w:r>
      <w:r>
        <w:rPr>
          <w:rFonts w:ascii="Times New Roman" w:cs="Times New Roman" w:eastAsia="Times New Roman" w:hAnsi="Times New Roman"/>
          <w:sz w:val="19"/>
          <w:szCs w:val="19"/>
          <w:u w:val="single" w:color="auto"/>
          <w:color w:val="000000"/>
        </w:rPr>
        <w:t>Schedule 5.13</w:t>
      </w:r>
      <w:r>
        <w:rPr>
          <w:rFonts w:ascii="Times New Roman" w:cs="Times New Roman" w:eastAsia="Times New Roman" w:hAnsi="Times New Roman"/>
          <w:sz w:val="19"/>
          <w:szCs w:val="19"/>
          <w:color w:val="000000"/>
        </w:rPr>
        <w:t xml:space="preserve"> granting to the Administrative Agent, for the benefit of the Secured Parties, a perfected first priority security interest in 65% of the total outstanding voting Capital Stock of such Foreign Subsidiaries and (ii) the certificates (if any) representing the Capital Stock of such Foreign Subsidiaries, together with undated stock powers, in blank, executed and delivered by a duly authorized officer of the Company or relevant Subsidiary and (b) legal opinions relating to the matters described above, which opinions shall be in form and substance, and from counsel, reasonably satisfactory to the Administrative Agent.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4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Company hereby agrees that, until the Commitments have expired or been terminated and the principal of and interest on each Loan and all fees payable hereunder shall have been paid in full (other than Unliquidated Obligations) and all Letters of Credit shall have expired or terminated, in each case, without any pending draw, and all LC Disbursements shall have been reimbursed, the Company shall not, nor shall it permit any of its Subsidiaries to, directly or indirectly:</w:t>
      </w:r>
    </w:p>
    <w:p>
      <w:pPr>
        <w:spacing w:after="0" w:line="21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6.01. </w:t>
      </w:r>
      <w:r>
        <w:rPr>
          <w:rFonts w:ascii="Times New Roman" w:cs="Times New Roman" w:eastAsia="Times New Roman" w:hAnsi="Times New Roman"/>
          <w:sz w:val="20"/>
          <w:szCs w:val="20"/>
          <w:u w:val="single" w:color="auto"/>
          <w:color w:val="000000"/>
        </w:rPr>
        <w:t>Limitations on Liens</w:t>
      </w:r>
      <w:r>
        <w:rPr>
          <w:rFonts w:ascii="Times New Roman" w:cs="Times New Roman" w:eastAsia="Times New Roman" w:hAnsi="Times New Roman"/>
          <w:sz w:val="20"/>
          <w:szCs w:val="20"/>
          <w:color w:val="000000"/>
        </w:rPr>
        <w:t>. Create, incur, assume or suffer to exist any Lien upon any of its property, assets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revenues, whether now owned or hereafter acquired, except: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886" w:right="339" w:bottom="1440" w:gutter="0" w:footer="0" w:header="0"/>
        </w:sectPr>
      </w:pPr>
    </w:p>
    <w:bookmarkStart w:id="105" w:name="page106"/>
    <w:bookmarkEnd w:id="105"/>
    <w:p>
      <w:pPr>
        <w:jc w:val="both"/>
        <w:ind w:firstLine="1304"/>
        <w:spacing w:after="0" w:line="253" w:lineRule="auto"/>
        <w:tabs>
          <w:tab w:leader="none" w:pos="1727"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Liens securing Indebtedness in an aggregate amount not exceeding $150,000,000 at any time outstanding in respect of Finance Lease Obligations and purchase money obligations for fixed or capital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Liens do not at any time encumber any property other than the property financed by such Indebtedness (except that individual financings of fixed and other capital assets provided by one lender or lessor may be cross-collateralized to other outstanding financings of fixed or capital assets provided by such lender or lessor to the extent such other financing is otherwise permitted under Section 6.05) and (y) the Indebtedness secured thereby shall not exceed the cost or fair market value, whichever is lower, of the property being acquired on the date of acquisition and (ii) Liens securing Indebtedness permitted pursuant to Section 6.05(j);</w:t>
      </w:r>
    </w:p>
    <w:p>
      <w:pPr>
        <w:spacing w:after="0" w:line="206" w:lineRule="exact"/>
        <w:rPr>
          <w:rFonts w:ascii="Times New Roman" w:cs="Times New Roman" w:eastAsia="Times New Roman" w:hAnsi="Times New Roman"/>
          <w:sz w:val="20"/>
          <w:szCs w:val="20"/>
          <w:color w:val="010000"/>
        </w:rPr>
      </w:pPr>
    </w:p>
    <w:p>
      <w:pPr>
        <w:ind w:firstLine="1304"/>
        <w:spacing w:after="0" w:line="283" w:lineRule="auto"/>
        <w:tabs>
          <w:tab w:leader="none" w:pos="1751"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assets of a Foreign Subsidiary which is not a Foreign Subsidiary Borrower to secure Permitted Foreign Debt of such Foreign Subsidiary;</w:t>
      </w:r>
    </w:p>
    <w:p>
      <w:pPr>
        <w:spacing w:after="0" w:line="173"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808"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for taxes and special assessments not yet due or which are being contested in good faith and by appropriate proceedings if adequate reserves with respect thereto are maintained on the books of the Company and its Subsidiaries in accordance with GAAP, to the extent required;</w:t>
      </w:r>
    </w:p>
    <w:p>
      <w:pPr>
        <w:spacing w:after="0" w:line="188" w:lineRule="exact"/>
        <w:rPr>
          <w:rFonts w:ascii="Times New Roman" w:cs="Times New Roman" w:eastAsia="Times New Roman" w:hAnsi="Times New Roman"/>
          <w:sz w:val="20"/>
          <w:szCs w:val="20"/>
          <w:color w:val="010000"/>
        </w:rPr>
      </w:pPr>
    </w:p>
    <w:p>
      <w:pPr>
        <w:ind w:firstLine="1304"/>
        <w:spacing w:after="0" w:line="310" w:lineRule="auto"/>
        <w:tabs>
          <w:tab w:leader="none" w:pos="1724" w:val="left"/>
        </w:tabs>
        <w:numPr>
          <w:ilvl w:val="0"/>
          <w:numId w:val="1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151" w:lineRule="exact"/>
        <w:rPr>
          <w:rFonts w:ascii="Times New Roman" w:cs="Times New Roman" w:eastAsia="Times New Roman" w:hAnsi="Times New Roman"/>
          <w:sz w:val="19"/>
          <w:szCs w:val="19"/>
          <w:color w:val="010000"/>
        </w:rPr>
      </w:pPr>
    </w:p>
    <w:p>
      <w:pPr>
        <w:ind w:left="1780" w:hanging="476"/>
        <w:spacing w:after="0"/>
        <w:tabs>
          <w:tab w:leader="none" w:pos="178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pledges or deposits in connection with workmen’s compensation, unemployment insurance and other social security</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legislation;</w:t>
      </w:r>
    </w:p>
    <w:p>
      <w:pPr>
        <w:spacing w:after="0" w:line="240" w:lineRule="exact"/>
        <w:rPr>
          <w:rFonts w:ascii="Times New Roman" w:cs="Times New Roman" w:eastAsia="Times New Roman" w:hAnsi="Times New Roman"/>
          <w:sz w:val="20"/>
          <w:szCs w:val="20"/>
          <w:color w:val="010000"/>
        </w:rPr>
      </w:pPr>
    </w:p>
    <w:p>
      <w:pPr>
        <w:jc w:val="both"/>
        <w:ind w:right="20" w:firstLine="1304"/>
        <w:spacing w:after="0" w:line="261" w:lineRule="auto"/>
        <w:tabs>
          <w:tab w:leader="none" w:pos="1705"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149" w:lineRule="exact"/>
        <w:rPr>
          <w:rFonts w:ascii="Times New Roman" w:cs="Times New Roman" w:eastAsia="Times New Roman" w:hAnsi="Times New Roman"/>
          <w:sz w:val="20"/>
          <w:szCs w:val="20"/>
          <w:color w:val="010000"/>
        </w:rPr>
      </w:pPr>
    </w:p>
    <w:p>
      <w:pPr>
        <w:jc w:val="both"/>
        <w:ind w:firstLine="1304"/>
        <w:spacing w:after="0" w:line="258" w:lineRule="exact"/>
        <w:tabs>
          <w:tab w:leader="none" w:pos="1765"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easements, rights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way, restrictions and other similar encumbrances incurred in the ordinary course of business and other Liens incurred in the ordinary course of business which, in the aggregate, do not in any case materially detract from the value of the property subject thereto or interfere with the ordinary conduct of the business of the Company or its Subsidiaries;</w:t>
      </w:r>
    </w:p>
    <w:p>
      <w:pPr>
        <w:spacing w:after="0" w:line="230"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65"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resulting from judgments of any court or governmental proceeding and Liens arising under ERISA or the Code with respect to an employee benefit plan (as defined in Section 3(3) of ERISA), provided such Liens in the aggregate do not constitute an Event of Default under clauses (h) or (g), respectively,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in existence on the Effective Date described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010000"/>
        </w:rPr>
      </w:pPr>
    </w:p>
    <w:p>
      <w:pPr>
        <w:ind w:firstLine="1304"/>
        <w:spacing w:after="0" w:line="283" w:lineRule="auto"/>
        <w:tabs>
          <w:tab w:leader="none" w:pos="1789"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of landlords or of mortgagees of landlords on fixtures located on premises leased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rental payments secured thereby are not overdue beyond all applicable notice and cure periods;</w:t>
      </w:r>
    </w:p>
    <w:p>
      <w:pPr>
        <w:spacing w:after="0" w:line="186" w:lineRule="exact"/>
        <w:rPr>
          <w:rFonts w:ascii="Times New Roman" w:cs="Times New Roman" w:eastAsia="Times New Roman" w:hAnsi="Times New Roman"/>
          <w:sz w:val="20"/>
          <w:szCs w:val="20"/>
          <w:color w:val="010000"/>
        </w:rPr>
      </w:pPr>
    </w:p>
    <w:p>
      <w:pPr>
        <w:ind w:right="20" w:firstLine="1304"/>
        <w:spacing w:after="0" w:line="269" w:lineRule="auto"/>
        <w:tabs>
          <w:tab w:leader="none" w:pos="1738"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contemplated under Section 4.12 of the 4.000% Indenture, Section 4.12 of the 4.375% Indenture, Section 4.12 of the 4.500% Indenture and Section 4.12 of the 5.250% Indenture;</w:t>
      </w:r>
    </w:p>
    <w:p>
      <w:pPr>
        <w:spacing w:after="0" w:line="199"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Sold Receivables Assets under any Receivables Purchase Facility;</w:t>
      </w:r>
    </w:p>
    <w:p>
      <w:pPr>
        <w:spacing w:after="0" w:line="242"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created by or pursuant to this Agreement or the other Loan Documents;</w:t>
      </w:r>
    </w:p>
    <w:p>
      <w:pPr>
        <w:spacing w:after="0" w:line="256" w:lineRule="exact"/>
        <w:rPr>
          <w:rFonts w:ascii="Times New Roman" w:cs="Times New Roman" w:eastAsia="Times New Roman" w:hAnsi="Times New Roman"/>
          <w:sz w:val="20"/>
          <w:szCs w:val="20"/>
          <w:color w:val="010000"/>
        </w:rPr>
      </w:pPr>
    </w:p>
    <w:p>
      <w:pPr>
        <w:ind w:firstLine="1304"/>
        <w:spacing w:after="0" w:line="283" w:lineRule="auto"/>
        <w:tabs>
          <w:tab w:leader="none" w:pos="1751"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assets of Foreign Subsidiaries arising by operation of law or pursuant to customary business practice and not known to the Company to materially affect the value of such assets;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886" w:right="339" w:bottom="1440" w:gutter="0" w:footer="0" w:header="0"/>
        </w:sectPr>
      </w:pPr>
    </w:p>
    <w:bookmarkStart w:id="106" w:name="page107"/>
    <w:bookmarkEnd w:id="106"/>
    <w:p>
      <w:pPr>
        <w:ind w:right="20" w:firstLine="1304"/>
        <w:spacing w:after="0" w:line="283" w:lineRule="auto"/>
        <w:tabs>
          <w:tab w:leader="none" w:pos="1778"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purchase money Liens on assets acquired with seller-financed Indebtedness permitted pursuant to Section 6.05(f), so long as such Liens encumber only assets (and proceeds thereof) acquired with such Indebtedness and do not secure any other Indebtedness;</w:t>
      </w:r>
    </w:p>
    <w:p>
      <w:pPr>
        <w:spacing w:after="0" w:line="173"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securities and cash securing obligations under Hedging Agreements;</w:t>
      </w:r>
    </w:p>
    <w:p>
      <w:pPr>
        <w:spacing w:after="0" w:line="256" w:lineRule="exact"/>
        <w:rPr>
          <w:rFonts w:ascii="Times New Roman" w:cs="Times New Roman" w:eastAsia="Times New Roman" w:hAnsi="Times New Roman"/>
          <w:sz w:val="20"/>
          <w:szCs w:val="20"/>
          <w:color w:val="010000"/>
        </w:rPr>
      </w:pPr>
    </w:p>
    <w:p>
      <w:pPr>
        <w:ind w:firstLine="1304"/>
        <w:spacing w:after="0" w:line="269" w:lineRule="auto"/>
        <w:tabs>
          <w:tab w:leader="none" w:pos="1738"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title and interest of a lessor or sublessor in and to property leased or subleased (other than through a capital lease or a finance lease), in each case extending only to such property;</w:t>
      </w:r>
    </w:p>
    <w:p>
      <w:pPr>
        <w:spacing w:after="0" w:line="199"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from precautionary UCC financing statement filings that do not secure payment or performance of an</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obligation;</w:t>
      </w:r>
    </w:p>
    <w:p>
      <w:pPr>
        <w:spacing w:after="0" w:line="227"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43"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customary rights of set-off, revocation, refund or chargeback under deposit agreements or under the UCC or common law of banks or other financial institutions where the Company or any of its Subsidiaries maintains deposits (other than deposits intended as cash collateral) in the ordinary course of business;</w:t>
      </w:r>
    </w:p>
    <w:p>
      <w:pPr>
        <w:spacing w:after="0" w:line="208"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from licensing agreements;</w:t>
      </w:r>
    </w:p>
    <w:p>
      <w:pPr>
        <w:spacing w:after="0" w:line="256" w:lineRule="exact"/>
        <w:rPr>
          <w:rFonts w:ascii="Times New Roman" w:cs="Times New Roman" w:eastAsia="Times New Roman" w:hAnsi="Times New Roman"/>
          <w:sz w:val="20"/>
          <w:szCs w:val="20"/>
          <w:color w:val="010000"/>
        </w:rPr>
      </w:pPr>
    </w:p>
    <w:p>
      <w:pPr>
        <w:jc w:val="both"/>
        <w:ind w:firstLine="1304"/>
        <w:spacing w:after="0" w:line="270" w:lineRule="auto"/>
        <w:tabs>
          <w:tab w:leader="none" w:pos="1724" w:val="left"/>
        </w:tabs>
        <w:numPr>
          <w:ilvl w:val="0"/>
          <w:numId w:val="10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lien existing on any property or asset prior to the acquisition thereof by the Company (including in connection with a Permitted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is not created in contemplation of or in connection with such acquisition, (ii) such lien shall not apply to any other property or assets of the Company or any Subsidiary (other than proceeds or products thereof), (iii) such lien shall secure only those obligations which it secures on the date of such acquisition and extensions, renewals and replacements thereof that do not increase the outstanding principal amount thereof and (iv) such liens are not “blanket liens” on all assets subject to such acquisition;</w:t>
      </w:r>
    </w:p>
    <w:p>
      <w:pPr>
        <w:spacing w:after="0" w:line="202" w:lineRule="exact"/>
        <w:rPr>
          <w:rFonts w:ascii="Times New Roman" w:cs="Times New Roman" w:eastAsia="Times New Roman" w:hAnsi="Times New Roman"/>
          <w:sz w:val="19"/>
          <w:szCs w:val="19"/>
          <w:color w:val="010000"/>
        </w:rPr>
      </w:pPr>
    </w:p>
    <w:p>
      <w:pPr>
        <w:jc w:val="both"/>
        <w:ind w:firstLine="1304"/>
        <w:spacing w:after="0" w:line="254" w:lineRule="auto"/>
        <w:tabs>
          <w:tab w:leader="none" w:pos="1805"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with respect to property or assets of the Company or any Subsidiary securing Incremental Equivalent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Incremental Equivalent Notes shall be secured only by a Lien on the Collateral and on a pari passu or subordinated basis with the Obligations and shall be subject to a customary intercreditor agreement in form and substance reasonably satisfactory to the Company and the Administrative Agent;</w:t>
      </w:r>
    </w:p>
    <w:p>
      <w:pPr>
        <w:spacing w:after="0" w:line="214"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Statutory liens (and rights of set-off) in any equity or cash patronage permitted by Section 6.04(n); and</w:t>
      </w:r>
    </w:p>
    <w:p>
      <w:pPr>
        <w:spacing w:after="0" w:line="24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65"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assets of the Company and its Subsidiaries not otherwise permitted above so long as the aggregate principal amount of the Indebtedness and other obligations subject to such Liens does not at any time exceed the greater of (i) $200,000,000 and (ii) 4.0% of Consolidated Total Assets (determined as of the most recent fiscal quarter for which financial statements shall have been delivered pursuant to Section 5.01(a) or 5.01(b)).</w:t>
      </w:r>
    </w:p>
    <w:p>
      <w:pPr>
        <w:spacing w:after="0" w:line="213"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6.02.</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6.03. </w:t>
      </w:r>
      <w:r>
        <w:rPr>
          <w:rFonts w:ascii="Times New Roman" w:cs="Times New Roman" w:eastAsia="Times New Roman" w:hAnsi="Times New Roman"/>
          <w:sz w:val="20"/>
          <w:szCs w:val="20"/>
          <w:u w:val="single" w:color="auto"/>
          <w:color w:val="000000"/>
        </w:rPr>
        <w:t>Limitation on Fundamental Changes</w:t>
      </w:r>
      <w:r>
        <w:rPr>
          <w:rFonts w:ascii="Times New Roman" w:cs="Times New Roman" w:eastAsia="Times New Roman" w:hAnsi="Times New Roman"/>
          <w:sz w:val="20"/>
          <w:szCs w:val="20"/>
          <w:color w:val="000000"/>
        </w:rPr>
        <w:t>. Except as permitted or contemplated by this Agreement or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other Loan Document, merge into or consolidate or amalgamate with any other Person, or permit any other Person to merge into or consolidate or amalgamate with it, or sell, transfer, lease or otherwise dispose of (in one transaction or in a series of transactions) all or substantially all of the assets of the Company and its Subsidiaries (taken as a whole), (including pursuant to a sale and leaseback transaction), or all or substantially all of the Capital Stock of its Subsidiaries (in each case, whether now owned or hereafter acquired), or liquidate or dissolve, except that: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129" w:right="339" w:bottom="1440" w:gutter="0" w:footer="0" w:header="0"/>
        </w:sectPr>
      </w:pPr>
    </w:p>
    <w:bookmarkStart w:id="107" w:name="page108"/>
    <w:bookmarkEnd w:id="107"/>
    <w:p>
      <w:pPr>
        <w:jc w:val="both"/>
        <w:ind w:firstLine="1304"/>
        <w:spacing w:after="0" w:line="261" w:lineRule="auto"/>
        <w:tabs>
          <w:tab w:leader="none" w:pos="1835"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Subsidiary of the Company may be merged, amalgamated or consolidated with or into the Company or any Wholly-owned Subsidiary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each such merger or consolidation, the Company or such Wholly-owned Subsidiary, as the case may be, shall be the continuing or surviving corporation);</w:t>
      </w:r>
    </w:p>
    <w:p>
      <w:pPr>
        <w:spacing w:after="0" w:line="208"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51"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any Subsidiary of the Company that is not a Loan Party may liquidate, wind up or dissolve and (ii) any Loan Party (other than the Company) may liquidate, wind up or dissolve as long as any assets of such entity are transferred to the Company or another Loan Party;</w:t>
      </w:r>
    </w:p>
    <w:p>
      <w:pPr>
        <w:spacing w:after="0" w:line="208" w:lineRule="exact"/>
        <w:rPr>
          <w:rFonts w:ascii="Times New Roman" w:cs="Times New Roman" w:eastAsia="Times New Roman" w:hAnsi="Times New Roman"/>
          <w:sz w:val="20"/>
          <w:szCs w:val="20"/>
          <w:color w:val="010000"/>
        </w:rPr>
      </w:pPr>
    </w:p>
    <w:p>
      <w:pPr>
        <w:jc w:val="both"/>
        <w:ind w:firstLine="1304"/>
        <w:spacing w:after="0" w:line="281" w:lineRule="auto"/>
        <w:tabs>
          <w:tab w:leader="none" w:pos="1754" w:val="left"/>
        </w:tabs>
        <w:numPr>
          <w:ilvl w:val="0"/>
          <w:numId w:val="11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Subsidiary of the Company may dispose of all or substantially all of its business, property or assets (including its Capital Stock), in one transaction or a series of transactions, to, (i) the Company or any Wholly-owned Subsidiary of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Wholly-owned Subsidiary shall be a Subsidiary Guarantor) or (ii) to any other Person in compliance with Section 6.08; and</w:t>
      </w:r>
    </w:p>
    <w:p>
      <w:pPr>
        <w:spacing w:after="0" w:line="177" w:lineRule="exact"/>
        <w:rPr>
          <w:rFonts w:ascii="Times New Roman" w:cs="Times New Roman" w:eastAsia="Times New Roman" w:hAnsi="Times New Roman"/>
          <w:sz w:val="19"/>
          <w:szCs w:val="19"/>
          <w:color w:val="010000"/>
        </w:rPr>
      </w:pPr>
    </w:p>
    <w:p>
      <w:pPr>
        <w:jc w:val="both"/>
        <w:ind w:firstLine="1304"/>
        <w:spacing w:after="0" w:line="268" w:lineRule="auto"/>
        <w:tabs>
          <w:tab w:leader="none" w:pos="1846"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or any Subsidiary of the Company may consummate any transaction of merger or consolidation or amalgamation with any Person (including, without limitation, any Affiliate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merger, consolidation or amalgamation shall be a Permitted Acquisition.</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6.04. </w:t>
      </w:r>
      <w:r>
        <w:rPr>
          <w:rFonts w:ascii="Times New Roman" w:cs="Times New Roman" w:eastAsia="Times New Roman" w:hAnsi="Times New Roman"/>
          <w:sz w:val="20"/>
          <w:szCs w:val="20"/>
          <w:u w:val="single" w:color="auto"/>
          <w:color w:val="000000"/>
        </w:rPr>
        <w:t>Limitation on Acquisitions, Investments, Loans and Advances</w:t>
      </w:r>
      <w:r>
        <w:rPr>
          <w:rFonts w:ascii="Times New Roman" w:cs="Times New Roman" w:eastAsia="Times New Roman" w:hAnsi="Times New Roman"/>
          <w:sz w:val="20"/>
          <w:szCs w:val="20"/>
          <w:color w:val="000000"/>
        </w:rPr>
        <w:t>. Make any advance, loan, extension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credit or capital contribution to, or purchase of stock, bonds, notes, debentures or other securities of any Person, or make any other investment in any Person, except:</w:t>
      </w:r>
    </w:p>
    <w:p>
      <w:pPr>
        <w:spacing w:after="0" w:line="208" w:lineRule="exact"/>
        <w:rPr>
          <w:sz w:val="20"/>
          <w:szCs w:val="20"/>
          <w:color w:val="auto"/>
        </w:rPr>
      </w:pPr>
    </w:p>
    <w:p>
      <w:pPr>
        <w:ind w:left="1720" w:hanging="416"/>
        <w:spacing w:after="0"/>
        <w:tabs>
          <w:tab w:leader="none" w:pos="1720"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Cash Equivalents;</w:t>
      </w:r>
    </w:p>
    <w:p>
      <w:pPr>
        <w:spacing w:after="0" w:line="256"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46"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loans and advances to officers and directors of the Company or any of its Subsidiaries (or employees thereof or manufacturers’ representatives provided such loans and advances are approved by an officer of the Company) for travel, entertainment and relocation expenses in the ordinary course of business in an aggregate amount not to exceed $5,000,000 at any one time outstanding;</w:t>
      </w:r>
    </w:p>
    <w:p>
      <w:pPr>
        <w:spacing w:after="0" w:line="194"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loans and advances to and investments in the Company or its Subsidiaries;</w:t>
      </w:r>
    </w:p>
    <w:p>
      <w:pPr>
        <w:spacing w:after="0" w:line="256"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32"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notes and other securities received in the settlement of overdue debts and accounts payable in the ordinary course of business and for amounts which, individually or in the aggregate, are not material to the Company and its Subsidiaries taken as a whole;</w:t>
      </w:r>
    </w:p>
    <w:p>
      <w:pPr>
        <w:spacing w:after="0" w:line="208"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754"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Permitted Acquisitions and other loans, advances and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transactions,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transaction had occurred on such day and (y) there shall be no Event of Default;</w:t>
      </w:r>
    </w:p>
    <w:p>
      <w:pPr>
        <w:spacing w:after="0" w:line="214"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05"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loans to or investments in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loans or investments,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transaction had occurred on such day and (y) there shall be no Event of Default;</w:t>
      </w:r>
    </w:p>
    <w:p>
      <w:pPr>
        <w:spacing w:after="0" w:line="199"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51"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in a joint venture entity that is a United States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investments,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investment had occurred on such day and (y) there shall be no Event of Default;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886" w:right="339" w:bottom="1440" w:gutter="0" w:footer="0" w:header="0"/>
        </w:sectPr>
      </w:pPr>
    </w:p>
    <w:bookmarkStart w:id="108" w:name="page109"/>
    <w:bookmarkEnd w:id="108"/>
    <w:p>
      <w:pPr>
        <w:jc w:val="both"/>
        <w:ind w:firstLine="1304"/>
        <w:spacing w:after="0" w:line="258" w:lineRule="auto"/>
        <w:tabs>
          <w:tab w:leader="none" w:pos="1778"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in a joint venture entity that is not a United States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investments,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investment had occurred on such day and (y) there shall be no Event of Default;</w:t>
      </w:r>
    </w:p>
    <w:p>
      <w:pPr>
        <w:spacing w:after="0" w:line="199" w:lineRule="exact"/>
        <w:rPr>
          <w:rFonts w:ascii="Times New Roman" w:cs="Times New Roman" w:eastAsia="Times New Roman" w:hAnsi="Times New Roman"/>
          <w:sz w:val="20"/>
          <w:szCs w:val="20"/>
          <w:color w:val="010000"/>
        </w:rPr>
      </w:pPr>
    </w:p>
    <w:p>
      <w:pPr>
        <w:ind w:firstLine="1304"/>
        <w:spacing w:after="0" w:line="283" w:lineRule="auto"/>
        <w:tabs>
          <w:tab w:leader="none" w:pos="1721"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the nature of seller financing of or other consideration received in any Disposition by the Company or any of its Subsidiaries of any assets permitted by Section 6.08;</w:t>
      </w:r>
    </w:p>
    <w:p>
      <w:pPr>
        <w:spacing w:after="0" w:line="186"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payments required to be made under the Exclusive Agency and Marketing Agreement;</w:t>
      </w:r>
    </w:p>
    <w:p>
      <w:pPr>
        <w:spacing w:after="0" w:line="242"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permitted under Section 6.05;</w:t>
      </w:r>
    </w:p>
    <w:p>
      <w:pPr>
        <w:spacing w:after="0" w:line="256"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existing on the Effective Date as set forth on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1"/>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acquisitions, investments, loans and advances in an aggregate amount not to exceed the greater of (i) $250,000,000 and</w:t>
      </w:r>
    </w:p>
    <w:p>
      <w:pPr>
        <w:spacing w:after="0" w:line="39" w:lineRule="exact"/>
        <w:rPr>
          <w:rFonts w:ascii="Times New Roman" w:cs="Times New Roman" w:eastAsia="Times New Roman" w:hAnsi="Times New Roman"/>
          <w:sz w:val="19"/>
          <w:szCs w:val="19"/>
          <w:color w:val="010000"/>
        </w:rPr>
      </w:pPr>
    </w:p>
    <w:p>
      <w:pPr>
        <w:ind w:right="20" w:firstLine="8"/>
        <w:spacing w:after="0" w:line="267" w:lineRule="auto"/>
        <w:tabs>
          <w:tab w:leader="none" w:pos="32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 of Consolidated Total Assets (determined as of the most recent fiscal quarter for which financial statements shall have been delivered pursuant to Section 5.01(a) or 5.01(b)) at any one time outstanding;</w:t>
      </w:r>
    </w:p>
    <w:p>
      <w:pPr>
        <w:spacing w:after="0" w:line="188" w:lineRule="exact"/>
        <w:rPr>
          <w:rFonts w:ascii="Times New Roman" w:cs="Times New Roman" w:eastAsia="Times New Roman" w:hAnsi="Times New Roman"/>
          <w:sz w:val="20"/>
          <w:szCs w:val="20"/>
          <w:color w:val="auto"/>
        </w:rPr>
      </w:pPr>
    </w:p>
    <w:p>
      <w:pPr>
        <w:ind w:right="20" w:firstLine="1304"/>
        <w:spacing w:after="0" w:line="283" w:lineRule="auto"/>
        <w:tabs>
          <w:tab w:leader="none" w:pos="1751" w:val="left"/>
        </w:tabs>
        <w:numPr>
          <w:ilvl w:val="1"/>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constituting an investment, the Company’s or any other Loan Party’s patronage with CoBank ACB in an aggregate amount not to exceed $5,000,000 annually; and</w:t>
      </w:r>
    </w:p>
    <w:p>
      <w:pPr>
        <w:spacing w:after="0" w:line="173"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92" w:val="left"/>
        </w:tabs>
        <w:numPr>
          <w:ilvl w:val="1"/>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Bonnie (i) in an aggregate amount not to exceed $25,000,000 and (ii) in addition to the investments made in reliance on clause (i), an additional aggregate amount during any fiscal year not to exceed $225,000,000 (in the case of this clause (ii), less the amount of any Restricted Payments made during such fiscal year in reliance on Section 6.14(c)(ii)).</w:t>
      </w:r>
    </w:p>
    <w:p>
      <w:pPr>
        <w:spacing w:after="0" w:line="188"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6.05.</w:t>
      </w:r>
      <w:r>
        <w:rPr>
          <w:sz w:val="20"/>
          <w:szCs w:val="20"/>
          <w:color w:val="auto"/>
        </w:rPr>
        <w:tab/>
      </w:r>
      <w:r>
        <w:rPr>
          <w:rFonts w:ascii="Times New Roman" w:cs="Times New Roman" w:eastAsia="Times New Roman" w:hAnsi="Times New Roman"/>
          <w:sz w:val="19"/>
          <w:szCs w:val="19"/>
          <w:u w:val="single" w:color="auto"/>
          <w:color w:val="auto"/>
        </w:rPr>
        <w:t>Limitation on Indebtedness</w:t>
      </w:r>
      <w:r>
        <w:rPr>
          <w:rFonts w:ascii="Times New Roman" w:cs="Times New Roman" w:eastAsia="Times New Roman" w:hAnsi="Times New Roman"/>
          <w:sz w:val="19"/>
          <w:szCs w:val="19"/>
          <w:color w:val="auto"/>
        </w:rPr>
        <w:t>. Create, incur, assume or suffer to exist any Indebtedness except:</w:t>
      </w:r>
    </w:p>
    <w:p>
      <w:pPr>
        <w:spacing w:after="0" w:line="256" w:lineRule="exact"/>
        <w:rPr>
          <w:sz w:val="20"/>
          <w:szCs w:val="20"/>
          <w:color w:val="auto"/>
        </w:rPr>
      </w:pPr>
    </w:p>
    <w:p>
      <w:pPr>
        <w:jc w:val="both"/>
        <w:ind w:firstLine="1304"/>
        <w:spacing w:after="0" w:line="261" w:lineRule="auto"/>
        <w:tabs>
          <w:tab w:leader="none" w:pos="1740" w:val="left"/>
        </w:tabs>
        <w:numPr>
          <w:ilvl w:val="0"/>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6.05</w:t>
      </w:r>
      <w:r>
        <w:rPr>
          <w:rFonts w:ascii="Times New Roman" w:cs="Times New Roman" w:eastAsia="Times New Roman" w:hAnsi="Times New Roman"/>
          <w:sz w:val="20"/>
          <w:szCs w:val="20"/>
          <w:color w:val="auto"/>
        </w:rPr>
        <w:t xml:space="preserve"> and any refinancings, refundings, renewals or extensions thereof (without increasing, or shortening the maturity of, the principal amount thereof, other than for accrued interest, premiums, costs and expenses);</w:t>
      </w:r>
    </w:p>
    <w:p>
      <w:pPr>
        <w:spacing w:after="0" w:line="194"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any Loan Party pursuant to any Loan Document;</w:t>
      </w:r>
    </w:p>
    <w:p>
      <w:pPr>
        <w:spacing w:after="0" w:line="256"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to any Subsidiary and of any Subsidiary to the Company or any other Subsidiary;</w:t>
      </w:r>
    </w:p>
    <w:p>
      <w:pPr>
        <w:spacing w:after="0" w:line="256" w:lineRule="exact"/>
        <w:rPr>
          <w:rFonts w:ascii="Times New Roman" w:cs="Times New Roman" w:eastAsia="Times New Roman" w:hAnsi="Times New Roman"/>
          <w:sz w:val="20"/>
          <w:szCs w:val="20"/>
          <w:color w:val="010000"/>
        </w:rPr>
      </w:pPr>
    </w:p>
    <w:p>
      <w:pPr>
        <w:ind w:right="20" w:firstLine="1304"/>
        <w:spacing w:after="0" w:line="269" w:lineRule="auto"/>
        <w:tabs>
          <w:tab w:leader="none" w:pos="1792" w:val="left"/>
        </w:tabs>
        <w:numPr>
          <w:ilvl w:val="0"/>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relating to Finance Lease Obligations and purchase money obligations for fixed or capital assets in an aggregate principal amount not to exceed $150,000,000 at any one time outstanding;</w:t>
      </w:r>
    </w:p>
    <w:p>
      <w:pPr>
        <w:spacing w:after="0" w:line="199"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808" w:val="left"/>
        </w:tabs>
        <w:numPr>
          <w:ilvl w:val="0"/>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unsecured Indebtedness of the Company having no scheduled principal payments or prepayments prior to the date which is six months after the Revolving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 such Indebtedness may be incurred only if (x) after giving effect on a pro forma basis after giving effect to such incurrence,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incurrence had occurred on such day and (y) there shall be no Event of Default;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886" w:right="339" w:bottom="1440" w:gutter="0" w:footer="0" w:header="0"/>
        </w:sectPr>
      </w:pPr>
    </w:p>
    <w:bookmarkStart w:id="109" w:name="page110"/>
    <w:bookmarkEnd w:id="109"/>
    <w:p>
      <w:pPr>
        <w:jc w:val="both"/>
        <w:ind w:firstLine="1304"/>
        <w:spacing w:after="0" w:line="261" w:lineRule="auto"/>
        <w:tabs>
          <w:tab w:leader="none" w:pos="1692"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seller-financed Indebtedness incurred by the Company or any of its Subsidiaries in an aggregate principal amount not to exceed $100,000,000 at any one time outstanding and (ii) earn-out obligations incurred in connection with investments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including Permitted Acquisitions;</w:t>
      </w:r>
    </w:p>
    <w:p>
      <w:pPr>
        <w:spacing w:after="0" w:line="208"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19"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under Hedging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Hedging Agreements are entered into in the ordinary course of business to hedge or mitigate risks as to which the Company or any of its Subsidiaries reasonably believes it is exposed in the conduct of its business or the management of its liabilities;</w:t>
      </w:r>
    </w:p>
    <w:p>
      <w:pPr>
        <w:spacing w:after="0" w:line="208"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contemplated by Section 6.04(c);</w:t>
      </w:r>
    </w:p>
    <w:p>
      <w:pPr>
        <w:spacing w:after="0" w:line="242" w:lineRule="exact"/>
        <w:rPr>
          <w:rFonts w:ascii="Times New Roman" w:cs="Times New Roman" w:eastAsia="Times New Roman" w:hAnsi="Times New Roman"/>
          <w:sz w:val="20"/>
          <w:szCs w:val="20"/>
          <w:color w:val="010000"/>
        </w:rPr>
      </w:pPr>
    </w:p>
    <w:p>
      <w:pPr>
        <w:jc w:val="both"/>
        <w:ind w:firstLine="1304"/>
        <w:spacing w:after="0" w:line="281" w:lineRule="auto"/>
        <w:tabs>
          <w:tab w:leader="none" w:pos="1694" w:val="left"/>
        </w:tabs>
        <w:numPr>
          <w:ilvl w:val="0"/>
          <w:numId w:val="1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incurred by any Foreign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principal amount of all such Indebtedness of all Foreign Subsidiaries which are not Subsidiary Guarantors or Foreign Subsidiary Borrowers shall not exceed $125,000,000 or the equivalent thereof at any one time outstanding (any Indebtedness incurred pursuant to this Section 6.05(i), “</w:t>
      </w:r>
      <w:r>
        <w:rPr>
          <w:rFonts w:ascii="Times New Roman" w:cs="Times New Roman" w:eastAsia="Times New Roman" w:hAnsi="Times New Roman"/>
          <w:sz w:val="19"/>
          <w:szCs w:val="19"/>
          <w:u w:val="single" w:color="auto"/>
          <w:color w:val="auto"/>
        </w:rPr>
        <w:t>Permitted Foreign Debt</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19"/>
          <w:szCs w:val="19"/>
          <w:color w:val="010000"/>
        </w:rPr>
      </w:pPr>
    </w:p>
    <w:p>
      <w:pPr>
        <w:jc w:val="both"/>
        <w:ind w:firstLine="1304"/>
        <w:spacing w:after="0" w:line="261" w:lineRule="auto"/>
        <w:tabs>
          <w:tab w:leader="none" w:pos="1775"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any Person that becomes a Subsidiary of the Company in a Permitted Acquisition or Indebtedness otherwise assumed by the Company or any of its Subsidiaries in connection with a Permitted Acquisition in an aggregate principal amount for all such Indebtedness not to exceed $75,000,000 at any one time outstanding;</w:t>
      </w:r>
    </w:p>
    <w:p>
      <w:pPr>
        <w:spacing w:after="0" w:line="208"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[Intentionally Omitted];</w:t>
      </w:r>
    </w:p>
    <w:p>
      <w:pPr>
        <w:spacing w:after="0" w:line="242" w:lineRule="exact"/>
        <w:rPr>
          <w:rFonts w:ascii="Times New Roman" w:cs="Times New Roman" w:eastAsia="Times New Roman" w:hAnsi="Times New Roman"/>
          <w:sz w:val="20"/>
          <w:szCs w:val="20"/>
          <w:color w:val="010000"/>
        </w:rPr>
      </w:pPr>
    </w:p>
    <w:p>
      <w:pPr>
        <w:ind w:firstLine="1304"/>
        <w:spacing w:after="0" w:line="283" w:lineRule="auto"/>
        <w:tabs>
          <w:tab w:leader="none" w:pos="1735"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any Subsidiary of the Company or any Receivables Subsidiary under any Receivables Purchase Facility in an aggregate principal amount not to exceed $750,000,000 at any one time outstanding;</w:t>
      </w:r>
    </w:p>
    <w:p>
      <w:pPr>
        <w:spacing w:after="0" w:line="186" w:lineRule="exact"/>
        <w:rPr>
          <w:rFonts w:ascii="Times New Roman" w:cs="Times New Roman" w:eastAsia="Times New Roman" w:hAnsi="Times New Roman"/>
          <w:sz w:val="20"/>
          <w:szCs w:val="20"/>
          <w:color w:val="010000"/>
        </w:rPr>
      </w:pPr>
    </w:p>
    <w:p>
      <w:pPr>
        <w:ind w:firstLine="1304"/>
        <w:spacing w:after="0" w:line="269" w:lineRule="auto"/>
        <w:tabs>
          <w:tab w:leader="none" w:pos="1779"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Guarantees by the Company of Indebtedness of any Subsidiary and by any Subsidiary of Indebtedness of the Company or any other Subsidiary;</w:t>
      </w:r>
    </w:p>
    <w:p>
      <w:pPr>
        <w:spacing w:after="0" w:line="199"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806"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010000"/>
        </w:rPr>
        <w:t>s</w:t>
      </w:r>
      <w:r>
        <w:rPr>
          <w:rFonts w:ascii="Times New Roman" w:cs="Times New Roman" w:eastAsia="Times New Roman" w:hAnsi="Times New Roman"/>
          <w:sz w:val="20"/>
          <w:szCs w:val="20"/>
          <w:color w:val="000000"/>
        </w:rPr>
        <w:t>ecured or unsecured notes (such notes, “</w:t>
      </w:r>
      <w:r>
        <w:rPr>
          <w:rFonts w:ascii="Times New Roman" w:cs="Times New Roman" w:eastAsia="Times New Roman" w:hAnsi="Times New Roman"/>
          <w:sz w:val="20"/>
          <w:szCs w:val="20"/>
          <w:u w:val="single" w:color="auto"/>
          <w:color w:val="000000"/>
        </w:rPr>
        <w:t>Incremental Equivalent Notes</w:t>
      </w:r>
      <w:r>
        <w:rPr>
          <w:rFonts w:ascii="Times New Roman" w:cs="Times New Roman" w:eastAsia="Times New Roman" w:hAnsi="Times New Roman"/>
          <w:sz w:val="20"/>
          <w:szCs w:val="20"/>
          <w:color w:val="000000"/>
        </w:rPr>
        <w:t>”) in an aggregate amount not to exceed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amount specified in </w:t>
      </w:r>
      <w:r>
        <w:rPr>
          <w:rFonts w:ascii="Times New Roman" w:cs="Times New Roman" w:eastAsia="Times New Roman" w:hAnsi="Times New Roman"/>
          <w:sz w:val="20"/>
          <w:szCs w:val="20"/>
          <w:u w:val="single" w:color="auto"/>
          <w:color w:val="000000"/>
        </w:rPr>
        <w:t>Section 2.20(a)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 no Incremental Equivalent Notes may be issued unless (i) no Default or Event of Default shall have occurred and be continuing on the date of issuance thereof, both immediately prior to and immediately after giving effect to such issuance, (ii) on the date of issuance thereof, the representations and warranties of each Loan Party set forth in the Loan Documents shall be true and correct in all material respects (or, in the case of any representation or warranty qualified by materiality or Material Adverse Effect, in all respects) on and as of such date and (iii) after giving pro forma effect to such issuance and the making of Loans and other extensions of credit thereunder to be made on the date of issuance thereof, (x) the Company shall be in compliance with the covenant contained in Section 5.09 and (y) the Leverage Ratio is less than or equal to 4.50 to 1.00, in each case of the foregoing clauses (i) and (ii), recomputed as at the last day of the most recently ended fiscal quarter of the Company as if such incurrence had occurred on such day, (B) such Indebtedness shall mature no earlier than 91 days after the Latest Maturity Date then in effect, and the weighted average life to maturity of any Incremental Equivalent Notes shall be no shorter than the remaining weighted average life to maturity of the then existing Terms Loans, (C) the terms and conditions (other than interest rate margins) of any Incremental Equivalent Notes shall not be materially more restrictive, when taken as a whole, than those applicable to the then existing Term Loans (except for covenants and other provisions applicable only to periods after the Latest Maturity Date then in effect), (D) such Incremental Equivalent Notes shall not be subject to any mandatory prepayments, except to the extent required to be applied first pro rata to the Tranche A Term Loans and any Incremental Term Loans, (E) no Incremental Equivalent Notes shall be permitted to be secured by any Liens other than as permitted pursuant to </w:t>
      </w:r>
      <w:r>
        <w:rPr>
          <w:rFonts w:ascii="Times New Roman" w:cs="Times New Roman" w:eastAsia="Times New Roman" w:hAnsi="Times New Roman"/>
          <w:sz w:val="20"/>
          <w:szCs w:val="20"/>
          <w:u w:val="single" w:color="auto"/>
          <w:color w:val="000000"/>
        </w:rPr>
        <w:t>Section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6.01(v)</w:t>
      </w:r>
      <w:r>
        <w:rPr>
          <w:rFonts w:ascii="Times New Roman" w:cs="Times New Roman" w:eastAsia="Times New Roman" w:hAnsi="Times New Roman"/>
          <w:sz w:val="20"/>
          <w:szCs w:val="20"/>
          <w:color w:val="000000"/>
        </w:rPr>
        <w:t>, (F) the obligations under the Incremental Equivalent Notes shall not be Guaranteed by any Person other than a Person that Guarantees the Obligations and (G) to the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886" w:right="339" w:bottom="1440" w:gutter="0" w:footer="0" w:header="0"/>
        </w:sectPr>
      </w:pPr>
    </w:p>
    <w:bookmarkStart w:id="110" w:name="page111"/>
    <w:bookmarkEnd w:id="110"/>
    <w:p>
      <w:pPr>
        <w:spacing w:after="0" w:line="283" w:lineRule="auto"/>
        <w:rPr>
          <w:sz w:val="20"/>
          <w:szCs w:val="20"/>
          <w:color w:val="auto"/>
        </w:rPr>
      </w:pPr>
      <w:r>
        <w:rPr>
          <w:rFonts w:ascii="Times New Roman" w:cs="Times New Roman" w:eastAsia="Times New Roman" w:hAnsi="Times New Roman"/>
          <w:sz w:val="20"/>
          <w:szCs w:val="20"/>
          <w:color w:val="auto"/>
        </w:rPr>
        <w:t>extent secured, any such Incremental Equivalent Notes shall be subject to a customary intercreditor agreement in form and substance reasonably satisfactory to the Company and the Administrative Agent; and</w:t>
      </w:r>
    </w:p>
    <w:p>
      <w:pPr>
        <w:spacing w:after="0" w:line="173" w:lineRule="exact"/>
        <w:rPr>
          <w:sz w:val="20"/>
          <w:szCs w:val="20"/>
          <w:color w:val="auto"/>
        </w:rPr>
      </w:pPr>
    </w:p>
    <w:p>
      <w:pPr>
        <w:jc w:val="both"/>
        <w:ind w:firstLine="1304"/>
        <w:spacing w:after="0" w:line="261" w:lineRule="auto"/>
        <w:tabs>
          <w:tab w:leader="none" w:pos="1738"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unsecured Indebtedness in an aggregate principal amount not to exceed the greater of (i) $250,000,000 and (ii) 4.5% of Consolidated Total Assets (determined as of the most recent fiscal quarter for which financial statements shall have been delivered pursuant to Section 5.01(a) or 5.01(b)) at any time outstanding.</w:t>
      </w:r>
    </w:p>
    <w:p>
      <w:pPr>
        <w:spacing w:after="0" w:line="20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6.06. </w:t>
      </w:r>
      <w:r>
        <w:rPr>
          <w:rFonts w:ascii="Times New Roman" w:cs="Times New Roman" w:eastAsia="Times New Roman" w:hAnsi="Times New Roman"/>
          <w:sz w:val="20"/>
          <w:szCs w:val="20"/>
          <w:u w:val="single" w:color="auto"/>
          <w:color w:val="000000"/>
        </w:rPr>
        <w:t>Restrictive Agreements</w:t>
      </w:r>
      <w:r>
        <w:rPr>
          <w:rFonts w:ascii="Times New Roman" w:cs="Times New Roman" w:eastAsia="Times New Roman" w:hAnsi="Times New Roman"/>
          <w:sz w:val="20"/>
          <w:szCs w:val="20"/>
          <w:color w:val="000000"/>
        </w:rPr>
        <w:t>. Enter into, incur or permit to exist any agreement or other arrangement that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prohibits, restricts or imposes any condition upon (a) the ability of the Company or any Subsidiary to create, incur or permit to exist any Lien upon any of its property or assets, or (b) the ability of any Subsidiary (other than a Receivables Subsidiary pursuant to the terms of a Receivables Purchase Facility permitted by this Agreement) to pay dividends or other distributions with respect to holders of its Capital Stock or to make or repay loans or advances to the Company or any other Subsidiary or to Guarantee Indebtedness of the Company or any other Subsidiary;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 the foregoing shall not apply to restrictions and conditions imposed by law or regulations or by any Loan Document, (ii)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(iii) the foregoing shall not apply to restrictions or conditions imposed by, or rights arising under, any transaction giving rise to a Lien permitted by this Agreement or any Hedging Agreement, in each case if such restrictions, conditions or rights apply only to the property or assets securing or encumbered by such transaction (or obligation thereunder) or Hedging Agreement and such restrictions, conditions or rights are customary for such transaction or Hedging Agreement, (iv) the foregoing shall not apply to restrictions or conditions imposed by any agreement relating to Indebtedness permitted by this Agreement if such restrictions or conditions are customary for such Indebtedness and (v) clause (a) of the foregoing shall not apply to customary provisions in leases and other contracts restricting the assignment thereof.</w:t>
      </w:r>
    </w:p>
    <w:p>
      <w:pPr>
        <w:spacing w:after="0" w:line="22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6.07. </w:t>
      </w:r>
      <w:r>
        <w:rPr>
          <w:rFonts w:ascii="Times New Roman" w:cs="Times New Roman" w:eastAsia="Times New Roman" w:hAnsi="Times New Roman"/>
          <w:sz w:val="20"/>
          <w:szCs w:val="20"/>
          <w:u w:val="single" w:color="auto"/>
          <w:color w:val="000000"/>
        </w:rPr>
        <w:t>Transactions with Affiliates</w:t>
      </w:r>
      <w:r>
        <w:rPr>
          <w:rFonts w:ascii="Times New Roman" w:cs="Times New Roman" w:eastAsia="Times New Roman" w:hAnsi="Times New Roman"/>
          <w:sz w:val="20"/>
          <w:szCs w:val="20"/>
          <w:color w:val="000000"/>
        </w:rPr>
        <w:t>. Enter into any transaction, including, without limitation, the purchase, sale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exchange of property or the rendering of any services, with any Affiliate, except:</w:t>
      </w:r>
    </w:p>
    <w:p>
      <w:pPr>
        <w:spacing w:after="0" w:line="200" w:lineRule="exact"/>
        <w:rPr>
          <w:sz w:val="20"/>
          <w:szCs w:val="20"/>
          <w:color w:val="auto"/>
        </w:rPr>
      </w:pPr>
    </w:p>
    <w:p>
      <w:pPr>
        <w:ind w:firstLine="1304"/>
        <w:spacing w:after="0" w:line="283" w:lineRule="auto"/>
        <w:tabs>
          <w:tab w:leader="none" w:pos="1781"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on terms and conditions not materially less favorable to the Company or such Subsidiary than could be obtained on an arm’s-length basis from a Person that is not an Affiliate for a comparable transaction;</w:t>
      </w:r>
    </w:p>
    <w:p>
      <w:pPr>
        <w:spacing w:after="0" w:line="173" w:lineRule="exact"/>
        <w:rPr>
          <w:rFonts w:ascii="Times New Roman" w:cs="Times New Roman" w:eastAsia="Times New Roman" w:hAnsi="Times New Roman"/>
          <w:sz w:val="20"/>
          <w:szCs w:val="20"/>
          <w:color w:val="010000"/>
        </w:rPr>
      </w:pPr>
    </w:p>
    <w:p>
      <w:pPr>
        <w:ind w:firstLine="1304"/>
        <w:spacing w:after="0" w:line="283" w:lineRule="auto"/>
        <w:tabs>
          <w:tab w:leader="none" w:pos="1859"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between or among the Company and its Subsidiaries (or an entity that becomes a Subsidiary of the Company as a result of such transaction) (or any combination thereof);</w:t>
      </w:r>
    </w:p>
    <w:p>
      <w:pPr>
        <w:spacing w:after="0" w:line="173"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54"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of fees to directors of the Company or any of its Subsidiaries, and compensation,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Company or any of its Subsidiaries, in each case in the ordinary course of business;</w:t>
      </w:r>
    </w:p>
    <w:p>
      <w:pPr>
        <w:spacing w:after="0" w:line="212"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undertaken in good faith for the purpose of improving the overall tax efficiency of the Company and its</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Subsidiaries;</w:t>
      </w:r>
    </w:p>
    <w:p>
      <w:pPr>
        <w:spacing w:after="0" w:line="234" w:lineRule="exact"/>
        <w:rPr>
          <w:rFonts w:ascii="Times New Roman" w:cs="Times New Roman" w:eastAsia="Times New Roman" w:hAnsi="Times New Roman"/>
          <w:sz w:val="20"/>
          <w:szCs w:val="20"/>
          <w:color w:val="010000"/>
        </w:rPr>
      </w:pPr>
    </w:p>
    <w:p>
      <w:pPr>
        <w:ind w:firstLine="1304"/>
        <w:spacing w:after="0" w:line="283" w:lineRule="auto"/>
        <w:tabs>
          <w:tab w:leader="none" w:pos="1835"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loans, advances and other transactions to the extent permitted by the terms of this Agreement, including without limitation any Restricted Payment permitted by Section 6.14 and transactions permitted by Sections 6.03, 6.04 and 6.08;</w:t>
      </w:r>
    </w:p>
    <w:p>
      <w:pPr>
        <w:spacing w:after="0" w:line="173" w:lineRule="exact"/>
        <w:rPr>
          <w:rFonts w:ascii="Times New Roman" w:cs="Times New Roman" w:eastAsia="Times New Roman" w:hAnsi="Times New Roman"/>
          <w:sz w:val="20"/>
          <w:szCs w:val="20"/>
          <w:color w:val="010000"/>
        </w:rPr>
      </w:pPr>
    </w:p>
    <w:p>
      <w:pPr>
        <w:ind w:left="1700" w:hanging="396"/>
        <w:spacing w:after="0"/>
        <w:tabs>
          <w:tab w:leader="none" w:pos="170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issuances of Capital Stock to Affiliates and the registration rights associated therewith;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886" w:right="339" w:bottom="1440" w:gutter="0" w:footer="0" w:header="0"/>
        </w:sectPr>
      </w:pPr>
    </w:p>
    <w:bookmarkStart w:id="111" w:name="page112"/>
    <w:bookmarkEnd w:id="111"/>
    <w:p>
      <w:pPr>
        <w:ind w:left="1740" w:hanging="436"/>
        <w:spacing w:after="0"/>
        <w:tabs>
          <w:tab w:leader="none" w:pos="1740"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associated with the relocation expenses of officers of the Company in the ordinary course of business;</w:t>
      </w:r>
    </w:p>
    <w:p>
      <w:pPr>
        <w:spacing w:after="0" w:line="256"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46"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pursuant to agreements in effect on the Effective Date (together with any amendments, restatements, extensions, replacements or other modifications thereto that are not materially adverse to the interests of the Lenders in their capacities as such);</w:t>
      </w:r>
    </w:p>
    <w:p>
      <w:pPr>
        <w:spacing w:after="0" w:line="194" w:lineRule="exact"/>
        <w:rPr>
          <w:rFonts w:ascii="Times New Roman" w:cs="Times New Roman" w:eastAsia="Times New Roman" w:hAnsi="Times New Roman"/>
          <w:sz w:val="20"/>
          <w:szCs w:val="20"/>
          <w:color w:val="010000"/>
        </w:rPr>
      </w:pPr>
    </w:p>
    <w:p>
      <w:pPr>
        <w:ind w:firstLine="1304"/>
        <w:spacing w:after="0" w:line="283" w:lineRule="auto"/>
        <w:tabs>
          <w:tab w:leader="none" w:pos="1775"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with joint ventures for the purchase or sale of property or other assets and services entered into in the ordinary course of business and investments in joint ventures;</w:t>
      </w:r>
    </w:p>
    <w:p>
      <w:pPr>
        <w:spacing w:after="0" w:line="186"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approved by a majority of Disinterested Directors of the Company or of the applicable Subsidiary in good</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faith;</w:t>
      </w:r>
    </w:p>
    <w:p>
      <w:pPr>
        <w:spacing w:after="0" w:line="234"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with a Receivables Subsidiary in connection with any Receivables Purchase Facilities permitted by this</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Agreement; and</w:t>
      </w:r>
    </w:p>
    <w:p>
      <w:pPr>
        <w:spacing w:after="0" w:line="234" w:lineRule="exact"/>
        <w:rPr>
          <w:rFonts w:ascii="Times New Roman" w:cs="Times New Roman" w:eastAsia="Times New Roman" w:hAnsi="Times New Roman"/>
          <w:sz w:val="20"/>
          <w:szCs w:val="20"/>
          <w:color w:val="010000"/>
        </w:rPr>
      </w:pPr>
    </w:p>
    <w:p>
      <w:pPr>
        <w:ind w:firstLine="1304"/>
        <w:spacing w:after="0" w:line="283" w:lineRule="auto"/>
        <w:tabs>
          <w:tab w:leader="none" w:pos="1708"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transactions or series of related transactions with respect to which the aggregate consideration paid, or fair market value of property Disposed of, by the Company and its Subsidiaries is less than $5,000,000.</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For the avoidance of doubt, transactions with the Charitable Foundation shall in no event be considered to be transactions with an Affiliate.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6.08. </w:t>
      </w:r>
      <w:r>
        <w:rPr>
          <w:rFonts w:ascii="Times New Roman" w:cs="Times New Roman" w:eastAsia="Times New Roman" w:hAnsi="Times New Roman"/>
          <w:sz w:val="20"/>
          <w:szCs w:val="20"/>
          <w:u w:val="single" w:color="auto"/>
          <w:color w:val="000000"/>
        </w:rPr>
        <w:t>Limitation on Sale of Assets</w:t>
      </w:r>
      <w:r>
        <w:rPr>
          <w:rFonts w:ascii="Times New Roman" w:cs="Times New Roman" w:eastAsia="Times New Roman" w:hAnsi="Times New Roman"/>
          <w:sz w:val="20"/>
          <w:szCs w:val="20"/>
          <w:color w:val="000000"/>
        </w:rPr>
        <w:t>. Except as permitted or contemplated by this Agreement or any other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 Dispose of any of its Domestic Assets with a book value (in combination with any other Domestic Assets sold in the same or any related transaction) in excess of $25,000,000, whether now owned or hereafter acquired, except that the Company or any of its Subsidiaries may Dispose of:</w:t>
      </w:r>
    </w:p>
    <w:p>
      <w:pPr>
        <w:spacing w:after="0" w:line="213" w:lineRule="exact"/>
        <w:rPr>
          <w:sz w:val="20"/>
          <w:szCs w:val="20"/>
          <w:color w:val="auto"/>
        </w:rPr>
      </w:pPr>
    </w:p>
    <w:p>
      <w:pPr>
        <w:ind w:firstLine="1304"/>
        <w:spacing w:after="0" w:line="269" w:lineRule="auto"/>
        <w:tabs>
          <w:tab w:leader="none" w:pos="174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assets between the Company and any Subsidiary or between any two or more Subsidiaries, other than a Disposition of assets made by the Company or any Subsidiary Guarantor to a Subsidiary that is not a Subsidiary Guarantor;</w:t>
      </w:r>
    </w:p>
    <w:p>
      <w:pPr>
        <w:spacing w:after="0" w:line="19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obsolete or worn out property or property (including inventory) Disposed of in the ordinary course of business;</w:t>
      </w:r>
    </w:p>
    <w:p>
      <w:pPr>
        <w:spacing w:after="0" w:line="242"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808"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Domestic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book value of all such Domestic Assets in all such transactions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Disposal shall not exceed 25% of Consolidated Total Assets (determined as of the most recent fiscal quarter for which financial statements shall have been delivered pursuant to Section 5.01(a) or 5.01(b) and calculated by aggregating the percentage of Consolidated Total Assets represented by each Disposal at the time of such Disposal);</w:t>
      </w:r>
    </w:p>
    <w:p>
      <w:pPr>
        <w:spacing w:after="0" w:line="212"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Sold Receivables Assets pursuant to any Receivables Purchase Facility;</w:t>
      </w:r>
    </w:p>
    <w:p>
      <w:pPr>
        <w:spacing w:after="0" w:line="242"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assets sold in the context of sale-leaseback transactions permitted under Section 6.09;</w:t>
      </w:r>
    </w:p>
    <w:p>
      <w:pPr>
        <w:spacing w:after="0" w:line="256" w:lineRule="exact"/>
        <w:rPr>
          <w:rFonts w:ascii="Times New Roman" w:cs="Times New Roman" w:eastAsia="Times New Roman" w:hAnsi="Times New Roman"/>
          <w:sz w:val="20"/>
          <w:szCs w:val="20"/>
          <w:color w:val="010000"/>
        </w:rPr>
      </w:pPr>
    </w:p>
    <w:p>
      <w:pPr>
        <w:ind w:left="1700" w:hanging="396"/>
        <w:spacing w:after="0"/>
        <w:tabs>
          <w:tab w:leader="none" w:pos="170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asset sales permitted under Section 6.03(c);</w:t>
      </w:r>
    </w:p>
    <w:p>
      <w:pPr>
        <w:spacing w:after="0" w:line="256"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assets constituting investments permitted by Sections 6.04(g) and 6.04(h);</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129" w:right="339" w:bottom="1440" w:gutter="0" w:footer="0" w:header="0"/>
        </w:sectPr>
      </w:pPr>
    </w:p>
    <w:bookmarkStart w:id="112" w:name="page113"/>
    <w:bookmarkEnd w:id="112"/>
    <w:p>
      <w:pPr>
        <w:jc w:val="both"/>
        <w:ind w:firstLine="1304"/>
        <w:spacing w:after="0" w:line="253" w:lineRule="auto"/>
        <w:tabs>
          <w:tab w:leader="none" w:pos="1778"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HGC Divestiture (it being understood and agreed that (i) in connection with any HGC Divestiture, the Company will be free to transfer any and all assets related to HGC’s business, including, without limitation, working capital at a level that the Company deems appropriate and (ii) the HGC Divestiture may include the provision of post-closing goods and services from the Company, some of which may be at no additional charge because the fee for such goods and services will be included in the HGC Divestiture consideration;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fair market value of all goods and services provided by the Company to the buyer of HGC and/or its business after the consummation of the HGC Divestiture shall not exceed $20,000,000); and</w:t>
      </w:r>
    </w:p>
    <w:p>
      <w:pPr>
        <w:spacing w:after="0" w:line="219"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Disposition of HGC Divestiture Initial Non-Cash Consideration to a third party;</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Dispositions permitted under this Section 6.08 (other than those permitted by clauses (a), (d), (g), (h) and (i) above) shall be made for fair value and for at least 75% cash consideration.</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To the extent the Required Lenders waive the provisions of this Section 6.08 with respect to the Disposition of any assets or any assets are Disposed of as permitted by this Section 6.08, such assets (unless sold, leased, transferred or otherwise disposed of to a Loan Party) shall be Disposed of free and clear of the Liens created by the Security Documents.</w:t>
      </w:r>
    </w:p>
    <w:p>
      <w:pPr>
        <w:spacing w:after="0" w:line="18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6.09. </w:t>
      </w:r>
      <w:r>
        <w:rPr>
          <w:rFonts w:ascii="Times New Roman" w:cs="Times New Roman" w:eastAsia="Times New Roman" w:hAnsi="Times New Roman"/>
          <w:sz w:val="20"/>
          <w:szCs w:val="20"/>
          <w:u w:val="single" w:color="auto"/>
          <w:color w:val="000000"/>
        </w:rPr>
        <w:t>Sale and Leaseback</w:t>
      </w:r>
      <w:r>
        <w:rPr>
          <w:rFonts w:ascii="Times New Roman" w:cs="Times New Roman" w:eastAsia="Times New Roman" w:hAnsi="Times New Roman"/>
          <w:sz w:val="20"/>
          <w:szCs w:val="20"/>
          <w:color w:val="000000"/>
        </w:rPr>
        <w:t>. Enter into any arrangement with any Person providing for the leasing by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Company or any of its Subsidiaries of real or personal property which has been or is to be sold or transferred by the Company or any such Subsidiary to such Person or to any other Person to whom funds have been or are to be advanced by such Person on the security of such property or rental obligations of the Company or any such Subsidiary, except with respect to (i) such transactions described on </w:t>
      </w:r>
      <w:r>
        <w:rPr>
          <w:rFonts w:ascii="Times New Roman" w:cs="Times New Roman" w:eastAsia="Times New Roman" w:hAnsi="Times New Roman"/>
          <w:sz w:val="20"/>
          <w:szCs w:val="20"/>
          <w:u w:val="single" w:color="auto"/>
          <w:color w:val="000000"/>
        </w:rPr>
        <w:t>Schedule 6.09</w:t>
      </w:r>
      <w:r>
        <w:rPr>
          <w:rFonts w:ascii="Times New Roman" w:cs="Times New Roman" w:eastAsia="Times New Roman" w:hAnsi="Times New Roman"/>
          <w:sz w:val="20"/>
          <w:szCs w:val="20"/>
          <w:color w:val="000000"/>
        </w:rPr>
        <w:t xml:space="preserve"> and (ii) any other such transactions which shall not have an aggregate fair market value in excess of $150,000,000 since the Effective Date.</w:t>
      </w:r>
    </w:p>
    <w:p>
      <w:pPr>
        <w:spacing w:after="0" w:line="2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6.10. </w:t>
      </w:r>
      <w:r>
        <w:rPr>
          <w:rFonts w:ascii="Times New Roman" w:cs="Times New Roman" w:eastAsia="Times New Roman" w:hAnsi="Times New Roman"/>
          <w:sz w:val="20"/>
          <w:szCs w:val="20"/>
          <w:u w:val="single" w:color="auto"/>
          <w:color w:val="000000"/>
        </w:rPr>
        <w:t>Fiscal Year</w:t>
      </w:r>
      <w:r>
        <w:rPr>
          <w:rFonts w:ascii="Times New Roman" w:cs="Times New Roman" w:eastAsia="Times New Roman" w:hAnsi="Times New Roman"/>
          <w:sz w:val="20"/>
          <w:szCs w:val="20"/>
          <w:color w:val="000000"/>
        </w:rPr>
        <w:t>. Permit the fiscal year of the Company and its Subsidiaries to end on a day other than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September 30;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after the Effective Date, the Company may, on one occasion, permanently change the date on which the fiscal year of the Company and its Subsidiaries ends upon 30 days prior written notice to the Administrative Agent.</w:t>
      </w:r>
    </w:p>
    <w:p>
      <w:pPr>
        <w:spacing w:after="0" w:line="2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6.11. </w:t>
      </w:r>
      <w:r>
        <w:rPr>
          <w:rFonts w:ascii="Times New Roman" w:cs="Times New Roman" w:eastAsia="Times New Roman" w:hAnsi="Times New Roman"/>
          <w:sz w:val="20"/>
          <w:szCs w:val="20"/>
          <w:u w:val="single" w:color="auto"/>
          <w:color w:val="000000"/>
        </w:rPr>
        <w:t>Modification of Certain Debt Instruments</w:t>
      </w:r>
      <w:r>
        <w:rPr>
          <w:rFonts w:ascii="Times New Roman" w:cs="Times New Roman" w:eastAsia="Times New Roman" w:hAnsi="Times New Roman"/>
          <w:sz w:val="20"/>
          <w:szCs w:val="20"/>
          <w:color w:val="000000"/>
        </w:rPr>
        <w:t>. Amend, modify, waive or otherwise change, or consent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agree to any amendment, modification, waiver or other change to, any of the terms of the Existing Senior Notes or any other unsecured or subordinated notes (or any refinancing thereof) issued pursuant to Sections 6.05(e) or 6.05(n) other than any such amendment, modification, waiver or other change that:</w:t>
      </w:r>
    </w:p>
    <w:p>
      <w:pPr>
        <w:spacing w:after="0" w:line="199" w:lineRule="exact"/>
        <w:rPr>
          <w:sz w:val="20"/>
          <w:szCs w:val="20"/>
          <w:color w:val="auto"/>
        </w:rPr>
      </w:pPr>
    </w:p>
    <w:p>
      <w:pPr>
        <w:jc w:val="both"/>
        <w:ind w:firstLine="1304"/>
        <w:spacing w:after="0" w:line="261" w:lineRule="auto"/>
        <w:tabs>
          <w:tab w:leader="none" w:pos="1713"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would extend the maturity or reduce the amount of any payment of principal thereof or reduce the rate or extend any date for payment of interest thereon, (ii) does not involve the payment of a consent fee material in proportion to the outstanding principal amount thereof and (iii) is no more restrictive to the Company and not material and adverse to the Lenders; or</w:t>
      </w:r>
    </w:p>
    <w:p>
      <w:pPr>
        <w:spacing w:after="0" w:line="208"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24"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provides for actions which (i) are expressly permitted under this Agreement and (ii) do not require the consent of any of the holders of the Existing Senior Notes or unsecured or subordinated notes (or refinancing thereof) issued pursuant to Sections 6.05(e) or 6.05(n).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Nothing in this Section 6.11 shall be deemed to prohibit the optional prepayment, retirement, redemption, purchase, defeaseance or exchange (or arranging therefor) of the Existing Senior Notes or any Indebtedness outstanding pursuant to Sections 6.05(e) or 6.05(n), which optional prepayment, retirement, redemption, purchase, defeaseance or exchange shall be otherwise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886" w:right="339" w:bottom="1440" w:gutter="0" w:footer="0" w:header="0"/>
        </w:sectPr>
      </w:pPr>
    </w:p>
    <w:bookmarkStart w:id="113" w:name="page114"/>
    <w:bookmarkEnd w:id="113"/>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6.12. </w:t>
      </w:r>
      <w:r>
        <w:rPr>
          <w:rFonts w:ascii="Times New Roman" w:cs="Times New Roman" w:eastAsia="Times New Roman" w:hAnsi="Times New Roman"/>
          <w:sz w:val="20"/>
          <w:szCs w:val="20"/>
          <w:u w:val="single" w:color="auto"/>
          <w:color w:val="000000"/>
        </w:rPr>
        <w:t>Canadian Pension Plans</w:t>
      </w:r>
      <w:r>
        <w:rPr>
          <w:rFonts w:ascii="Times New Roman" w:cs="Times New Roman" w:eastAsia="Times New Roman" w:hAnsi="Times New Roman"/>
          <w:sz w:val="20"/>
          <w:szCs w:val="20"/>
          <w:color w:val="000000"/>
        </w:rPr>
        <w:t>. Sponsor, administer, contribute to or assume any actual or contingent liability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respect of any Canadian Defined Benefit Plan.</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6.13. </w:t>
      </w:r>
      <w:r>
        <w:rPr>
          <w:rFonts w:ascii="Times New Roman" w:cs="Times New Roman" w:eastAsia="Times New Roman" w:hAnsi="Times New Roman"/>
          <w:sz w:val="20"/>
          <w:szCs w:val="20"/>
          <w:u w:val="single" w:color="auto"/>
          <w:color w:val="000000"/>
        </w:rPr>
        <w:t>Lines of Business</w:t>
      </w:r>
      <w:r>
        <w:rPr>
          <w:rFonts w:ascii="Times New Roman" w:cs="Times New Roman" w:eastAsia="Times New Roman" w:hAnsi="Times New Roman"/>
          <w:sz w:val="20"/>
          <w:szCs w:val="20"/>
          <w:color w:val="000000"/>
        </w:rPr>
        <w:t>. Engage to any material extent in any business activities other than in the respective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primary lines of business of the Company and its Subsidiaries (which shall include any evolution or extension of business activities and any business activities reasonably related to such primary lines of business conducted on the Effective Date).</w:t>
      </w:r>
    </w:p>
    <w:p>
      <w:pPr>
        <w:spacing w:after="0" w:line="2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6.14. </w:t>
      </w:r>
      <w:r>
        <w:rPr>
          <w:rFonts w:ascii="Times New Roman" w:cs="Times New Roman" w:eastAsia="Times New Roman" w:hAnsi="Times New Roman"/>
          <w:sz w:val="20"/>
          <w:szCs w:val="20"/>
          <w:u w:val="single" w:color="auto"/>
          <w:color w:val="000000"/>
        </w:rPr>
        <w:t>Restricted Payments</w:t>
      </w:r>
      <w:r>
        <w:rPr>
          <w:rFonts w:ascii="Times New Roman" w:cs="Times New Roman" w:eastAsia="Times New Roman" w:hAnsi="Times New Roman"/>
          <w:sz w:val="20"/>
          <w:szCs w:val="20"/>
          <w:color w:val="000000"/>
        </w:rPr>
        <w:t>. Declare or pay any dividend (other than dividends payable solely in common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stock of the Person making such dividend) on, or make any payment on account of, or set apart assets for a sinking or other analogous fund for, the purchase, redemption, defeasance, retirement or other acquisition of, any of its Capital Stock, whether now or hereafter outstanding, or make any other distribution in respect thereof, either directly or indirectly, whether in cash or property or in obligations (collectively, “</w:t>
      </w:r>
      <w:r>
        <w:rPr>
          <w:rFonts w:ascii="Times New Roman" w:cs="Times New Roman" w:eastAsia="Times New Roman" w:hAnsi="Times New Roman"/>
          <w:sz w:val="20"/>
          <w:szCs w:val="20"/>
          <w:u w:val="single" w:color="auto"/>
          <w:color w:val="000000"/>
        </w:rPr>
        <w:t>Restricted Payments</w:t>
      </w:r>
      <w:r>
        <w:rPr>
          <w:rFonts w:ascii="Times New Roman" w:cs="Times New Roman" w:eastAsia="Times New Roman" w:hAnsi="Times New Roman"/>
          <w:sz w:val="20"/>
          <w:szCs w:val="20"/>
          <w:color w:val="000000"/>
        </w:rPr>
        <w:t>”), except that:</w:t>
      </w:r>
    </w:p>
    <w:p>
      <w:pPr>
        <w:spacing w:after="0" w:line="219" w:lineRule="exact"/>
        <w:rPr>
          <w:sz w:val="20"/>
          <w:szCs w:val="20"/>
          <w:color w:val="auto"/>
        </w:rPr>
      </w:pPr>
    </w:p>
    <w:p>
      <w:pPr>
        <w:ind w:left="1720" w:hanging="416"/>
        <w:spacing w:after="0"/>
        <w:tabs>
          <w:tab w:leader="none" w:pos="172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Subsidiary may make Restricted Payments to the Company or any other Subsidiary;</w:t>
      </w:r>
    </w:p>
    <w:p>
      <w:pPr>
        <w:spacing w:after="0" w:line="256"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38"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any of its Subsidiaries may make repurchases of its Capital Stock deemed to occur upon the exercise of stock options or the vesting or settlement of other equity or equity-based awards if such Capital Stock represents all or part of the exercise price of such options or represents any income or employment tax withholding associated therewith; and</w:t>
      </w:r>
    </w:p>
    <w:p>
      <w:pPr>
        <w:spacing w:after="0" w:line="194"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94"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so long as no Default or Event of Default has occurred and is continuing at the time of declaration or would result therefrom, (i) the Company and any of its Subsidiaries may make unlimited Restricted Payments so long as after giving effect to any such Restricted Payments the Leverage Ratio (calculated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as of the last day of the most recently completed fiscal quarter, but including in the calculation thereof the Indebtedness of the Company and its consolidated Subsidiaries after giving effect to such Restricted Payment) is less than or equal to 4.00 to 1.00 and (ii) in addition to the foregoing, the Company and any of its Subsidiaries may make further Restricted Payments at all other times in an aggregate amount not to exceed $225,000,000 for each fiscal year (less the amount of any investments made during such fiscal year in reliance on Section 6.04(o)(ii)).</w:t>
      </w:r>
    </w:p>
    <w:p>
      <w:pPr>
        <w:spacing w:after="0" w:line="20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6.15.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Request any Borrowing or Letter of Credit or use (or permit their respective directors,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officers, employees and agents to use) the proceeds of any Borrowing or Letter of Credit (A) in furtherance of an offer, payment, promise to pay, or authorization of the payment or giving of money, or anything else of value, to any Person in violation of any Anti-Corruption Laws or Anti-Money Laundering Laws, (B) for the purpose of funding, financing or facilitating any activities, business or transaction of or with any Sanctioned Person, or in any Sanctioned Country, except to the extent permitted for a Person required to comply with Sanctions, or (C) in violation of any Sanctions applicable to any party hereto.</w:t>
      </w:r>
    </w:p>
    <w:p>
      <w:pPr>
        <w:spacing w:after="0" w:line="21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6.16. </w:t>
      </w:r>
      <w:r>
        <w:rPr>
          <w:rFonts w:ascii="Times New Roman" w:cs="Times New Roman" w:eastAsia="Times New Roman" w:hAnsi="Times New Roman"/>
          <w:sz w:val="20"/>
          <w:szCs w:val="20"/>
          <w:u w:val="single" w:color="auto"/>
          <w:color w:val="000000"/>
        </w:rPr>
        <w:t>Material Intellectual Property</w:t>
      </w:r>
      <w:r>
        <w:rPr>
          <w:rFonts w:ascii="Times New Roman" w:cs="Times New Roman" w:eastAsia="Times New Roman" w:hAnsi="Times New Roman"/>
          <w:sz w:val="20"/>
          <w:szCs w:val="20"/>
          <w:color w:val="000000"/>
        </w:rPr>
        <w:t>. Assign, transfer, or exclusively license or exclusively sublicense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Material Intellectual Property to any Subsidiary that is not a Subsidiary Guarantor other than such assignments, transfers, licenses or sublicenses of Material Intellectual Property owned or licensed by, or otherwise used in the business of, HGC or any of its’ Subsidiaries contemplated to be assigned, transferred or exclusively licensed to HGC or any of its’ Subsidiaries by the HGC Divestiture.</w:t>
      </w:r>
    </w:p>
    <w:p>
      <w:pPr>
        <w:spacing w:after="0" w:line="19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6.17. </w:t>
      </w:r>
      <w:r>
        <w:rPr>
          <w:rFonts w:ascii="Times New Roman" w:cs="Times New Roman" w:eastAsia="Times New Roman" w:hAnsi="Times New Roman"/>
          <w:sz w:val="20"/>
          <w:szCs w:val="20"/>
          <w:u w:val="single" w:color="auto"/>
          <w:color w:val="000000"/>
        </w:rPr>
        <w:t>Outbound Investment Rules</w:t>
      </w:r>
      <w:r>
        <w:rPr>
          <w:rFonts w:ascii="Times New Roman" w:cs="Times New Roman" w:eastAsia="Times New Roman" w:hAnsi="Times New Roman"/>
          <w:sz w:val="20"/>
          <w:szCs w:val="20"/>
          <w:color w:val="000000"/>
        </w:rPr>
        <w:t>. The Company will not, and will not permit any of its Subsidiaries to,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886" w:right="339" w:bottom="1440" w:gutter="0" w:footer="0" w:header="0"/>
        </w:sectPr>
      </w:pPr>
    </w:p>
    <w:bookmarkStart w:id="114" w:name="page115"/>
    <w:bookmarkEnd w:id="114"/>
    <w:p>
      <w:pPr>
        <w:jc w:val="both"/>
        <w:spacing w:after="0" w:line="261" w:lineRule="auto"/>
        <w:rPr>
          <w:sz w:val="20"/>
          <w:szCs w:val="20"/>
          <w:color w:val="auto"/>
        </w:rPr>
      </w:pPr>
      <w:r>
        <w:rPr>
          <w:rFonts w:ascii="Times New Roman" w:cs="Times New Roman" w:eastAsia="Times New Roman" w:hAnsi="Times New Roman"/>
          <w:sz w:val="20"/>
          <w:szCs w:val="20"/>
          <w:color w:val="auto"/>
        </w:rPr>
        <w:t>Outbound Investment Rules, if the Company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VII</w:t>
      </w:r>
    </w:p>
    <w:p>
      <w:pPr>
        <w:spacing w:after="0" w:line="2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256" w:lineRule="exact"/>
        <w:rPr>
          <w:sz w:val="20"/>
          <w:szCs w:val="20"/>
          <w:color w:val="auto"/>
        </w:rPr>
      </w:pPr>
    </w:p>
    <w:p>
      <w:pPr>
        <w:jc w:val="both"/>
        <w:ind w:firstLine="1304"/>
        <w:spacing w:after="0" w:line="263" w:lineRule="auto"/>
        <w:tabs>
          <w:tab w:leader="none" w:pos="1713" w:val="left"/>
        </w:tabs>
        <w:numPr>
          <w:ilvl w:val="1"/>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The Company or the relevant Subsidiary Borrower shall fail to pay any principal of any Loan (other than any scheduled payments of principal in respect of Term Loans prior to the applicable Maturity Date) or any reimbursement obligation in respect of any LC Disbursement when any such amount becomes due in accordance with the terms thereof or hereof; or the Company or the relevant Subsidiary Borrower shall fail to pay (i) any scheduled payments of principal in respect of Term Loans prior to the applicable Maturity Date,</w:t>
      </w:r>
    </w:p>
    <w:p>
      <w:pPr>
        <w:spacing w:after="0" w:line="2" w:lineRule="exact"/>
        <w:rPr>
          <w:rFonts w:ascii="Times New Roman" w:cs="Times New Roman" w:eastAsia="Times New Roman" w:hAnsi="Times New Roman"/>
          <w:sz w:val="19"/>
          <w:szCs w:val="19"/>
          <w:color w:val="010000"/>
        </w:rPr>
      </w:pPr>
    </w:p>
    <w:p>
      <w:pPr>
        <w:jc w:val="both"/>
        <w:ind w:firstLine="8"/>
        <w:spacing w:after="0" w:line="253" w:lineRule="auto"/>
        <w:tabs>
          <w:tab w:leader="none" w:pos="291"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on any Loan or (iii) any fee or other amount payable hereunder, in each case (for the purposes of the preceding clauses (i), (ii) and (iii)) within five Business Days after any such scheduled payment of principal, interest, fee or amount becomes due in accordance with the terms thereof or hereof; or</w:t>
      </w:r>
    </w:p>
    <w:p>
      <w:pPr>
        <w:spacing w:after="0" w:line="21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65"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or warranty made or deemed made by the Company or any of its Subsidiaries in any of the Loan Documents to which it is a party or which is contained in any certificate, document or financial statement furnished at any time under or in connection herewith or therewith shall prove to have been incorrect in any material respect on or as of the date made or deemed made; or</w:t>
      </w:r>
    </w:p>
    <w:p>
      <w:pPr>
        <w:spacing w:after="0" w:line="199"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862"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Certain Covenants</w:t>
      </w:r>
      <w:r>
        <w:rPr>
          <w:rFonts w:ascii="Times New Roman" w:cs="Times New Roman" w:eastAsia="Times New Roman" w:hAnsi="Times New Roman"/>
          <w:sz w:val="20"/>
          <w:szCs w:val="20"/>
          <w:color w:val="auto"/>
        </w:rPr>
        <w:t>. The Company shall default in the observance or performance of any covenant or agreement contained in (i) Section 5.08(a), 5.09 or 5.10 or (ii) Section 6.15 to the extent such default in respect of such Section 6.15 could reasonably be expected to result in a Material Adverse Effect or could reasonably be expected to result in a violation of any applicable Sanctions by, or liability to, a Lender or the Administrative Agent; or</w:t>
      </w:r>
    </w:p>
    <w:p>
      <w:pPr>
        <w:spacing w:after="0" w:line="199" w:lineRule="exact"/>
        <w:rPr>
          <w:rFonts w:ascii="Times New Roman" w:cs="Times New Roman" w:eastAsia="Times New Roman" w:hAnsi="Times New Roman"/>
          <w:sz w:val="20"/>
          <w:szCs w:val="20"/>
          <w:color w:val="010000"/>
        </w:rPr>
      </w:pPr>
    </w:p>
    <w:p>
      <w:pPr>
        <w:jc w:val="both"/>
        <w:ind w:firstLine="1304"/>
        <w:spacing w:after="0" w:line="257" w:lineRule="auto"/>
        <w:tabs>
          <w:tab w:leader="none" w:pos="1846"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Covenants</w:t>
      </w:r>
      <w:r>
        <w:rPr>
          <w:rFonts w:ascii="Times New Roman" w:cs="Times New Roman" w:eastAsia="Times New Roman" w:hAnsi="Times New Roman"/>
          <w:sz w:val="20"/>
          <w:szCs w:val="20"/>
          <w:color w:val="auto"/>
        </w:rPr>
        <w:t xml:space="preserve">. The Company or any of its Subsidiaries shall default in the observance or performance of any covenant or agreement (i) contained in Sections 6.03, 6.05, 6.08, 6.09 or 6.14 and such default shall continue unremedied for a period of 10 days or (ii) contained in this Agreement or in any other Loan Document not referred to in preceding clause (i) or clause (c)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such default shall continue unremedied for a period of 30 days after the earlier of written notice thereof to the Company or knowledge of a Responsible Officer of the Company; or</w:t>
      </w:r>
    </w:p>
    <w:p>
      <w:pPr>
        <w:spacing w:after="0" w:line="199"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94"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Cross Default</w:t>
      </w:r>
      <w:r>
        <w:rPr>
          <w:rFonts w:ascii="Times New Roman" w:cs="Times New Roman" w:eastAsia="Times New Roman" w:hAnsi="Times New Roman"/>
          <w:sz w:val="20"/>
          <w:szCs w:val="20"/>
          <w:color w:val="auto"/>
        </w:rPr>
        <w:t>. (i) The Company or any of its Material Subsidiaries shall default in any payment of principal of or interest on any Indebtedness (other than the Loans), the aggregate principal amount of which exceeds $150,000,000, beyond the period of grace, if any, provided in the instrument or agreement under which such Indebtedness was created; or (ii) any event or condition occurs that results in any such Indebtedness becoming due prior to its scheduled maturity or that enables or permits (with or without the giving of notice, the lapse of time or both) the holder or holders of any such Indebtedness or any trustee or agent on its or their behalf to cause any such Indebtedness to become due, or to require the prepayment, repurchase, redemption or defeasance thereof, prior to its stated maturity; or (iii) any such Indebtedness shall be declared to be due and payable, or required to be prepaid (other than by a regularly scheduled required prepayment) prior to the stated maturity thereof; or</w:t>
      </w:r>
    </w:p>
    <w:p>
      <w:pPr>
        <w:spacing w:after="0" w:line="207" w:lineRule="exact"/>
        <w:rPr>
          <w:rFonts w:ascii="Times New Roman" w:cs="Times New Roman" w:eastAsia="Times New Roman" w:hAnsi="Times New Roman"/>
          <w:sz w:val="20"/>
          <w:szCs w:val="20"/>
          <w:color w:val="010000"/>
        </w:rPr>
      </w:pPr>
    </w:p>
    <w:p>
      <w:pPr>
        <w:ind w:firstLine="1304"/>
        <w:spacing w:after="0" w:line="283" w:lineRule="auto"/>
        <w:tabs>
          <w:tab w:leader="none" w:pos="1773"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Commencement of Bankruptcy or Reorganization Proceedings</w:t>
      </w:r>
      <w:r>
        <w:rPr>
          <w:rFonts w:ascii="Times New Roman" w:cs="Times New Roman" w:eastAsia="Times New Roman" w:hAnsi="Times New Roman"/>
          <w:sz w:val="20"/>
          <w:szCs w:val="20"/>
          <w:color w:val="auto"/>
        </w:rPr>
        <w:t>. (i) The Company or any of its Material Subsidiaries shall commence any case, proceeding or other action (A) under any existing 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886" w:right="339" w:bottom="1440" w:gutter="0" w:footer="0" w:header="0"/>
        </w:sectPr>
      </w:pPr>
    </w:p>
    <w:bookmarkStart w:id="115" w:name="page116"/>
    <w:bookmarkEnd w:id="115"/>
    <w:p>
      <w:pPr>
        <w:jc w:val="both"/>
        <w:spacing w:after="0" w:line="240" w:lineRule="exact"/>
        <w:rPr>
          <w:sz w:val="20"/>
          <w:szCs w:val="20"/>
          <w:color w:val="auto"/>
        </w:rPr>
      </w:pPr>
      <w:r>
        <w:rPr>
          <w:rFonts w:ascii="Times New Roman" w:cs="Times New Roman" w:eastAsia="Times New Roman" w:hAnsi="Times New Roman"/>
          <w:sz w:val="20"/>
          <w:szCs w:val="20"/>
          <w:color w:val="auto"/>
        </w:rPr>
        <w:t>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up, liquidation, dissolution, composition or other relief with respect to it or its debts, or (B) seeking appointment of a receiver, trustee, custodian or other similar official for it or for all or any substantial part of its assets, or the Company or any of its Material Subsidiaries shall make a general assignment for the benefit of its creditors; or (ii) there shall be commenced against the Company or any of its Material Subsidiaries any case, proceeding or other action of a nature referred to in clause (i) above which (A) results in the entry of an order for relief or any such adjudication or appointment or (B) remains undismissed, undischarged or unbonded for a period of 60 days; or</w:t>
      </w:r>
    </w:p>
    <w:p>
      <w:pPr>
        <w:spacing w:after="0" w:line="6" w:lineRule="exact"/>
        <w:rPr>
          <w:sz w:val="20"/>
          <w:szCs w:val="20"/>
          <w:color w:val="auto"/>
        </w:rPr>
      </w:pPr>
    </w:p>
    <w:p>
      <w:pPr>
        <w:jc w:val="both"/>
        <w:ind w:firstLine="8"/>
        <w:spacing w:after="0" w:line="249" w:lineRule="auto"/>
        <w:tabs>
          <w:tab w:leader="none" w:pos="35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commenced against the Company or any of its Material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Company or any of its Material Subsidiaries shall take any action in furtherance of, or indicating its consent to, approval of, or acquiescence in, any of the acts set forth in clause (i), (ii) or (iii) above; or (v) the Company or any of its Material Subsidiaries shall generally not, or shall be unable to, or shall admit in writing its inability to, pay its debts as they become due; or</w:t>
      </w:r>
    </w:p>
    <w:p>
      <w:pPr>
        <w:spacing w:after="0" w:line="220"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78"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shall occur that, individually or in the aggregate with all such other ERISA Events that have occurred, if any, could reasonably be expected to have a Material Adverse Effect; or (ii) a Foreign Plan Event shall occur that, individually or in the aggregate with all such other Foreign Plan Events that have occurred, if any, could reasonably be expected to have a Material Adverse Effect; or</w:t>
      </w:r>
    </w:p>
    <w:p>
      <w:pPr>
        <w:spacing w:after="0" w:line="19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92"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Material Judgments</w:t>
      </w:r>
      <w:r>
        <w:rPr>
          <w:rFonts w:ascii="Times New Roman" w:cs="Times New Roman" w:eastAsia="Times New Roman" w:hAnsi="Times New Roman"/>
          <w:sz w:val="20"/>
          <w:szCs w:val="20"/>
          <w:color w:val="auto"/>
        </w:rPr>
        <w:t>. One or more judgments or decrees shall be entered against the Company or any of its Material Subsidiaries involving in the aggregate a liability (not covered by insurance) of $150,000,000 or more and all such judgments or decrees shall not have been vacated, satisfied, discharged, or stayed or bonded pending appeal within 60 days from the entry thereof; or</w:t>
      </w:r>
    </w:p>
    <w:p>
      <w:pPr>
        <w:spacing w:after="0" w:line="208"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62"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 Any Person (other than one or more members of the Control Group) shall at any time own, directly or indirectly, shares representing more than 35% of the aggregate ordinary voting power represented by the issued and outstanding Capital Stock of the Company or (ii) a “Change of Control” as defined in the Existing Senior Notes Indentures or any “Change of Control” as defined in any indenture governing indebtedness permitted by Section 6.05(e) or 6.05(n) or any event described with similar terminology thereunder shall occur; or</w:t>
      </w:r>
    </w:p>
    <w:p>
      <w:pPr>
        <w:spacing w:after="0" w:line="218" w:lineRule="exact"/>
        <w:rPr>
          <w:rFonts w:ascii="Times New Roman" w:cs="Times New Roman" w:eastAsia="Times New Roman" w:hAnsi="Times New Roman"/>
          <w:sz w:val="20"/>
          <w:szCs w:val="20"/>
          <w:color w:val="010000"/>
        </w:rPr>
      </w:pPr>
    </w:p>
    <w:p>
      <w:pPr>
        <w:ind w:firstLine="1304"/>
        <w:spacing w:after="0" w:line="262" w:lineRule="auto"/>
        <w:tabs>
          <w:tab w:leader="none" w:pos="1735" w:val="left"/>
        </w:tabs>
        <w:numPr>
          <w:ilvl w:val="1"/>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Effectiveness of Security Documents</w:t>
      </w:r>
      <w:r>
        <w:rPr>
          <w:rFonts w:ascii="Times New Roman" w:cs="Times New Roman" w:eastAsia="Times New Roman" w:hAnsi="Times New Roman"/>
          <w:sz w:val="19"/>
          <w:szCs w:val="19"/>
          <w:color w:val="auto"/>
        </w:rPr>
        <w:t>. Any Lien on any material portion of the Collateral created by any of the Loan Documents shall cease to be enforceable and of the same effect and priority purported to be created thereby (other than pursuant to the terms and conditions of this Agreement or the other Loan Documents) or the Company or any Subsidiary party thereto shall so assert in writing; then, and in every such event (other than an event with respect to any Borrower described in clause (f) of this Article), and at any time thereafter during the continuance of such event, the Administrative Agent may, and at the request of the Required Lenders shall, by notice to the Company, take any or all of the following actions, at the same or different times: (i) terminate the Commitments (and the Letter of Credit Commitments), and thereupon the Commitments (and the Letter of Credit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and</w:t>
      </w:r>
    </w:p>
    <w:p>
      <w:pPr>
        <w:spacing w:after="0" w:line="3" w:lineRule="exact"/>
        <w:rPr>
          <w:rFonts w:ascii="Times New Roman" w:cs="Times New Roman" w:eastAsia="Times New Roman" w:hAnsi="Times New Roman"/>
          <w:sz w:val="19"/>
          <w:szCs w:val="19"/>
          <w:color w:val="010000"/>
        </w:rPr>
      </w:pPr>
    </w:p>
    <w:p>
      <w:pPr>
        <w:jc w:val="both"/>
        <w:ind w:firstLine="8"/>
        <w:spacing w:after="0" w:line="256" w:lineRule="auto"/>
        <w:tabs>
          <w:tab w:leader="none" w:pos="3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cash collateral for the LC Exposure in accordance with Section 2.06(j); and in case of any event with respect to any Borrower described in clause (f) of this Article, the Commitments (and the Letter of Credit Commitments) shall automatically terminate and the principal of the Loans then outstanding and the cash collateral for the LC Exposure, together with accrued interest thereon and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886" w:right="339" w:bottom="1440" w:gutter="0" w:footer="0" w:header="0"/>
        </w:sectPr>
      </w:pPr>
    </w:p>
    <w:bookmarkStart w:id="116" w:name="page117"/>
    <w:bookmarkEnd w:id="116"/>
    <w:p>
      <w:pPr>
        <w:jc w:val="both"/>
        <w:spacing w:after="0" w:line="253" w:lineRule="auto"/>
        <w:rPr>
          <w:sz w:val="20"/>
          <w:szCs w:val="20"/>
          <w:color w:val="auto"/>
        </w:rPr>
      </w:pPr>
      <w:r>
        <w:rPr>
          <w:rFonts w:ascii="Times New Roman" w:cs="Times New Roman" w:eastAsia="Times New Roman" w:hAnsi="Times New Roman"/>
          <w:sz w:val="20"/>
          <w:szCs w:val="20"/>
          <w:color w:val="auto"/>
        </w:rPr>
        <w:t>all fees and other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VIII</w:t>
      </w:r>
    </w:p>
    <w:p>
      <w:pPr>
        <w:spacing w:after="0" w:line="2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8.01. </w:t>
      </w:r>
      <w:r>
        <w:rPr>
          <w:rFonts w:ascii="Times New Roman" w:cs="Times New Roman" w:eastAsia="Times New Roman" w:hAnsi="Times New Roman"/>
          <w:sz w:val="20"/>
          <w:szCs w:val="20"/>
          <w:u w:val="single" w:color="auto"/>
          <w:color w:val="000000"/>
        </w:rPr>
        <w:t>Authorization and Action</w:t>
      </w:r>
      <w:r>
        <w:rPr>
          <w:rFonts w:ascii="Times New Roman" w:cs="Times New Roman" w:eastAsia="Times New Roman" w:hAnsi="Times New Roman"/>
          <w:sz w:val="20"/>
          <w:szCs w:val="20"/>
          <w:color w:val="000000"/>
        </w:rPr>
        <w:t>.</w:t>
      </w:r>
    </w:p>
    <w:p>
      <w:pPr>
        <w:spacing w:after="0" w:line="256" w:lineRule="exact"/>
        <w:rPr>
          <w:sz w:val="20"/>
          <w:szCs w:val="20"/>
          <w:color w:val="auto"/>
        </w:rPr>
      </w:pPr>
    </w:p>
    <w:p>
      <w:pPr>
        <w:jc w:val="both"/>
        <w:ind w:firstLine="1304"/>
        <w:spacing w:after="0" w:line="250" w:lineRule="auto"/>
        <w:tabs>
          <w:tab w:leader="none" w:pos="1821"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Further, each of the Lenders and the Issuing Banks, on behalf of itself and any of its Affiliates that are Secured Parties, hereby irrevocably empower and authorize JPMorgan Chase Bank, N.A. (in its capacity as Administrative Agent) to execute and deliver the Security Documents and all related documents or instruments as shall be necessary or appropriate to effect the purposes of the Security Documents. In addition, to the extent required under the laws of any jurisdiction other than within the United States, each Lender and each Issuing Bank hereby grants to the Administrative Agent any required powers of attorney to execute and enforce any Security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to exercise all rights, powers and remedies that the Administrative Agent may have under such Loan Documents.</w:t>
      </w:r>
    </w:p>
    <w:p>
      <w:pPr>
        <w:spacing w:after="0" w:line="206"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832"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the Administrative Agent shall not be required to take any action that (i) the Administrative Agent in good faith believes exposes it to liability unless the Administrative Agent receives an indemnification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886" w:right="339" w:bottom="1440" w:gutter="0" w:footer="0" w:header="0"/>
        </w:sectPr>
      </w:pPr>
    </w:p>
    <w:bookmarkStart w:id="117" w:name="page118"/>
    <w:bookmarkEnd w:id="117"/>
    <w:p>
      <w:pPr>
        <w:ind w:right="20"/>
        <w:spacing w:after="0" w:line="283" w:lineRule="auto"/>
        <w:rPr>
          <w:sz w:val="20"/>
          <w:szCs w:val="20"/>
          <w:color w:val="auto"/>
        </w:rPr>
      </w:pPr>
      <w:r>
        <w:rPr>
          <w:rFonts w:ascii="Times New Roman" w:cs="Times New Roman" w:eastAsia="Times New Roman" w:hAnsi="Times New Roman"/>
          <w:sz w:val="20"/>
          <w:szCs w:val="20"/>
          <w:color w:val="auto"/>
        </w:rPr>
        <w:t>reasonable grounds for believing that repayment of such funds or adequate indemnity against such risk or liability is not reasonably assured to it.</w:t>
      </w:r>
    </w:p>
    <w:p>
      <w:pPr>
        <w:spacing w:after="0" w:line="173" w:lineRule="exact"/>
        <w:rPr>
          <w:sz w:val="20"/>
          <w:szCs w:val="20"/>
          <w:color w:val="auto"/>
        </w:rPr>
      </w:pPr>
    </w:p>
    <w:p>
      <w:pPr>
        <w:jc w:val="both"/>
        <w:ind w:firstLine="1304"/>
        <w:spacing w:after="0" w:line="257" w:lineRule="auto"/>
        <w:tabs>
          <w:tab w:leader="none" w:pos="1794"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Borrowers. Without limiting the generality of the foregoing:</w:t>
      </w:r>
    </w:p>
    <w:p>
      <w:pPr>
        <w:spacing w:after="0" w:line="199" w:lineRule="exact"/>
        <w:rPr>
          <w:rFonts w:ascii="Times New Roman" w:cs="Times New Roman" w:eastAsia="Times New Roman" w:hAnsi="Times New Roman"/>
          <w:sz w:val="20"/>
          <w:szCs w:val="20"/>
          <w:color w:val="010000"/>
        </w:rPr>
      </w:pPr>
    </w:p>
    <w:p>
      <w:pPr>
        <w:jc w:val="both"/>
        <w:ind w:firstLine="1952"/>
        <w:spacing w:after="0" w:line="252" w:lineRule="auto"/>
        <w:tabs>
          <w:tab w:leader="none" w:pos="2356"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any Issuing Bank or any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216" w:lineRule="exact"/>
        <w:rPr>
          <w:rFonts w:ascii="Times New Roman" w:cs="Times New Roman" w:eastAsia="Times New Roman" w:hAnsi="Times New Roman"/>
          <w:sz w:val="20"/>
          <w:szCs w:val="20"/>
          <w:color w:val="010000"/>
        </w:rPr>
      </w:pPr>
    </w:p>
    <w:p>
      <w:pPr>
        <w:jc w:val="both"/>
        <w:ind w:firstLine="1952"/>
        <w:spacing w:after="0" w:line="254" w:lineRule="auto"/>
        <w:tabs>
          <w:tab w:leader="none" w:pos="2478"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 the Administrative Agent is required or deemed to act as a trustee in respect of any Collateral over which a security interest has been created pursuant to a Loan Document expressed to be governed by the laws of any jurisdiction other than the United States of America, the obligations and liabilities of the Administrative Agent to the Secured Parties in its capacity as trustee shall be excluded to the fullest extent permitted by applicable law;</w:t>
      </w:r>
    </w:p>
    <w:p>
      <w:pPr>
        <w:spacing w:after="0" w:line="214" w:lineRule="exact"/>
        <w:rPr>
          <w:rFonts w:ascii="Times New Roman" w:cs="Times New Roman" w:eastAsia="Times New Roman" w:hAnsi="Times New Roman"/>
          <w:sz w:val="20"/>
          <w:szCs w:val="20"/>
          <w:color w:val="010000"/>
        </w:rPr>
      </w:pPr>
    </w:p>
    <w:p>
      <w:pPr>
        <w:ind w:firstLine="1952"/>
        <w:spacing w:after="0" w:line="269" w:lineRule="auto"/>
        <w:tabs>
          <w:tab w:leader="none" w:pos="2506"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99"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92"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2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48"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208"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705"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case of the pendency of any proceeding with respect to any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88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color w:val="auto"/>
        </w:rPr>
        <w:t>Borrower) shall be entitled and empowered (but not obligated) by intervention in such proceeding or otherwise:</w:t>
      </w:r>
    </w:p>
    <w:p>
      <w:pPr>
        <w:spacing w:after="0" w:line="256" w:lineRule="exact"/>
        <w:rPr>
          <w:sz w:val="20"/>
          <w:szCs w:val="20"/>
          <w:color w:val="auto"/>
        </w:rPr>
      </w:pPr>
    </w:p>
    <w:p>
      <w:pPr>
        <w:jc w:val="both"/>
        <w:ind w:firstLine="1952"/>
        <w:spacing w:after="0" w:line="254" w:lineRule="auto"/>
        <w:tabs>
          <w:tab w:leader="none" w:pos="2356"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214" w:lineRule="exact"/>
        <w:rPr>
          <w:rFonts w:ascii="Times New Roman" w:cs="Times New Roman" w:eastAsia="Times New Roman" w:hAnsi="Times New Roman"/>
          <w:sz w:val="20"/>
          <w:szCs w:val="20"/>
          <w:color w:val="010000"/>
        </w:rPr>
      </w:pPr>
    </w:p>
    <w:p>
      <w:pPr>
        <w:ind w:left="2400" w:hanging="448"/>
        <w:spacing w:after="0"/>
        <w:tabs>
          <w:tab w:leader="none" w:pos="2400"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collect and receive any monies or other property payable or deliverable on any such claims and to distribute</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same;</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222" w:lineRule="exact"/>
        <w:rPr>
          <w:sz w:val="20"/>
          <w:szCs w:val="20"/>
          <w:color w:val="auto"/>
        </w:rPr>
      </w:pPr>
    </w:p>
    <w:p>
      <w:pPr>
        <w:jc w:val="both"/>
        <w:ind w:firstLine="1304"/>
        <w:spacing w:after="0" w:line="250" w:lineRule="auto"/>
        <w:tabs>
          <w:tab w:leader="none" w:pos="1738"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furtherance of the foregoing, and not in limitation, each of the Lenders authorizes the Administrative Agent to enter into one or more intercreditor agreements acceptable to the Administrative Agent in its sole discretion with parties to any Receivables Purchase Facility. Such intercreditor agreements may provide for, among other things, (i) the Administrative Agent’s and the Lenders’ forbearance of, and other limitations on, any exercise of remedies in respect of any equity interests in any Receivables Subsidiary and/or any notes issued by any Receivables Subsidiary to the Company and those Subsidiaries from time to time party to a Receivables Purchase Facility in connection with any Receivables Purchase Facility, in any case, that have been pledged to secure the Obligations and/or (ii) disclaimers of interests on, and releases of security interests in, any Receivables. In addition, to the extent required under the laws of any jurisdiction other than the United States of America, each of the Lenders, on behalf of itself and any of its Affiliates that are Secured Parties, and each of the Issuing Banks hereby grants to the Administrative Agent any required powers of attorney to execute any Security Document governed by the laws of such jurisdiction on such Lender’s or such Issuing Bank’s behalf.</w:t>
      </w:r>
    </w:p>
    <w:p>
      <w:pPr>
        <w:spacing w:after="0" w:line="223"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65"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are solely for the benefit of the Administrative Agent, the Lenders and the Issuing Bank, and, except solely to the extent of the Company’s rights to consent pursuant to and subject to the conditions set forth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none of the Company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8.02.</w:t>
      </w:r>
      <w:r>
        <w:rPr>
          <w:sz w:val="20"/>
          <w:szCs w:val="20"/>
          <w:color w:val="auto"/>
        </w:rPr>
        <w:tab/>
      </w:r>
      <w:r>
        <w:rPr>
          <w:rFonts w:ascii="Times New Roman" w:cs="Times New Roman" w:eastAsia="Times New Roman" w:hAnsi="Times New Roman"/>
          <w:sz w:val="19"/>
          <w:szCs w:val="19"/>
          <w:u w:val="single" w:color="auto"/>
          <w:color w:val="auto"/>
        </w:rPr>
        <w:t>Administrative Agent’s Reliance, Indemnification, Etc</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304"/>
        <w:spacing w:after="0" w:line="257" w:lineRule="auto"/>
        <w:tabs>
          <w:tab w:leader="none" w:pos="1740"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it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886" w:right="339" w:bottom="1440" w:gutter="0" w:footer="0" w:header="0"/>
        </w:sectPr>
      </w:pPr>
    </w:p>
    <w:bookmarkStart w:id="119" w:name="page120"/>
    <w:bookmarkEnd w:id="119"/>
    <w:p>
      <w:pPr>
        <w:jc w:val="both"/>
        <w:spacing w:after="0" w:line="269" w:lineRule="auto"/>
        <w:rPr>
          <w:sz w:val="20"/>
          <w:szCs w:val="20"/>
          <w:color w:val="auto"/>
        </w:rPr>
      </w:pPr>
      <w:r>
        <w:rPr>
          <w:rFonts w:ascii="Times New Roman" w:cs="Times New Roman" w:eastAsia="Times New Roman" w:hAnsi="Times New Roman"/>
          <w:sz w:val="19"/>
          <w:szCs w:val="19"/>
          <w:color w:val="auto"/>
        </w:rPr>
        <w:t>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89" w:lineRule="exact"/>
        <w:rPr>
          <w:sz w:val="20"/>
          <w:szCs w:val="20"/>
          <w:color w:val="auto"/>
        </w:rPr>
      </w:pPr>
    </w:p>
    <w:p>
      <w:pPr>
        <w:jc w:val="both"/>
        <w:ind w:firstLine="1304"/>
        <w:spacing w:after="0" w:line="250" w:lineRule="auto"/>
        <w:tabs>
          <w:tab w:leader="none" w:pos="1724"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be deemed not to have knowledge of any Default unless and until written notice thereof (stating that it is a “notice of default”) is given to the Administrative Agent by the Company,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or the existence of the Collateral. Notwithstanding anything herein to the contrary, the Administrative Agent shall not be liable for, or be responsible for any loss, cost or expense suffered by the Company, any Subsidiary, any Lender or any Issuing Bank as a result of, any determination of the Credit Exposure, any of the component amounts thereof or any portion thereof attributable to each Lender or Issuing Bank or any Dollar Amount thereof.</w:t>
      </w:r>
    </w:p>
    <w:p>
      <w:pPr>
        <w:spacing w:after="0" w:line="220"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754"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any Issuing Bank and shall not be responsible to any Lender or any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such Issuing Bank unless the Administrative Agent shall have received 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28"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8.03.</w:t>
      </w:r>
      <w:r>
        <w:rPr>
          <w:sz w:val="20"/>
          <w:szCs w:val="20"/>
          <w:color w:val="auto"/>
        </w:rPr>
        <w:tab/>
      </w:r>
      <w:r>
        <w:rPr>
          <w:rFonts w:ascii="Times New Roman" w:cs="Times New Roman" w:eastAsia="Times New Roman" w:hAnsi="Times New Roman"/>
          <w:sz w:val="19"/>
          <w:szCs w:val="19"/>
          <w:u w:val="single" w:color="auto"/>
          <w:color w:val="auto"/>
        </w:rPr>
        <w:t>Posting of Communications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right="20" w:firstLine="1304"/>
        <w:spacing w:after="0" w:line="283" w:lineRule="auto"/>
        <w:tabs>
          <w:tab w:leader="none" w:pos="1808"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Borrowers agree that the Administrative Agent may, but shall not be obligated to, make any Communications available to the Lenders and the Issuing Banks by posting the Communications 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886" w:right="339" w:bottom="1440" w:gutter="0" w:footer="0" w:header="0"/>
        </w:sectPr>
      </w:pPr>
    </w:p>
    <w:bookmarkStart w:id="120" w:name="page121"/>
    <w:bookmarkEnd w:id="120"/>
    <w:p>
      <w:pPr>
        <w:spacing w:after="0" w:line="283" w:lineRule="auto"/>
        <w:rPr>
          <w:sz w:val="20"/>
          <w:szCs w:val="20"/>
          <w:color w:val="auto"/>
        </w:rPr>
      </w:pPr>
      <w:r>
        <w:rPr>
          <w:rFonts w:ascii="Times New Roman" w:cs="Times New Roman" w:eastAsia="Times New Roman" w:hAnsi="Times New Roman"/>
          <w:sz w:val="20"/>
          <w:szCs w:val="20"/>
          <w:color w:val="auto"/>
        </w:rPr>
        <w:t>IntraLinks™, DebtDomain, SyndTrak, ClearPar or any other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1304"/>
        <w:spacing w:after="0" w:line="252" w:lineRule="auto"/>
        <w:tabs>
          <w:tab w:leader="none" w:pos="1765"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each of the Issuing Banks and the Borrowers hereby approve distribution of the Communications through the Approved Electronic Platform and understands and assumes the risks of such distribution.</w:t>
      </w:r>
    </w:p>
    <w:p>
      <w:pPr>
        <w:spacing w:after="0" w:line="216" w:lineRule="exact"/>
        <w:rPr>
          <w:rFonts w:ascii="Times New Roman" w:cs="Times New Roman" w:eastAsia="Times New Roman" w:hAnsi="Times New Roman"/>
          <w:sz w:val="20"/>
          <w:szCs w:val="20"/>
          <w:color w:val="010000"/>
        </w:rPr>
      </w:pPr>
    </w:p>
    <w:p>
      <w:pPr>
        <w:jc w:val="both"/>
        <w:ind w:firstLine="1304"/>
        <w:spacing w:after="0" w:line="263" w:lineRule="auto"/>
        <w:tabs>
          <w:tab w:leader="none" w:pos="1767"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ANY CO-DOCUMENTATION AGENT OR ANY OF THEIR RESPECTIVE RELATED PARTIES (COLLECTIVELY, “</w:t>
      </w:r>
      <w:r>
        <w:rPr>
          <w:rFonts w:ascii="Times New Roman" w:cs="Times New Roman" w:eastAsia="Times New Roman" w:hAnsi="Times New Roman"/>
          <w:sz w:val="19"/>
          <w:szCs w:val="19"/>
          <w:u w:val="single" w:color="auto"/>
          <w:color w:val="auto"/>
        </w:rPr>
        <w:t>APPLICABLE PARTIES</w:t>
      </w:r>
      <w:r>
        <w:rPr>
          <w:rFonts w:ascii="Times New Roman" w:cs="Times New Roman" w:eastAsia="Times New Roman" w:hAnsi="Times New Roman"/>
          <w:sz w:val="19"/>
          <w:szCs w:val="19"/>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212" w:lineRule="exact"/>
        <w:rPr>
          <w:rFonts w:ascii="Times New Roman" w:cs="Times New Roman" w:eastAsia="Times New Roman" w:hAnsi="Times New Roman"/>
          <w:sz w:val="19"/>
          <w:szCs w:val="19"/>
          <w:color w:val="010000"/>
        </w:rPr>
      </w:pPr>
    </w:p>
    <w:p>
      <w:pPr>
        <w:jc w:val="both"/>
        <w:ind w:firstLine="1304"/>
        <w:spacing w:after="0" w:line="253" w:lineRule="auto"/>
        <w:tabs>
          <w:tab w:leader="none" w:pos="1886"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each Issuing Bank’s (as applicable) email address to which the foregoing notice may be sent by electronic transmission and (ii) that the foregoing notice may be sent to such email address.</w:t>
      </w:r>
    </w:p>
    <w:p>
      <w:pPr>
        <w:spacing w:after="0" w:line="205"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13"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each of the Issuing Banks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8" w:lineRule="exact"/>
        <w:rPr>
          <w:rFonts w:ascii="Times New Roman" w:cs="Times New Roman" w:eastAsia="Times New Roman" w:hAnsi="Times New Roman"/>
          <w:sz w:val="20"/>
          <w:szCs w:val="20"/>
          <w:color w:val="010000"/>
        </w:rPr>
      </w:pPr>
    </w:p>
    <w:p>
      <w:pPr>
        <w:ind w:firstLine="1304"/>
        <w:spacing w:after="0" w:line="283" w:lineRule="auto"/>
        <w:tabs>
          <w:tab w:leader="none" w:pos="1692"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73"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8.04. </w:t>
      </w:r>
      <w:r>
        <w:rPr>
          <w:rFonts w:ascii="Times New Roman" w:cs="Times New Roman" w:eastAsia="Times New Roman" w:hAnsi="Times New Roman"/>
          <w:sz w:val="20"/>
          <w:szCs w:val="20"/>
          <w:u w:val="single" w:color="auto"/>
          <w:color w:val="000000"/>
        </w:rPr>
        <w:t>The Administrative Agent Individually</w:t>
      </w:r>
      <w:r>
        <w:rPr>
          <w:rFonts w:ascii="Times New Roman" w:cs="Times New Roman" w:eastAsia="Times New Roman" w:hAnsi="Times New Roman"/>
          <w:sz w:val="20"/>
          <w:szCs w:val="20"/>
          <w:color w:val="000000"/>
        </w:rPr>
        <w:t>. With respect to its Commitment, Loans, Letter of Credit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Commitments and Letters of Credit, the Person serving as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886" w:right="339" w:bottom="1440" w:gutter="0" w:footer="0" w:header="0"/>
        </w:sectPr>
      </w:pPr>
    </w:p>
    <w:bookmarkStart w:id="121" w:name="page122"/>
    <w:bookmarkEnd w:id="121"/>
    <w:p>
      <w:pPr>
        <w:jc w:val="both"/>
        <w:spacing w:after="0" w:line="251" w:lineRule="auto"/>
        <w:rPr>
          <w:sz w:val="20"/>
          <w:szCs w:val="20"/>
          <w:color w:val="auto"/>
        </w:rPr>
      </w:pPr>
      <w:r>
        <w:rPr>
          <w:rFonts w:ascii="Times New Roman" w:cs="Times New Roman" w:eastAsia="Times New Roman" w:hAnsi="Times New Roman"/>
          <w:sz w:val="20"/>
          <w:szCs w:val="20"/>
          <w:color w:val="auto"/>
        </w:rPr>
        <w:t>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an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Company, any Subsidiary or any Affiliate of any of the foregoing as if such Person was not acting as the Administrative Agent and without any duty to account therefor to the Lenders or the Issuing Banks.</w:t>
      </w:r>
    </w:p>
    <w:p>
      <w:pPr>
        <w:spacing w:after="0" w:line="222"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8.05.</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304"/>
        <w:spacing w:after="0" w:line="250" w:lineRule="auto"/>
        <w:tabs>
          <w:tab w:leader="none" w:pos="1808" w:val="left"/>
        </w:tabs>
        <w:numPr>
          <w:ilvl w:val="0"/>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appointment and acceptance of a successor Administrative Agent as provided in this paragraph, the Administrative Agent may resign at any time by giving 30 days’ prior written notice thereof to the Lenders, the Issuing Banks and the Company.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224"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8.06.</w:t>
      </w:r>
      <w:r>
        <w:rPr>
          <w:sz w:val="20"/>
          <w:szCs w:val="20"/>
          <w:color w:val="auto"/>
        </w:rPr>
        <w:tab/>
      </w:r>
      <w:r>
        <w:rPr>
          <w:rFonts w:ascii="Times New Roman" w:cs="Times New Roman" w:eastAsia="Times New Roman" w:hAnsi="Times New Roman"/>
          <w:sz w:val="19"/>
          <w:szCs w:val="19"/>
          <w:u w:val="single" w:color="auto"/>
          <w:color w:val="auto"/>
        </w:rPr>
        <w:t>Acknowledgements of Lenders and Issuing Banks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304"/>
        <w:spacing w:after="0" w:line="249" w:lineRule="auto"/>
        <w:tabs>
          <w:tab w:leader="none" w:pos="1821"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such Issuing Bank, in each case in the ordinary course of business, and not for the purpose of investing in the general performance or operations of the Borrowers,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886" w:right="339" w:bottom="1440" w:gutter="0" w:footer="0" w:header="0"/>
        </w:sectPr>
      </w:pPr>
    </w:p>
    <w:bookmarkStart w:id="122" w:name="page123"/>
    <w:bookmarkEnd w:id="122"/>
    <w:p>
      <w:pPr>
        <w:ind w:right="20"/>
        <w:spacing w:after="0" w:line="283" w:lineRule="auto"/>
        <w:rPr>
          <w:sz w:val="20"/>
          <w:szCs w:val="20"/>
          <w:color w:val="auto"/>
        </w:rPr>
      </w:pPr>
      <w:r>
        <w:rPr>
          <w:rFonts w:ascii="Times New Roman" w:cs="Times New Roman" w:eastAsia="Times New Roman" w:hAnsi="Times New Roman"/>
          <w:sz w:val="20"/>
          <w:szCs w:val="20"/>
          <w:color w:val="auto"/>
        </w:rPr>
        <w:t>in taking or not taking action under or based upon this Agreement, any other Loan Document or any related agreement or any document furnished hereunder or thereunder.</w:t>
      </w:r>
    </w:p>
    <w:p>
      <w:pPr>
        <w:spacing w:after="0" w:line="173" w:lineRule="exact"/>
        <w:rPr>
          <w:sz w:val="20"/>
          <w:szCs w:val="20"/>
          <w:color w:val="auto"/>
        </w:rPr>
      </w:pPr>
    </w:p>
    <w:p>
      <w:pPr>
        <w:jc w:val="both"/>
        <w:ind w:firstLine="1304"/>
        <w:spacing w:after="0" w:line="258" w:lineRule="auto"/>
        <w:tabs>
          <w:tab w:leader="none" w:pos="1751"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(c)</w:t>
      </w:r>
    </w:p>
    <w:p>
      <w:pPr>
        <w:spacing w:after="0" w:line="22" w:lineRule="exact"/>
        <w:rPr>
          <w:sz w:val="20"/>
          <w:szCs w:val="20"/>
          <w:color w:val="auto"/>
        </w:rPr>
      </w:pPr>
    </w:p>
    <w:p>
      <w:pPr>
        <w:jc w:val="both"/>
        <w:ind w:firstLine="1952"/>
        <w:spacing w:after="0" w:line="248" w:lineRule="auto"/>
        <w:tabs>
          <w:tab w:leader="none" w:pos="2396"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FRBNY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and binding, absent manifest error.</w:t>
      </w:r>
    </w:p>
    <w:p>
      <w:pPr>
        <w:spacing w:after="0" w:line="214" w:lineRule="exact"/>
        <w:rPr>
          <w:rFonts w:ascii="Times New Roman" w:cs="Times New Roman" w:eastAsia="Times New Roman" w:hAnsi="Times New Roman"/>
          <w:sz w:val="20"/>
          <w:szCs w:val="20"/>
          <w:color w:val="010000"/>
        </w:rPr>
      </w:pPr>
    </w:p>
    <w:p>
      <w:pPr>
        <w:jc w:val="both"/>
        <w:ind w:firstLine="1952"/>
        <w:spacing w:after="0" w:line="251" w:lineRule="auto"/>
        <w:tabs>
          <w:tab w:leader="none" w:pos="2437"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FRBNY Rate and a rate determined by the Administrative Agent in accordance with banking industry rules on interbank compensation from time to time in effect.</w:t>
      </w:r>
    </w:p>
    <w:p>
      <w:pPr>
        <w:spacing w:after="0" w:line="218" w:lineRule="exact"/>
        <w:rPr>
          <w:rFonts w:ascii="Times New Roman" w:cs="Times New Roman" w:eastAsia="Times New Roman" w:hAnsi="Times New Roman"/>
          <w:sz w:val="20"/>
          <w:szCs w:val="20"/>
          <w:color w:val="010000"/>
        </w:rPr>
      </w:pPr>
    </w:p>
    <w:p>
      <w:pPr>
        <w:jc w:val="both"/>
        <w:ind w:firstLine="1952"/>
        <w:spacing w:after="0" w:line="269" w:lineRule="auto"/>
        <w:tabs>
          <w:tab w:leader="none" w:pos="2438"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Borrowers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Obligations) owed by any Borrowers or any other Loan Party, except to the extent such erroneous Payment is, and solely with respect to the amount of such erroneous Payment that is, comprised of funds received by the Administrative Agent from such Borrower or any other Loan Party for the purpose of satisfying an Obligation (or any other Obligation).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886" w:right="339" w:bottom="1440" w:gutter="0" w:footer="0" w:header="0"/>
        </w:sectPr>
      </w:pPr>
    </w:p>
    <w:bookmarkStart w:id="123" w:name="page124"/>
    <w:bookmarkEnd w:id="123"/>
    <w:p>
      <w:pPr>
        <w:jc w:val="both"/>
        <w:ind w:firstLine="1952"/>
        <w:spacing w:after="0" w:line="261" w:lineRule="auto"/>
        <w:tabs>
          <w:tab w:leader="none" w:pos="2589"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08" w:lineRule="exact"/>
        <w:rPr>
          <w:sz w:val="20"/>
          <w:szCs w:val="20"/>
          <w:color w:val="auto"/>
        </w:rPr>
      </w:pPr>
    </w:p>
    <w:p>
      <w:pPr>
        <w:jc w:val="both"/>
        <w:ind w:firstLine="1952"/>
        <w:spacing w:after="0" w:line="249" w:lineRule="auto"/>
        <w:tabs>
          <w:tab w:leader="none" w:pos="2399" w:val="left"/>
        </w:tabs>
        <w:numPr>
          <w:ilvl w:val="0"/>
          <w:numId w:val="1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Lenders acknowledge that there may be a constant flow of information (including information which may be subject to confidentiality obligations in favor of the Loan Parties) between the Loan Parties and their Affiliates, on the one hand, and JPMorgan Chase Bank, N.A. and its respective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219"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8.07.</w:t>
      </w:r>
      <w:r>
        <w:rPr>
          <w:sz w:val="20"/>
          <w:szCs w:val="20"/>
          <w:color w:val="auto"/>
        </w:rPr>
        <w:tab/>
      </w:r>
      <w:r>
        <w:rPr>
          <w:rFonts w:ascii="Times New Roman" w:cs="Times New Roman" w:eastAsia="Times New Roman" w:hAnsi="Times New Roman"/>
          <w:sz w:val="19"/>
          <w:szCs w:val="19"/>
          <w:u w:val="single" w:color="auto"/>
          <w:color w:val="auto"/>
        </w:rPr>
        <w:t>Collateral Matters</w:t>
      </w:r>
      <w:r>
        <w:rPr>
          <w:rFonts w:ascii="Times New Roman" w:cs="Times New Roman" w:eastAsia="Times New Roman" w:hAnsi="Times New Roman"/>
          <w:sz w:val="19"/>
          <w:szCs w:val="19"/>
          <w:color w:val="0000FF"/>
        </w:rPr>
        <w:t>.</w:t>
      </w:r>
    </w:p>
    <w:p>
      <w:pPr>
        <w:spacing w:after="0" w:line="256" w:lineRule="exact"/>
        <w:rPr>
          <w:sz w:val="20"/>
          <w:szCs w:val="20"/>
          <w:color w:val="auto"/>
        </w:rPr>
      </w:pPr>
    </w:p>
    <w:p>
      <w:pPr>
        <w:jc w:val="both"/>
        <w:ind w:firstLine="1304"/>
        <w:spacing w:after="0" w:line="249" w:lineRule="auto"/>
        <w:tabs>
          <w:tab w:leader="none" w:pos="1727"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at its option and in its discretion, to release any Lien granted to or held by the Administrative Agent upon any Collateral (i) as described in Section 9.02(d);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(5) Business Days’ prior written request by the Company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provided, however, that (i) the Administrative Agent shall not be required to execute any such document on terms which, in the Administrative Agent’s opinion,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129" w:right="339" w:bottom="1440" w:gutter="0" w:footer="0" w:header="0"/>
        </w:sectPr>
      </w:pPr>
    </w:p>
    <w:bookmarkStart w:id="124" w:name="page125"/>
    <w:bookmarkEnd w:id="124"/>
    <w:p>
      <w:pPr>
        <w:jc w:val="both"/>
        <w:spacing w:after="0" w:line="253" w:lineRule="auto"/>
        <w:rPr>
          <w:sz w:val="20"/>
          <w:szCs w:val="20"/>
          <w:color w:val="auto"/>
        </w:rPr>
      </w:pPr>
      <w:r>
        <w:rPr>
          <w:rFonts w:ascii="Times New Roman" w:cs="Times New Roman" w:eastAsia="Times New Roman" w:hAnsi="Times New Roman"/>
          <w:sz w:val="20"/>
          <w:szCs w:val="20"/>
          <w:color w:val="auto"/>
        </w:rPr>
        <w:t>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Company or any Subsidiary,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219" w:lineRule="exact"/>
        <w:rPr>
          <w:sz w:val="20"/>
          <w:szCs w:val="20"/>
          <w:color w:val="auto"/>
        </w:rPr>
      </w:pPr>
    </w:p>
    <w:p>
      <w:pPr>
        <w:jc w:val="both"/>
        <w:ind w:firstLine="1304"/>
        <w:spacing w:after="0" w:line="250" w:lineRule="auto"/>
        <w:tabs>
          <w:tab w:leader="none" w:pos="1765" w:val="left"/>
        </w:tabs>
        <w:numPr>
          <w:ilvl w:val="0"/>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furtherance of the foregoing and not in limitation thereof, no arrangements in respect of Lender Cash Management Agreements the obligations under which constitute Obligations, no Lender Hedging Agreements the obligations under which constitute Obligations, no Lender Qualified Bilateral Letters of Credit the obligations under which constitute Obligations and no Lender Supply Chain Financing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Lender Cash Management Agreements, Lender Hedging Agreements, Lender Qualified Bilateral Letters of Credit or Lender Supply Chain Financing Agreements,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223"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67" w:val="left"/>
        </w:tabs>
        <w:numPr>
          <w:ilvl w:val="0"/>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Sections 6.01(c), (d), (e), (f), (g) or (h).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8.08. </w:t>
      </w:r>
      <w:r>
        <w:rPr>
          <w:rFonts w:ascii="Times New Roman" w:cs="Times New Roman" w:eastAsia="Times New Roman" w:hAnsi="Times New Roman"/>
          <w:sz w:val="20"/>
          <w:szCs w:val="20"/>
          <w:u w:val="single" w:color="auto"/>
          <w:color w:val="000000"/>
        </w:rPr>
        <w:t>Credit Bidding</w:t>
      </w:r>
      <w:r>
        <w:rPr>
          <w:rFonts w:ascii="Times New Roman" w:cs="Times New Roman" w:eastAsia="Times New Roman" w:hAnsi="Times New Roman"/>
          <w:sz w:val="20"/>
          <w:szCs w:val="20"/>
          <w:color w:val="000000"/>
        </w:rPr>
        <w:t>. The Secured Parties hereby irrevocably authorize the Administrative Agent, at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886" w:right="339" w:bottom="1440" w:gutter="0" w:footer="0" w:header="0"/>
        </w:sectPr>
      </w:pPr>
    </w:p>
    <w:bookmarkStart w:id="125" w:name="page126"/>
    <w:bookmarkEnd w:id="125"/>
    <w:p>
      <w:pPr>
        <w:jc w:val="both"/>
        <w:spacing w:after="0" w:line="262" w:lineRule="auto"/>
        <w:rPr>
          <w:sz w:val="20"/>
          <w:szCs w:val="20"/>
          <w:color w:val="auto"/>
        </w:rPr>
      </w:pPr>
      <w:r>
        <w:rPr>
          <w:rFonts w:ascii="Times New Roman" w:cs="Times New Roman" w:eastAsia="Times New Roman" w:hAnsi="Times New Roman"/>
          <w:sz w:val="19"/>
          <w:szCs w:val="19"/>
          <w:color w:val="auto"/>
        </w:rPr>
        <w:t>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w:t>
      </w:r>
    </w:p>
    <w:p>
      <w:pPr>
        <w:spacing w:after="0" w:line="6" w:lineRule="exact"/>
        <w:rPr>
          <w:sz w:val="20"/>
          <w:szCs w:val="20"/>
          <w:color w:val="auto"/>
        </w:rPr>
      </w:pPr>
    </w:p>
    <w:p>
      <w:pPr>
        <w:jc w:val="both"/>
        <w:ind w:firstLine="8"/>
        <w:spacing w:after="0" w:line="253" w:lineRule="auto"/>
        <w:tabs>
          <w:tab w:leader="none" w:pos="298"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3"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8.09.</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54" w:lineRule="auto"/>
        <w:tabs>
          <w:tab w:leader="none" w:pos="1848" w:val="left"/>
        </w:tabs>
        <w:numPr>
          <w:ilvl w:val="0"/>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Borrowers or any other Loan Party, that at least one of the following is and will be true:</w:t>
      </w:r>
    </w:p>
    <w:p>
      <w:pPr>
        <w:spacing w:after="0" w:line="214" w:lineRule="exact"/>
        <w:rPr>
          <w:sz w:val="20"/>
          <w:szCs w:val="20"/>
          <w:color w:val="auto"/>
        </w:rPr>
      </w:pPr>
    </w:p>
    <w:p>
      <w:pPr>
        <w:ind w:firstLine="1304"/>
        <w:spacing w:after="0" w:line="283" w:lineRule="auto"/>
        <w:tabs>
          <w:tab w:leader="none" w:pos="1694"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or the Commitments,</w:t>
      </w:r>
    </w:p>
    <w:p>
      <w:pPr>
        <w:spacing w:after="0" w:line="173"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49"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19"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817"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886" w:right="339" w:bottom="1440" w:gutter="0" w:footer="0" w:header="0"/>
        </w:sectPr>
      </w:pPr>
    </w:p>
    <w:bookmarkStart w:id="126" w:name="page127"/>
    <w:bookmarkEnd w:id="126"/>
    <w:p>
      <w:pPr>
        <w:ind w:firstLine="1304"/>
        <w:spacing w:after="0" w:line="283" w:lineRule="auto"/>
        <w:tabs>
          <w:tab w:leader="none" w:pos="1779"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73" w:lineRule="exact"/>
        <w:rPr>
          <w:sz w:val="20"/>
          <w:szCs w:val="20"/>
          <w:color w:val="auto"/>
        </w:rPr>
      </w:pPr>
    </w:p>
    <w:p>
      <w:pPr>
        <w:jc w:val="both"/>
        <w:ind w:firstLine="1304"/>
        <w:spacing w:after="0" w:line="251" w:lineRule="auto"/>
        <w:tabs>
          <w:tab w:leader="none" w:pos="1724"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Borrowers or any other Loan Party, that none of the Administrative Agent, the Arrangers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pacing w:after="0" w:line="222"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40"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23"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8.10.</w:t>
      </w:r>
      <w:r>
        <w:rPr>
          <w:sz w:val="20"/>
          <w:szCs w:val="20"/>
          <w:color w:val="auto"/>
        </w:rPr>
        <w:tab/>
      </w:r>
      <w:r>
        <w:rPr>
          <w:rFonts w:ascii="Times New Roman" w:cs="Times New Roman" w:eastAsia="Times New Roman" w:hAnsi="Times New Roman"/>
          <w:sz w:val="19"/>
          <w:szCs w:val="19"/>
          <w:u w:val="single" w:color="auto"/>
          <w:color w:val="auto"/>
        </w:rPr>
        <w:t>Certain Foreign Pledge Matters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304"/>
        <w:spacing w:after="0" w:line="250" w:lineRule="auto"/>
        <w:tabs>
          <w:tab w:leader="none" w:pos="1754"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on its behalf and on behalf of its Subsidiaries, and each Lender, on its behalf and on the behalf of its affiliated Secured Parties, hereby irrevocably constitute the Administrative Agent as the holder of an irrevocable power of attorney (</w:t>
      </w:r>
      <w:r>
        <w:rPr>
          <w:rFonts w:ascii="Times New Roman" w:cs="Times New Roman" w:eastAsia="Times New Roman" w:hAnsi="Times New Roman"/>
          <w:sz w:val="20"/>
          <w:szCs w:val="20"/>
          <w:i w:val="1"/>
          <w:iCs w:val="1"/>
          <w:color w:val="auto"/>
        </w:rPr>
        <w:t>fondé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pouvoir </w:t>
      </w:r>
      <w:r>
        <w:rPr>
          <w:rFonts w:ascii="Times New Roman" w:cs="Times New Roman" w:eastAsia="Times New Roman" w:hAnsi="Times New Roman"/>
          <w:sz w:val="20"/>
          <w:szCs w:val="20"/>
          <w:color w:val="auto"/>
        </w:rPr>
        <w:t>within the meaning of Article 2692 of the Civil Code of Québec) in order to hold hypothecs and security granted by each Borrower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or any Subsidiary on property pursuant to the laws of the Province of Québec to secure obligations of any Borrower or any Subsidiary under any bond, debenture or similar title of indebtedness issued by any Borrower or any Subsidiary in connection with this Agreement, and agree that the Administrative Agent may act as the bondholder and mandatary with respect to any bond, debenture or similar title of indebtedness that may be issued by any Borrower or any Subsidiary and pledged in favor of the Secured Parties in connection with this Agreement. Notwithstanding the provisions of Section 32 of the An Act respecting the special powers of legal persons (Québec), JPMorgan Chase Bank, N.A. as Administrative Agent may acquire and be the holder of any bond issued by any Borrower or any Subsidiary in connection with this Agreement (i.e., the </w:t>
      </w:r>
      <w:r>
        <w:rPr>
          <w:rFonts w:ascii="Times New Roman" w:cs="Times New Roman" w:eastAsia="Times New Roman" w:hAnsi="Times New Roman"/>
          <w:sz w:val="20"/>
          <w:szCs w:val="20"/>
          <w:i w:val="1"/>
          <w:iCs w:val="1"/>
          <w:color w:val="auto"/>
        </w:rPr>
        <w:t>fondé de pouvoir</w:t>
      </w:r>
      <w:r>
        <w:rPr>
          <w:rFonts w:ascii="Times New Roman" w:cs="Times New Roman" w:eastAsia="Times New Roman" w:hAnsi="Times New Roman"/>
          <w:sz w:val="20"/>
          <w:szCs w:val="20"/>
          <w:color w:val="auto"/>
        </w:rPr>
        <w:t xml:space="preserve"> may acquire and hold the first bond issued under any deed of hypothec by any Borrower or any Subsidiary).</w:t>
      </w:r>
    </w:p>
    <w:p>
      <w:pPr>
        <w:spacing w:after="0" w:line="226"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24"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is hereby authorized to execute and deliver any documents necessary or appropriate to create and perfect the rights of pledge for the benefit of the Secured Parties including a right of pledge with respect to the entitlements to profits, the balance left after winding up and the voting rights of the Company as ultimate parent of any subsidiary of the Company which is organized under the laws of the Netherlands and the Capital Stock of which are pledged in connection herewith (a “</w:t>
      </w:r>
      <w:r>
        <w:rPr>
          <w:rFonts w:ascii="Times New Roman" w:cs="Times New Roman" w:eastAsia="Times New Roman" w:hAnsi="Times New Roman"/>
          <w:sz w:val="20"/>
          <w:szCs w:val="20"/>
          <w:u w:val="single" w:color="auto"/>
          <w:color w:val="auto"/>
        </w:rPr>
        <w:t>Dutch Pledge</w:t>
      </w:r>
      <w:r>
        <w:rPr>
          <w:rFonts w:ascii="Times New Roman" w:cs="Times New Roman" w:eastAsia="Times New Roman" w:hAnsi="Times New Roman"/>
          <w:sz w:val="20"/>
          <w:szCs w:val="20"/>
          <w:color w:val="auto"/>
        </w:rPr>
        <w:t>”). Without prejudice to the provisions of this Agreement and the other Loan Documents, the parties hereto acknowledge and agree with the creation of parallel debt obligations of the Company or any relevant Subsidiary as will be described in any Dutch Pledge (the “</w:t>
      </w:r>
      <w:r>
        <w:rPr>
          <w:rFonts w:ascii="Times New Roman" w:cs="Times New Roman" w:eastAsia="Times New Roman" w:hAnsi="Times New Roman"/>
          <w:sz w:val="20"/>
          <w:szCs w:val="20"/>
          <w:u w:val="single" w:color="auto"/>
          <w:color w:val="auto"/>
        </w:rPr>
        <w:t>Parallel Debt</w:t>
      </w:r>
      <w:r>
        <w:rPr>
          <w:rFonts w:ascii="Times New Roman" w:cs="Times New Roman" w:eastAsia="Times New Roman" w:hAnsi="Times New Roman"/>
          <w:sz w:val="20"/>
          <w:szCs w:val="20"/>
          <w:color w:val="auto"/>
        </w:rPr>
        <w:t>”), including that any payment received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129" w:right="339" w:bottom="1440" w:gutter="0" w:footer="0" w:header="0"/>
        </w:sectPr>
      </w:pPr>
    </w:p>
    <w:bookmarkStart w:id="127" w:name="page128"/>
    <w:bookmarkEnd w:id="127"/>
    <w:p>
      <w:pPr>
        <w:jc w:val="both"/>
        <w:spacing w:after="0" w:line="251" w:lineRule="auto"/>
        <w:rPr>
          <w:sz w:val="20"/>
          <w:szCs w:val="20"/>
          <w:color w:val="auto"/>
        </w:rPr>
      </w:pPr>
      <w:r>
        <w:rPr>
          <w:rFonts w:ascii="Times New Roman" w:cs="Times New Roman" w:eastAsia="Times New Roman" w:hAnsi="Times New Roman"/>
          <w:sz w:val="20"/>
          <w:szCs w:val="20"/>
          <w:color w:val="auto"/>
        </w:rPr>
        <w:t>by the Administrative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Obligations, and any payment to the Secured Parties in satisfaction of the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Administrative Agent is not effective until its rights under the Parallel Debt are assigned to the successor Administrative Agent.</w:t>
      </w:r>
    </w:p>
    <w:p>
      <w:pPr>
        <w:spacing w:after="0" w:line="222"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8.11.</w:t>
      </w:r>
      <w:r>
        <w:rPr>
          <w:sz w:val="20"/>
          <w:szCs w:val="20"/>
          <w:color w:val="auto"/>
        </w:rPr>
        <w:tab/>
      </w:r>
      <w:r>
        <w:rPr>
          <w:rFonts w:ascii="Times New Roman" w:cs="Times New Roman" w:eastAsia="Times New Roman" w:hAnsi="Times New Roman"/>
          <w:sz w:val="19"/>
          <w:szCs w:val="19"/>
          <w:u w:val="single" w:color="auto"/>
          <w:color w:val="auto"/>
        </w:rPr>
        <w:t>Borrower Communications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304"/>
        <w:spacing w:after="0" w:line="268" w:lineRule="auto"/>
        <w:tabs>
          <w:tab w:leader="none" w:pos="1727"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Borrower Portal</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819"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each of the Issuing Banks and each of the Borrowers hereby approves distribution of Borrower Communications through the Approved Borrower Portal and understands and assumes the risks of such distribution.</w:t>
      </w:r>
    </w:p>
    <w:p>
      <w:pPr>
        <w:spacing w:after="0" w:line="222" w:lineRule="exact"/>
        <w:rPr>
          <w:rFonts w:ascii="Times New Roman" w:cs="Times New Roman" w:eastAsia="Times New Roman" w:hAnsi="Times New Roman"/>
          <w:sz w:val="20"/>
          <w:szCs w:val="20"/>
          <w:color w:val="010000"/>
        </w:rPr>
      </w:pPr>
    </w:p>
    <w:p>
      <w:pPr>
        <w:jc w:val="both"/>
        <w:ind w:firstLine="1304"/>
        <w:spacing w:after="0" w:line="264" w:lineRule="auto"/>
        <w:tabs>
          <w:tab w:leader="none" w:pos="1781" w:val="left"/>
        </w:tabs>
        <w:numPr>
          <w:ilvl w:val="0"/>
          <w:numId w:val="1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APPROVED BORROWER PORTAL IS PROVIDED “AS IS” AND “AS AVAILABLE”. THE APPLICABLE PARTIES (AS DEFINED BELOW)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207" w:lineRule="exact"/>
        <w:rPr>
          <w:rFonts w:ascii="Times New Roman" w:cs="Times New Roman" w:eastAsia="Times New Roman" w:hAnsi="Times New Roman"/>
          <w:sz w:val="19"/>
          <w:szCs w:val="19"/>
          <w:color w:val="010000"/>
        </w:rPr>
      </w:pPr>
    </w:p>
    <w:p>
      <w:pPr>
        <w:jc w:val="both"/>
        <w:ind w:firstLine="1304"/>
        <w:spacing w:after="0" w:line="261" w:lineRule="auto"/>
        <w:tabs>
          <w:tab w:leader="none" w:pos="1765"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208" w:lineRule="exact"/>
        <w:rPr>
          <w:rFonts w:ascii="Times New Roman" w:cs="Times New Roman" w:eastAsia="Times New Roman" w:hAnsi="Times New Roman"/>
          <w:sz w:val="20"/>
          <w:szCs w:val="20"/>
          <w:color w:val="010000"/>
        </w:rPr>
      </w:pPr>
    </w:p>
    <w:p>
      <w:pPr>
        <w:ind w:firstLine="1304"/>
        <w:spacing w:after="0" w:line="269" w:lineRule="auto"/>
        <w:tabs>
          <w:tab w:leader="none" w:pos="1767"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any Borrower to give any notice or other communication pursuant to any Loan Document in any other manner specified in such Loan Document.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886"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color w:val="010000"/>
        </w:rPr>
        <w:t>ARTICLE IX</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43"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9.01.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61" w:lineRule="auto"/>
        <w:tabs>
          <w:tab w:leader="none" w:pos="1767"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208" w:lineRule="exact"/>
        <w:rPr>
          <w:sz w:val="20"/>
          <w:szCs w:val="20"/>
          <w:color w:val="auto"/>
        </w:rPr>
      </w:pPr>
    </w:p>
    <w:p>
      <w:pPr>
        <w:jc w:val="both"/>
        <w:ind w:firstLine="1304"/>
        <w:spacing w:after="0" w:line="254" w:lineRule="auto"/>
        <w:tabs>
          <w:tab w:leader="none" w:pos="1802"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Borrower, to it c/o The Scotts Miracle-Gro Company, 14111 Scottslawn Road, Marysville, Ohio 43041, Attention of Treasurer (Telecopy No. (937) 578-5754; Telephone No. (937) 644-0011), with a copy (in the case of a notice of Default) to c/o The Scotts Miracle-Gro Company, 14111 Scottslawn Road, Marysville, Ohio 43041, Attention of General Counsel (Telecopy No. (937) 578-5754; Telephone No. (937) 578-5970);</w:t>
      </w:r>
    </w:p>
    <w:p>
      <w:pPr>
        <w:spacing w:after="0" w:line="214"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Administrative Agent from any Borrower, to the address or addresses separately provided to the Company;;</w:t>
      </w:r>
    </w:p>
    <w:p>
      <w:pPr>
        <w:spacing w:after="0" w:line="256" w:lineRule="exact"/>
        <w:rPr>
          <w:rFonts w:ascii="Times New Roman" w:cs="Times New Roman" w:eastAsia="Times New Roman" w:hAnsi="Times New Roman"/>
          <w:sz w:val="20"/>
          <w:szCs w:val="20"/>
          <w:color w:val="010000"/>
        </w:rPr>
      </w:pPr>
    </w:p>
    <w:p>
      <w:pPr>
        <w:ind w:firstLine="1304"/>
        <w:spacing w:after="0" w:line="269" w:lineRule="auto"/>
        <w:tabs>
          <w:tab w:leader="none" w:pos="1844"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Administrative Agent from the Lenders, to JPMorgan Chase Bank, N.A., 131 S. Dearborn Street, Floor 04, Chicago, Illinois 60603-5506, Attention of Loan and Agency Servicing</w:t>
      </w:r>
    </w:p>
    <w:p>
      <w:pPr>
        <w:spacing w:after="0" w:line="199"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notification of the DQ List, to JPMDQ_Contact@jpmorgan.com;</w:t>
      </w:r>
    </w:p>
    <w:p>
      <w:pPr>
        <w:spacing w:after="0" w:line="242"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 Issuing Bank, to it at the address separately provided to the Company;</w:t>
      </w:r>
    </w:p>
    <w:p>
      <w:pPr>
        <w:spacing w:after="0" w:line="256"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Swingline Lender, to it at the address separately provided to the Company; and</w:t>
      </w:r>
    </w:p>
    <w:p>
      <w:pPr>
        <w:spacing w:after="0" w:line="256" w:lineRule="exact"/>
        <w:rPr>
          <w:rFonts w:ascii="Times New Roman" w:cs="Times New Roman" w:eastAsia="Times New Roman" w:hAnsi="Times New Roman"/>
          <w:sz w:val="20"/>
          <w:szCs w:val="20"/>
          <w:color w:val="010000"/>
        </w:rPr>
      </w:pPr>
    </w:p>
    <w:p>
      <w:pPr>
        <w:ind w:left="1840" w:hanging="536"/>
        <w:spacing w:after="0"/>
        <w:tabs>
          <w:tab w:leader="none" w:pos="1840"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other Lender, to it at its address (or telecopy number) set forth in its Administrative Questionnaire.</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w:t>
      </w:r>
    </w:p>
    <w:p>
      <w:pPr>
        <w:spacing w:after="0" w:line="219" w:lineRule="exact"/>
        <w:rPr>
          <w:sz w:val="20"/>
          <w:szCs w:val="20"/>
          <w:color w:val="auto"/>
        </w:rPr>
      </w:pPr>
    </w:p>
    <w:p>
      <w:pPr>
        <w:jc w:val="both"/>
        <w:ind w:firstLine="1304"/>
        <w:spacing w:after="0" w:line="253" w:lineRule="auto"/>
        <w:tabs>
          <w:tab w:leader="none" w:pos="1765" w:val="left"/>
        </w:tabs>
        <w:numPr>
          <w:ilvl w:val="0"/>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Notices and other communications to the Lenders, the Administrative Agent and the Issuing Banks hereunder may be delivered or furnished by using Approved Electronic Platforms or Approved Borrower Portals (as applicable), in each case,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21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54" w:val="left"/>
        </w:tabs>
        <w:numPr>
          <w:ilvl w:val="0"/>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129" w:right="339" w:bottom="1440" w:gutter="0" w:footer="0" w:header="0"/>
        </w:sectPr>
      </w:pPr>
    </w:p>
    <w:bookmarkStart w:id="129" w:name="page130"/>
    <w:bookmarkEnd w:id="12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19" w:lineRule="exact"/>
        <w:rPr>
          <w:sz w:val="20"/>
          <w:szCs w:val="20"/>
          <w:color w:val="auto"/>
        </w:rPr>
      </w:pPr>
    </w:p>
    <w:p>
      <w:pPr>
        <w:ind w:firstLine="1304"/>
        <w:spacing w:after="0" w:line="283" w:lineRule="auto"/>
        <w:tabs>
          <w:tab w:leader="none" w:pos="1724" w:val="left"/>
        </w:tabs>
        <w:numPr>
          <w:ilvl w:val="0"/>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w:t>
      </w:r>
    </w:p>
    <w:p>
      <w:pPr>
        <w:spacing w:after="0" w:line="173"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9.02.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50" w:lineRule="auto"/>
        <w:tabs>
          <w:tab w:leader="none" w:pos="1794"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223" w:lineRule="exact"/>
        <w:rPr>
          <w:rFonts w:ascii="Times New Roman" w:cs="Times New Roman" w:eastAsia="Times New Roman" w:hAnsi="Times New Roman"/>
          <w:sz w:val="20"/>
          <w:szCs w:val="20"/>
          <w:color w:val="010000"/>
        </w:rPr>
      </w:pPr>
    </w:p>
    <w:p>
      <w:pPr>
        <w:jc w:val="both"/>
        <w:ind w:firstLine="1304"/>
        <w:spacing w:after="0" w:line="248" w:lineRule="auto"/>
        <w:tabs>
          <w:tab w:leader="none" w:pos="1765"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provided in Section 2.20 or as provided in Section 2.14(b) and Section 2.14(c),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neither (A) any amendment or modification of the financial covenants in this Agreement (or defined terms used in the financial covenants in this Agreement) or (B) any amendment entered into pursuant to the terms of Section 2.14(c) shall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2.09(c) or Section 2.18(b) or (d) in a manner that would alter the ratable reduction of Commitments or the pro rata sharing of payments required thereby, without the written consent of each Lender, (v) change the payment waterfall provisions of Section 2.22(b) or Section 7.5 of the Guarantee and Collateral Agreement without the consent of each Lender, (vi) change any of the provisions of this Section or the definition of “Required Lenders” or the percentage with respect to any Class of Lenders in the definition of the term “Majority in Interest” or any other provision hereof specifying the number or percentage of Lenders required to waive, amend or modify any rights hereunder or make any determination or grant any consent hereunder, without the written consent of each Lender, (vii) release all or substantially all of the Subsidiary Guarantors from their obligations under the Guarantee and Collateral Agreement, in each case, without the written consent of each Lender, (viii) except as provided in clause (d) of this Section or in any Security Document, release all or substantially all of the Collateral, without the written consent of each Lender (ix) subordinate the Lien on a material portion of the Collateral, taken as a whole, securing the Obligations to the Lien securing any other Indebtedness (other than any Lien permitted pursuant to Section 6.01(a)(i), 6.01(i) or 6.01(l), in each case, as in effect on the Effective Date), without the written consent of each Lender directly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886" w:right="339" w:bottom="1440" w:gutter="0" w:footer="0" w:header="0"/>
        </w:sectPr>
      </w:pPr>
    </w:p>
    <w:bookmarkStart w:id="130" w:name="page131"/>
    <w:bookmarkEnd w:id="130"/>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affected thereby (provided that no such Lender’s consent shall be required pursuant to this Section 9.02(b)(ix) if such Lender is offered a reasonable, bona fide opportunity to participate on a pro rata basis in any priming Indebtedness (including any fees payable in connection therewith) permitted to be issued as a result of such waiver, amendment or modification) or (x) subordinate the Secured Obligations (or any Class thereof) in right of payment to any other Indebtedness, without the written consent of each Lender directly affected thereby (provided that no such Lender’s consent shall be required pursuant to this Section 9.02(b)(x) if such Lender is offered a reasonable, bona fide opportunity to participate on a pro rata basis in any priming Indebtedness (including any fees payable in connection therewith) permitted to be issued as a result of such waiver, amendment or modification);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2.22 shall require the consent of the Administrative Agent, the Issuing Banks and the Swingline Lender).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210" w:lineRule="exact"/>
        <w:rPr>
          <w:sz w:val="20"/>
          <w:szCs w:val="20"/>
          <w:color w:val="auto"/>
        </w:rPr>
      </w:pPr>
    </w:p>
    <w:p>
      <w:pPr>
        <w:jc w:val="both"/>
        <w:ind w:firstLine="1304"/>
        <w:spacing w:after="0" w:line="262" w:lineRule="auto"/>
        <w:tabs>
          <w:tab w:leader="none" w:pos="1740" w:val="left"/>
        </w:tabs>
        <w:numPr>
          <w:ilvl w:val="1"/>
          <w:numId w:val="1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the foregoing, (i) the Administrative Agent and the Company may amend, modify or supplement any Loan Document without the consent of any Lender or the Required Lenders in order to correct, amend or cure any ambiguity, inconsistency or defect or correct any typographical error or other manifest error in any Loan Document and (ii) this Agreement may be amended (x) with the written consent of the Administrative Agent, the Company and the Lenders providing the relevant Replacement Term Loans (as defined below) to permit the refinancing, replacement or modification of all or any portion of the outstanding Term Loans or Incremental Term Loans (such Loans, the “</w:t>
      </w:r>
      <w:r>
        <w:rPr>
          <w:rFonts w:ascii="Times New Roman" w:cs="Times New Roman" w:eastAsia="Times New Roman" w:hAnsi="Times New Roman"/>
          <w:sz w:val="19"/>
          <w:szCs w:val="19"/>
          <w:u w:val="single" w:color="auto"/>
          <w:color w:val="auto"/>
        </w:rPr>
        <w:t>Replaced Term Loans</w:t>
      </w:r>
      <w:r>
        <w:rPr>
          <w:rFonts w:ascii="Times New Roman" w:cs="Times New Roman" w:eastAsia="Times New Roman" w:hAnsi="Times New Roman"/>
          <w:sz w:val="19"/>
          <w:szCs w:val="19"/>
          <w:color w:val="auto"/>
        </w:rPr>
        <w:t>”) with a replacement term loan hereunder (“</w:t>
      </w:r>
      <w:r>
        <w:rPr>
          <w:rFonts w:ascii="Times New Roman" w:cs="Times New Roman" w:eastAsia="Times New Roman" w:hAnsi="Times New Roman"/>
          <w:sz w:val="19"/>
          <w:szCs w:val="19"/>
          <w:u w:val="single" w:color="auto"/>
          <w:color w:val="auto"/>
        </w:rPr>
        <w:t>Replacement Term Loans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the aggregate principal amount of such Replacement Term Loans shall not exceed the aggregate principal amount of such Replaced Term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unpaid accrued interest and premium thereon at such time plus reasonable fees and expenses incurred in connection with such replacement), (b) the terms of the Replacement Term Loans (1) (excluding pricing, fees and rate floors and optional prepayment or redemption terms and subject to clause (2) below) reflect, in Company’s reasonable judgment, then-existing market terms and conditions and</w:t>
      </w:r>
    </w:p>
    <w:p>
      <w:pPr>
        <w:spacing w:after="0" w:line="6" w:lineRule="exact"/>
        <w:rPr>
          <w:rFonts w:ascii="Times New Roman" w:cs="Times New Roman" w:eastAsia="Times New Roman" w:hAnsi="Times New Roman"/>
          <w:sz w:val="19"/>
          <w:szCs w:val="19"/>
          <w:color w:val="010000"/>
        </w:rPr>
      </w:pPr>
    </w:p>
    <w:p>
      <w:pPr>
        <w:jc w:val="both"/>
        <w:ind w:firstLine="8"/>
        <w:spacing w:after="0" w:line="260" w:lineRule="auto"/>
        <w:tabs>
          <w:tab w:leader="none" w:pos="317"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(excluding pricing, fees and rate floors) are no more favorable to the lenders providing such Replacement Term Loans than those applicable to the Replaced Term Loans (in each case, including with respect to mandatory and optional prepayments);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covenants or other provisions applicable only to periods after the Latest Maturity Date in effect immediately prior to the establishment of such Replacement Term Loans;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any Replacement Term Loans may add additional covenants or events of default not otherwise applicable to the Replaced Term Loans or covenants more restrictive than the covenants applicable to the Replaced Term Loans, in each case prior to the Latest Maturity Date in effect immediately prior to the establishment of such Replacement Term Loans so long as all Lenders receive the benefits of such additional covenants, events of default or more restrictive covenants, (c) the weighted average life to maturity of any Replacement Term Loans shall be no shorter than the remaining weighted average life to maturity of the Replaced Terms Loans, (d) the maturity date with respect to any Replacement Term Loans shall be no earlier than the maturity date with respect to the Replaced Term Loans, (e) no Subsidiary that is not originally obligated with respect to repayment of the Replaced Term Loans is obligated with respect to the Replacement Term Loans, unless such Subsidiary becomes obligated on a pari passu basis in respect of any other then outstanding Loans and Commitments, and (f) any Person that the Company proposes to become a lender in respect of the Replacement Term Loans, if such Person is not then a Lender, must be reasonably acceptable to the Administrative Agent and</w:t>
      </w:r>
    </w:p>
    <w:p>
      <w:pPr>
        <w:spacing w:after="0" w:line="7" w:lineRule="exact"/>
        <w:rPr>
          <w:rFonts w:ascii="Times New Roman" w:cs="Times New Roman" w:eastAsia="Times New Roman" w:hAnsi="Times New Roman"/>
          <w:sz w:val="19"/>
          <w:szCs w:val="19"/>
          <w:color w:val="auto"/>
        </w:rPr>
      </w:pPr>
    </w:p>
    <w:p>
      <w:pPr>
        <w:jc w:val="both"/>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with the written consent of the Administrative Agent, the Company and the Lenders providing the relevant Replacement Revolving Facility (as defined below) to permit the refinancing, replacement or modification of all or any portion of the Revolving Commitments and Revolving Loans (a “</w:t>
      </w:r>
      <w:r>
        <w:rPr>
          <w:rFonts w:ascii="Times New Roman" w:cs="Times New Roman" w:eastAsia="Times New Roman" w:hAnsi="Times New Roman"/>
          <w:sz w:val="20"/>
          <w:szCs w:val="20"/>
          <w:u w:val="single" w:color="auto"/>
          <w:color w:val="auto"/>
        </w:rPr>
        <w:t>Replaced Revolving Facility</w:t>
      </w:r>
      <w:r>
        <w:rPr>
          <w:rFonts w:ascii="Times New Roman" w:cs="Times New Roman" w:eastAsia="Times New Roman" w:hAnsi="Times New Roman"/>
          <w:sz w:val="20"/>
          <w:szCs w:val="20"/>
          <w:color w:val="auto"/>
        </w:rPr>
        <w:t>”) with a replacement revolving facility hereunder (a “</w:t>
      </w:r>
      <w:r>
        <w:rPr>
          <w:rFonts w:ascii="Times New Roman" w:cs="Times New Roman" w:eastAsia="Times New Roman" w:hAnsi="Times New Roman"/>
          <w:sz w:val="20"/>
          <w:szCs w:val="20"/>
          <w:u w:val="single" w:color="auto"/>
          <w:color w:val="auto"/>
        </w:rPr>
        <w:t>Replacement Revolving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amount of such Replacement Revolving Facility shall not exceed the aggregate amount of such Replaced Revolving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unpaid accrued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886" w:right="339" w:bottom="1440" w:gutter="0" w:footer="0" w:header="0"/>
        </w:sectPr>
      </w:pPr>
    </w:p>
    <w:bookmarkStart w:id="131" w:name="page132"/>
    <w:bookmarkEnd w:id="13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interest and premium thereon at such time plus reasonable fees and expenses incurred in connection with such replacement), (b) the terms of the Replacement Revolving Facility (1) (excluding pricing, fees and rate floors and optional prepayment or redemption terms and subject to clause (2) below) reflect, in the Company’s reasonable judgment, then-existing market terms and conditions and (2) (excluding pricing, fees and rate floors) are no more favorable to the lenders providing such Replacement Revolving Facility than those applicable to the Replaced Revolving Facility (in each case, including with respect to mandatory and optional prepayments);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covenants or other provisions applicable only to periods after the Latest Maturity Date in effect immediately prior to the establishment of such Replacement Revolving Facility;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Replacement Revolving Facility may add additional covenants or events of default not otherwise applicable to the Replaced Revolving Facility or covenants more restrictive than the covenants applicable to the Replaced Revolving Facility, in each case prior to the Latest Maturity Date in effect immediately prior to the establishment of such Replacement Revolving Facility so long as all Lenders receive the benefits of such additional covenants, events of default or more restrictive covenants, (c) the maturity date with respect to any Replacement Revolving Facility shall be no earlier than the maturity date with respect to the Replaced Revolving Facility, (d) no Subsidiary that is not originally obligated with respect to repayment of the Replaced Revolving Facility is obligated with respect to the Replacement Revolving Facility, unless such Subsidiary becomes obligated on a pari passu basis in respect of any other then outstanding Loans and Commitments, and (e) any Person that the Company proposes to become a lender in respect of the Replacement Revolving Facility, if such Person is not then a Lender, must be reasonably acceptable to the Administrative Agent, the Issuing Banks and the Swingline Lender. Notwithstanding the foregoing, in no event shall there be more than five (5) maturity dates in respect of the Credit Facilities (including any Replacement Term Loans or Replacement Revolving Facilities).</w:t>
      </w:r>
    </w:p>
    <w:p>
      <w:pPr>
        <w:spacing w:after="0" w:line="207" w:lineRule="exact"/>
        <w:rPr>
          <w:sz w:val="20"/>
          <w:szCs w:val="20"/>
          <w:color w:val="auto"/>
        </w:rPr>
      </w:pPr>
    </w:p>
    <w:p>
      <w:pPr>
        <w:jc w:val="both"/>
        <w:ind w:firstLine="1304"/>
        <w:spacing w:after="0" w:line="262" w:lineRule="auto"/>
        <w:tabs>
          <w:tab w:leader="none" w:pos="1765" w:val="left"/>
        </w:tabs>
        <w:numPr>
          <w:ilvl w:val="1"/>
          <w:numId w:val="1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Lenders hereby irrevocably authorize the Administrative Agent, at its option and in its sole discretion, to release any Liens granted to the Administrative Agent by the Loan Parties on any Collateral (i) upon the termination of all the Commitments, payment and satisfaction in full in cash of all Obligations (other than Obligations under Lender Cash Management Agreements not yet due and payable, Obligations under Lender Hedging Agreements not yet due and payable, Obligations under Lender Qualified Bilateral Letters of Credit not due and payable, Unliquidated Obligations for which no claim has been made and other Obligations expressly stated to survive such payment and termination), and the cash collateralization of all Unliquidated Obligations in a manner satisfactory to the Administrative Agent, (ii) constituting property being sold or disposed of to a Person that is not the Company or a Loan Party that is a Domestic Subsidiary (including, without limitation, the HGC Divestiture Initial Non-Cash Consideration if Disposed of to a third party pursuant to Section 6.08(i)) if the Company certifies to the Administrative Agent that the sale or disposition is made in compliance with the terms of this Agreement (and the Administrative Agent may rely conclusively on any such certificate, without further inquiry), (iii) constituting property leased to the Company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In addition, each of the Lenders, on behalf of itself and any of its Affiliates that are Secured Parties, irrevocably authorizes the Administrative Agent, at its option and in its discretion,</w:t>
      </w:r>
    </w:p>
    <w:p>
      <w:pPr>
        <w:spacing w:after="0" w:line="6" w:lineRule="exact"/>
        <w:rPr>
          <w:rFonts w:ascii="Times New Roman" w:cs="Times New Roman" w:eastAsia="Times New Roman" w:hAnsi="Times New Roman"/>
          <w:sz w:val="19"/>
          <w:szCs w:val="19"/>
          <w:color w:val="010000"/>
        </w:rPr>
      </w:pPr>
    </w:p>
    <w:p>
      <w:pPr>
        <w:jc w:val="both"/>
        <w:ind w:firstLine="8"/>
        <w:spacing w:after="0" w:line="248" w:lineRule="auto"/>
        <w:tabs>
          <w:tab w:leader="none" w:pos="2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subordinate any Lien on any assets granted to or held by the Administrative Agent under any Loan Document to the holder of any Lien on such property that is permitted by Section 6.01(a)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886" w:right="339" w:bottom="1440" w:gutter="0" w:footer="0" w:header="0"/>
        </w:sectPr>
      </w:pPr>
    </w:p>
    <w:bookmarkStart w:id="132" w:name="page133"/>
    <w:bookmarkEnd w:id="132"/>
    <w:p>
      <w:pPr>
        <w:jc w:val="both"/>
        <w:ind w:firstLine="1304"/>
        <w:spacing w:after="0" w:line="263" w:lineRule="auto"/>
        <w:tabs>
          <w:tab w:leader="none" w:pos="1781" w:val="left"/>
        </w:tabs>
        <w:numPr>
          <w:ilvl w:val="0"/>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each Borrower shall pay to such Non-Consenting Lender in same day funds on the day of such replacement (1) the outstanding principal amount of its Loans and participations in LC Disbursements and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06" w:lineRule="exact"/>
        <w:rPr>
          <w:rFonts w:ascii="Times New Roman" w:cs="Times New Roman" w:eastAsia="Times New Roman" w:hAnsi="Times New Roman"/>
          <w:sz w:val="19"/>
          <w:szCs w:val="19"/>
          <w:color w:val="010000"/>
        </w:rPr>
      </w:pPr>
    </w:p>
    <w:p>
      <w:pPr>
        <w:jc w:val="both"/>
        <w:ind w:firstLine="1304"/>
        <w:spacing w:after="0" w:line="253" w:lineRule="auto"/>
        <w:tabs>
          <w:tab w:leader="none" w:pos="1840" w:val="left"/>
        </w:tabs>
        <w:numPr>
          <w:ilvl w:val="0"/>
          <w:numId w:val="1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herein to the contrary, as to any amendment or amendment and restatement otherwise approved in 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206"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9.03.</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304"/>
        <w:spacing w:after="0" w:line="250" w:lineRule="auto"/>
        <w:tabs>
          <w:tab w:leader="none" w:pos="1821"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pay (i) all reasonable and documented out-of-pocket expenses incurred by the Administrative Agent and its Affiliates, including the reasonable and documented fees, charges and disbursements of one primary counsel (and specialist counsel as may reasonably be required by the Administrative Agent and one additional local counsel in each applicable jurisdiction) for the Administrative Agent, in connection with the syndication of the credit facilities provided for herein, the distribution (including, without limitation, via the internet or through a service such as Intralinks),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or extension of any Letter of Credit or any demand for payment thereunder and (iii) all out-of-pocket expenses incurred by the Administrative Agent, any Issuing Bank or any Lender, including the fees, charges and disbursements of one primary counsel (and specialist counsel as may reasonably be required by the Administrative Agent and one local counsel in each applicable jurisdiction) for the Administrative Agent and one additional counsel for all of the Lenders and additional counsel as the Administrative Agent or any Lender or group of Lenders reasonably determines are necessary in light of actual or potential conflicts of interest or the availability of different claims or defenses, in connection with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886" w:right="339" w:bottom="1440" w:gutter="0" w:footer="0" w:header="0"/>
        </w:sectPr>
      </w:pPr>
    </w:p>
    <w:bookmarkStart w:id="133" w:name="page134"/>
    <w:bookmarkEnd w:id="133"/>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208" w:lineRule="exact"/>
        <w:rPr>
          <w:sz w:val="20"/>
          <w:szCs w:val="20"/>
          <w:color w:val="auto"/>
        </w:rPr>
      </w:pPr>
    </w:p>
    <w:p>
      <w:pPr>
        <w:jc w:val="both"/>
        <w:ind w:firstLine="1304"/>
        <w:spacing w:after="0" w:line="263" w:lineRule="auto"/>
        <w:tabs>
          <w:tab w:leader="none" w:pos="1738"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indemnify the Administrative Agent, each Arranger, each Issuing Bank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any and all Liabilities and related expenses, including the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or related expenses are determined by a court of competent jurisdiction by final and nonappealable judgment to have resulted from the gross negligence or willful misconduct (or, as determined pursuant to a claim initiated by the Company, breach in bad faith of its express obligations under the applicable Loan Documents by) of such Indemnitee. This Section 9.03(b) shall not apply with respect to Taxes other than any Taxes that represent losses, claims or damages arising from any non-Tax claim.</w:t>
      </w:r>
    </w:p>
    <w:p>
      <w:pPr>
        <w:spacing w:after="0" w:line="209" w:lineRule="exact"/>
        <w:rPr>
          <w:rFonts w:ascii="Times New Roman" w:cs="Times New Roman" w:eastAsia="Times New Roman" w:hAnsi="Times New Roman"/>
          <w:sz w:val="19"/>
          <w:szCs w:val="19"/>
          <w:color w:val="010000"/>
        </w:rPr>
      </w:pPr>
    </w:p>
    <w:p>
      <w:pPr>
        <w:jc w:val="both"/>
        <w:ind w:firstLine="1304"/>
        <w:spacing w:after="0" w:line="251" w:lineRule="auto"/>
        <w:tabs>
          <w:tab w:leader="none" w:pos="1794"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extent that the Company fails to pay any amount required to be paid by it to the Administrative Agent, any Issuing Bank or the Swingline Lender under paragraph (a) or (b) of this Section, each Lender severally agrees to pay to the Administrative Agent, and each Revolving Lender severally agrees to pay to such Issuing Bank or the Swingline Lender, as the case may be, such Lender’s Applicable Percentage (determined as of the time that the applicable unreimbursed expense or indemnity payment is sought) of such unpaid amount (it being understood that the Company’s failure to pay any such amount shall not relieve the Company of any default in the payment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219"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38"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severally agrees to pay any amount required to be paid by the Company under paragraph (a), (b) or (c) of this Section 9.03 to the Administrative Agent, the Issuing Bank and the Swingline Lender, and each Related Party of any of the foregoing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(to the extent not reimbursed by the Company and without limiting the obligation of the Company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886" w:right="339" w:bottom="1440" w:gutter="0" w:footer="0" w:header="0"/>
        </w:sectPr>
      </w:pPr>
    </w:p>
    <w:bookmarkStart w:id="134" w:name="page135"/>
    <w:bookmarkEnd w:id="134"/>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such Agent-Related Person in its capacity as such;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spacing w:after="0" w:line="199" w:lineRule="exact"/>
        <w:rPr>
          <w:sz w:val="20"/>
          <w:szCs w:val="20"/>
          <w:color w:val="auto"/>
        </w:rPr>
      </w:pPr>
    </w:p>
    <w:p>
      <w:pPr>
        <w:ind w:firstLine="1304"/>
        <w:spacing w:after="0" w:line="283" w:lineRule="auto"/>
        <w:tabs>
          <w:tab w:leader="none" w:pos="1727"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due under this Section shall be payable not later than fifteen (15) days after written demand (together with reasonably detailed invoices) therefor.</w:t>
      </w:r>
    </w:p>
    <w:p>
      <w:pPr>
        <w:spacing w:after="0" w:line="187"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9.04.</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1304"/>
        <w:spacing w:after="0" w:line="258" w:lineRule="auto"/>
        <w:tabs>
          <w:tab w:leader="none" w:pos="1848" w:val="left"/>
        </w:tabs>
        <w:numPr>
          <w:ilvl w:val="1"/>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provisions of this Agreement shall be binding upon and inure to the benefit of the parties hereto and their respective successors and assigns permitted hereby (including any Affiliate of any Issuing Bank that issues any Letter of Credit), except that</w:t>
      </w:r>
    </w:p>
    <w:p>
      <w:pPr>
        <w:ind w:left="260" w:hanging="252"/>
        <w:spacing w:after="0"/>
        <w:tabs>
          <w:tab w:leader="none" w:pos="2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may assign or otherwise transfer any of its rights or obligations hereunder without the prior written consent of each Lender</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221" w:lineRule="exact"/>
        <w:rPr>
          <w:sz w:val="20"/>
          <w:szCs w:val="20"/>
          <w:color w:val="auto"/>
        </w:rPr>
      </w:pPr>
    </w:p>
    <w:p>
      <w:pPr>
        <w:jc w:val="both"/>
        <w:ind w:firstLine="1304"/>
        <w:spacing w:after="0" w:line="254" w:lineRule="auto"/>
        <w:tabs>
          <w:tab w:leader="none" w:pos="1751"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conditioned or delayed) of:</w:t>
      </w:r>
    </w:p>
    <w:p>
      <w:pPr>
        <w:spacing w:after="0" w:line="214"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434"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(provided that the Company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consent of the Company shall be required for an assignment to a Lender, an Affiliate of a Lender, an Approved Fund or, if an Event of Default under clause (a) or (f)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any other assignee;</w:t>
      </w:r>
    </w:p>
    <w:p>
      <w:pPr>
        <w:spacing w:after="0" w:line="218" w:lineRule="exact"/>
        <w:rPr>
          <w:rFonts w:ascii="Times New Roman" w:cs="Times New Roman" w:eastAsia="Times New Roman" w:hAnsi="Times New Roman"/>
          <w:sz w:val="20"/>
          <w:szCs w:val="20"/>
          <w:color w:val="010000"/>
        </w:rPr>
      </w:pPr>
    </w:p>
    <w:p>
      <w:pPr>
        <w:ind w:left="1300" w:firstLine="652"/>
        <w:spacing w:after="0" w:line="269" w:lineRule="auto"/>
        <w:tabs>
          <w:tab w:leader="none" w:pos="2531"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of all or any portion of a Loan to a Lender, an Affiliate of a Lender or an Approved Fund;</w:t>
      </w:r>
    </w:p>
    <w:p>
      <w:pPr>
        <w:spacing w:after="0" w:line="199" w:lineRule="exact"/>
        <w:rPr>
          <w:rFonts w:ascii="Times New Roman" w:cs="Times New Roman" w:eastAsia="Times New Roman" w:hAnsi="Times New Roman"/>
          <w:sz w:val="20"/>
          <w:szCs w:val="20"/>
          <w:color w:val="010000"/>
        </w:rPr>
      </w:pPr>
    </w:p>
    <w:p>
      <w:pPr>
        <w:jc w:val="both"/>
        <w:ind w:left="1300" w:right="20" w:firstLine="652"/>
        <w:spacing w:after="0" w:line="258" w:lineRule="auto"/>
        <w:tabs>
          <w:tab w:leader="none" w:pos="2477"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Issuing Banks;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an Issuing Bank shall be required if (x) an Event of Default occurs with respect to any Borrower under clause (f)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(y) such Issuing Bank has no outstanding Letters of Credit at that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consent of the Issuing Banks shall be required for an assignment of all or any portion of a Term Loan; and</w:t>
      </w:r>
    </w:p>
    <w:p>
      <w:pPr>
        <w:spacing w:after="0" w:line="199" w:lineRule="exact"/>
        <w:rPr>
          <w:rFonts w:ascii="Times New Roman" w:cs="Times New Roman" w:eastAsia="Times New Roman" w:hAnsi="Times New Roman"/>
          <w:sz w:val="20"/>
          <w:szCs w:val="20"/>
          <w:color w:val="010000"/>
        </w:rPr>
      </w:pPr>
    </w:p>
    <w:p>
      <w:pPr>
        <w:jc w:val="both"/>
        <w:ind w:left="1300" w:firstLine="652"/>
        <w:spacing w:after="0" w:line="258" w:lineRule="auto"/>
        <w:tabs>
          <w:tab w:leader="none" w:pos="2474"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Swingline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Swingline Lender shall be required if (x) an Event of Default occurs with respect to any Borrower under clause (f)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(y) the Swingline Lender has no outstanding Swingline Loans at that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consent of the Swingline Lender shall be required for an assignment of all or any portion of a Term Loan.</w:t>
      </w:r>
    </w:p>
    <w:p>
      <w:pPr>
        <w:spacing w:after="0" w:line="213" w:lineRule="exact"/>
        <w:rPr>
          <w:sz w:val="20"/>
          <w:szCs w:val="20"/>
          <w:color w:val="auto"/>
        </w:rPr>
      </w:pPr>
    </w:p>
    <w:p>
      <w:pPr>
        <w:ind w:left="1740" w:hanging="436"/>
        <w:spacing w:after="0"/>
        <w:tabs>
          <w:tab w:leader="none" w:pos="1740" w:val="left"/>
        </w:tabs>
        <w:numPr>
          <w:ilvl w:val="0"/>
          <w:numId w:val="1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364" w:lineRule="exact"/>
        <w:rPr>
          <w:rFonts w:ascii="Times New Roman" w:cs="Times New Roman" w:eastAsia="Times New Roman" w:hAnsi="Times New Roman"/>
          <w:sz w:val="20"/>
          <w:szCs w:val="20"/>
          <w:color w:val="010000"/>
        </w:rPr>
      </w:pPr>
    </w:p>
    <w:p>
      <w:pPr>
        <w:ind w:left="54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886" w:right="339" w:bottom="1440" w:gutter="0" w:footer="0" w:header="0"/>
        </w:sectPr>
      </w:pPr>
    </w:p>
    <w:bookmarkStart w:id="135" w:name="page136"/>
    <w:bookmarkEnd w:id="135"/>
    <w:p>
      <w:pPr>
        <w:jc w:val="both"/>
        <w:ind w:left="1300" w:firstLine="652"/>
        <w:spacing w:after="0" w:line="250" w:lineRule="auto"/>
        <w:tabs>
          <w:tab w:leader="none" w:pos="2528" w:val="left"/>
        </w:tabs>
        <w:numPr>
          <w:ilvl w:val="0"/>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the Assignment and Assumption with respect to such assignment is delivered to the Administrative Agent) shall not be less than $5,000,000 (in the case of Revolving Commitments and Revolving Loans) or $5,000,000 (in the case of a Term Loan) unless each of the Company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Company shall be required if an Event of Default has occurred and is continuing; provided, further, however, that concurrent assignments to or from Affiliates and groups of funds will be aggregated and treated as a single assignment for purposes of determining whether such minimum amount has been met;</w:t>
      </w:r>
    </w:p>
    <w:p>
      <w:pPr>
        <w:spacing w:after="0" w:line="223" w:lineRule="exact"/>
        <w:rPr>
          <w:rFonts w:ascii="Times New Roman" w:cs="Times New Roman" w:eastAsia="Times New Roman" w:hAnsi="Times New Roman"/>
          <w:sz w:val="20"/>
          <w:szCs w:val="20"/>
          <w:color w:val="010000"/>
        </w:rPr>
      </w:pPr>
    </w:p>
    <w:p>
      <w:pPr>
        <w:jc w:val="both"/>
        <w:ind w:left="1300" w:firstLine="652"/>
        <w:spacing w:after="0" w:line="261" w:lineRule="auto"/>
        <w:tabs>
          <w:tab w:leader="none" w:pos="2464" w:val="left"/>
        </w:tabs>
        <w:numPr>
          <w:ilvl w:val="0"/>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208"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464" w:val="left"/>
        </w:tabs>
        <w:numPr>
          <w:ilvl w:val="0"/>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218"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609" w:val="left"/>
        </w:tabs>
        <w:numPr>
          <w:ilvl w:val="0"/>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the purposes of this Section 9.04(b), the terms “Approved Fund” and “Ineligible Institution” have the following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meanings:</w:t>
      </w:r>
    </w:p>
    <w:p>
      <w:pPr>
        <w:spacing w:after="0" w:line="23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a Defaulting Lender or its Lender Parent, (c) the Company, any of its Subsidiaries or any of its Affiliates, (d) a company, investment vehicle or trust for, or owned and operated for the primary benefit of, a natural person or relative(s) thereof or (e) a Disqualified Institution.</w:t>
      </w:r>
    </w:p>
    <w:p>
      <w:pPr>
        <w:spacing w:after="0" w:line="195" w:lineRule="exact"/>
        <w:rPr>
          <w:sz w:val="20"/>
          <w:szCs w:val="20"/>
          <w:color w:val="auto"/>
        </w:rPr>
      </w:pPr>
    </w:p>
    <w:p>
      <w:pPr>
        <w:jc w:val="both"/>
        <w:ind w:firstLine="1304"/>
        <w:spacing w:after="0" w:line="258" w:lineRule="auto"/>
        <w:tabs>
          <w:tab w:leader="none" w:pos="1817"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886"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20"/>
          <w:szCs w:val="20"/>
          <w:color w:val="auto"/>
        </w:rPr>
        <w:t>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219" w:lineRule="exact"/>
        <w:rPr>
          <w:sz w:val="20"/>
          <w:szCs w:val="20"/>
          <w:color w:val="auto"/>
        </w:rPr>
      </w:pPr>
    </w:p>
    <w:p>
      <w:pPr>
        <w:jc w:val="both"/>
        <w:ind w:firstLine="1304"/>
        <w:spacing w:after="0" w:line="251" w:lineRule="auto"/>
        <w:tabs>
          <w:tab w:leader="none" w:pos="1806" w:val="left"/>
        </w:tabs>
        <w:numPr>
          <w:ilvl w:val="0"/>
          <w:numId w:val="1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222" w:lineRule="exact"/>
        <w:rPr>
          <w:rFonts w:ascii="Times New Roman" w:cs="Times New Roman" w:eastAsia="Times New Roman" w:hAnsi="Times New Roman"/>
          <w:sz w:val="20"/>
          <w:szCs w:val="20"/>
          <w:color w:val="010000"/>
        </w:rPr>
      </w:pPr>
    </w:p>
    <w:p>
      <w:pPr>
        <w:jc w:val="both"/>
        <w:ind w:firstLine="1304"/>
        <w:spacing w:after="0" w:line="265" w:lineRule="auto"/>
        <w:tabs>
          <w:tab w:leader="none" w:pos="1724" w:val="left"/>
        </w:tabs>
        <w:numPr>
          <w:ilvl w:val="0"/>
          <w:numId w:val="1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either the assigning Lender or the assignee shall have failed to make any payment required to be made by it pursuant to Section 2.05(c),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7" w:lineRule="exact"/>
        <w:rPr>
          <w:sz w:val="20"/>
          <w:szCs w:val="20"/>
          <w:color w:val="auto"/>
        </w:rPr>
      </w:pPr>
    </w:p>
    <w:p>
      <w:pPr>
        <w:jc w:val="both"/>
        <w:ind w:firstLine="1304"/>
        <w:spacing w:after="0" w:line="249" w:lineRule="auto"/>
        <w:tabs>
          <w:tab w:leader="none" w:pos="1713" w:val="left"/>
        </w:tabs>
        <w:numPr>
          <w:ilvl w:val="0"/>
          <w:numId w:val="1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without the consent of, or notice to, any Borrower, the Administrative Agent, the Issuing Banks or the Swingline Lender,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886" w:right="339" w:bottom="1440" w:gutter="0" w:footer="0" w:header="0"/>
        </w:sectPr>
      </w:pPr>
    </w:p>
    <w:bookmarkStart w:id="137" w:name="page138"/>
    <w:bookmarkEnd w:id="137"/>
    <w:p>
      <w:pPr>
        <w:jc w:val="both"/>
        <w:spacing w:after="0" w:line="248" w:lineRule="auto"/>
        <w:rPr>
          <w:sz w:val="20"/>
          <w:szCs w:val="20"/>
          <w:color w:val="auto"/>
        </w:rPr>
      </w:pPr>
      <w:r>
        <w:rPr>
          <w:rFonts w:ascii="Times New Roman" w:cs="Times New Roman" w:eastAsia="Times New Roman" w:hAnsi="Times New Roman"/>
          <w:sz w:val="20"/>
          <w:szCs w:val="20"/>
          <w:color w:val="auto"/>
        </w:rPr>
        <w:t>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Notwithstanding anything in this Agreement to the contrary, any Participant that is a member of the Farm Credit System that (i) has purchased a participation from a selling Lender in the minimum amount of $10,000,000 on or after the Effective Date, (ii) is, by written notice to the Company and the Administrative Agent (“</w:t>
      </w:r>
      <w:r>
        <w:rPr>
          <w:rFonts w:ascii="Times New Roman" w:cs="Times New Roman" w:eastAsia="Times New Roman" w:hAnsi="Times New Roman"/>
          <w:sz w:val="20"/>
          <w:szCs w:val="20"/>
          <w:u w:val="single" w:color="auto"/>
          <w:color w:val="auto"/>
        </w:rPr>
        <w:t>Voting Participant Notification</w:t>
      </w:r>
      <w:r>
        <w:rPr>
          <w:rFonts w:ascii="Times New Roman" w:cs="Times New Roman" w:eastAsia="Times New Roman" w:hAnsi="Times New Roman"/>
          <w:sz w:val="20"/>
          <w:szCs w:val="20"/>
          <w:color w:val="auto"/>
        </w:rPr>
        <w:t>”), designated by such selling Lender as being entitled to be accorded the rights of a voting participant hereunder (any bank that is a member of the Farm Credit System so designated being called a “</w:t>
      </w:r>
      <w:r>
        <w:rPr>
          <w:rFonts w:ascii="Times New Roman" w:cs="Times New Roman" w:eastAsia="Times New Roman" w:hAnsi="Times New Roman"/>
          <w:sz w:val="20"/>
          <w:szCs w:val="20"/>
          <w:u w:val="single" w:color="auto"/>
          <w:color w:val="auto"/>
        </w:rPr>
        <w:t>Voting Participant</w:t>
      </w:r>
      <w:r>
        <w:rPr>
          <w:rFonts w:ascii="Times New Roman" w:cs="Times New Roman" w:eastAsia="Times New Roman" w:hAnsi="Times New Roman"/>
          <w:sz w:val="20"/>
          <w:szCs w:val="20"/>
          <w:color w:val="auto"/>
        </w:rPr>
        <w:t xml:space="preserve">”) and (iii) receives the prior written consent of the Company and the Administrative Agent to become a Voting Participant, shall be entitled to vote (and the voting rights of such selling Lender shall be correspondingly reduced), on a dollar for dollar basis, as if such participant were a Lender, on any matter requiring or allowing a Lender to provide or withhold its consent, or to otherwise vote on any proposed action. To be effective, each Voting Participant Notification shall, with respect to any Voting Participant, (i) state the full name, as well as all contact information required of assignee as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and (ii) state the dollar amount of the participation purchased. Furthermore, it is understood and agreed that each Voting Participant Notification shall be promptly updated by the applicable selling Lender in the event of any change to the amount of the participation of such Voting Participant, and such selling Lender shall provide prompt notice of each such change to the Company and the Administrative Agent. Notwithstanding the foregoing, each of the following members of the Farm Credit System shall be a Voting Participant without the prior written consent of the Company and the Administrative Agent (but, for the avoidance of doubt, the selling Lender is required to deliver a Voting Participant Notification to the Company and the Administrative Agent as a condition precedent to any such member of the Farm Credit System becoming a Voting Participant): AgChoice Farm Credit, ACA, (on behalf of itself and its wholly-owned subsidiaries, AgChoice Farm Credit, FLCA, and AgChoice Farm Credit, PCA), Capital Farm Credit, FLCA, Compeer Financial, FLCA, Farm Credit Bank of Texas, Farm Credit Mid-America, FLCA, Farm Credit of New Mexico, FLCA, AgCountry Farm Credit Services, FLCA and Farm Credit Services of America, FLCA. The Company and the Administrative Agent shall be entitled to conclusively rely on information contained in notices delivered pursuant to this paragraph.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36" w:lineRule="exact"/>
        <w:rPr>
          <w:sz w:val="20"/>
          <w:szCs w:val="20"/>
          <w:color w:val="auto"/>
        </w:rPr>
      </w:pPr>
    </w:p>
    <w:p>
      <w:pPr>
        <w:jc w:val="both"/>
        <w:ind w:firstLine="1304"/>
        <w:spacing w:after="0" w:line="258" w:lineRule="auto"/>
        <w:tabs>
          <w:tab w:leader="none" w:pos="1738" w:val="left"/>
        </w:tabs>
        <w:numPr>
          <w:ilvl w:val="0"/>
          <w:numId w:val="1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212"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1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886" w:right="339" w:bottom="1440" w:gutter="0" w:footer="0" w:header="0"/>
        </w:sectPr>
      </w:pPr>
    </w:p>
    <w:bookmarkStart w:id="138" w:name="page139"/>
    <w:bookmarkEnd w:id="138"/>
    <w:p>
      <w:pPr>
        <w:jc w:val="both"/>
        <w:ind w:firstLine="1304"/>
        <w:spacing w:after="0" w:line="250" w:lineRule="auto"/>
        <w:tabs>
          <w:tab w:leader="none" w:pos="1681" w:val="left"/>
        </w:tabs>
        <w:numPr>
          <w:ilvl w:val="0"/>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assignment or participation shall be made to any Person that was a Disqualified Institution as of the date (the “</w:t>
      </w:r>
      <w:r>
        <w:rPr>
          <w:rFonts w:ascii="Times New Roman" w:cs="Times New Roman" w:eastAsia="Times New Roman" w:hAnsi="Times New Roman"/>
          <w:sz w:val="20"/>
          <w:szCs w:val="20"/>
          <w:u w:val="single" w:color="auto"/>
          <w:color w:val="auto"/>
        </w:rPr>
        <w:t>Trade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Institution. Any assignment or participation in violation of this clause (e)(i) shall not be void, but the other provisions of this clause (e) shall apply.</w:t>
      </w:r>
    </w:p>
    <w:p>
      <w:pPr>
        <w:spacing w:after="0" w:line="223"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62" w:val="left"/>
        </w:tabs>
        <w:numPr>
          <w:ilvl w:val="0"/>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assignment or participation is made to any Disqualified Institution without the Company’s prior written consent in violation of clause (i) above, or if any Person becomes a Disqualified Institution after the applicable Trade Date, the Company may, at its sole expense and effort, upon notice to the applicable Disqualified Institution and the Administrative Agent, require such Disqualified Institution to assign, without recourse (in accordance with and subject to the restrictions contained in this Section 9.04), all of its interest, rights and obligations under this Agreement to one or more Persons (other than an Ineligible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206"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993" w:val="left"/>
        </w:tabs>
        <w:numPr>
          <w:ilvl w:val="0"/>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contained in this Agreement, Disqualified Institutions to whom an assignment or participation is made in violation of clause (i) above (A) will not have the right to (x)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spacing w:after="0" w:line="227"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887" w:val="left"/>
        </w:tabs>
        <w:numPr>
          <w:ilvl w:val="0"/>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the right, and the Company hereby expressly authorizes the Administrative Agent, to (A) post the list of Disqualified Institutions provided by the Company and any updates thereto from time to time (collectively, the “</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on an Approved Electronic Platform, including that portion of such Approved Electronic Platform that is designated for “public side” Lenders and/or (B) provide the DQ List to each Lender or potential Lender requesting the same.</w:t>
      </w:r>
    </w:p>
    <w:p>
      <w:pPr>
        <w:spacing w:after="0" w:line="199"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51" w:val="left"/>
        </w:tabs>
        <w:numPr>
          <w:ilvl w:val="0"/>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886" w:right="339" w:bottom="1440" w:gutter="0" w:footer="0" w:header="0"/>
        </w:sectPr>
      </w:pPr>
    </w:p>
    <w:bookmarkStart w:id="139" w:name="page140"/>
    <w:bookmarkEnd w:id="139"/>
    <w:p>
      <w:pPr>
        <w:jc w:val="both"/>
        <w:spacing w:after="0" w:line="261" w:lineRule="auto"/>
        <w:rPr>
          <w:sz w:val="20"/>
          <w:szCs w:val="20"/>
          <w:color w:val="auto"/>
        </w:rPr>
      </w:pPr>
      <w:r>
        <w:rPr>
          <w:rFonts w:ascii="Times New Roman" w:cs="Times New Roman" w:eastAsia="Times New Roman" w:hAnsi="Times New Roman"/>
          <w:sz w:val="20"/>
          <w:szCs w:val="20"/>
          <w:color w:val="auto"/>
        </w:rPr>
        <w:t>not (x) be obligated to ascertain, monitor or inquire as to whether any other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spacing w:after="0" w:line="20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010000"/>
        </w:rPr>
        <w:t xml:space="preserve">SECTION 9.05. </w:t>
      </w:r>
      <w:r>
        <w:rPr>
          <w:rFonts w:ascii="Times New Roman" w:cs="Times New Roman" w:eastAsia="Times New Roman" w:hAnsi="Times New Roman"/>
          <w:sz w:val="19"/>
          <w:szCs w:val="19"/>
          <w:u w:val="single" w:color="auto"/>
          <w:color w:val="000000"/>
        </w:rPr>
        <w:t>Survival</w:t>
      </w:r>
      <w:r>
        <w:rPr>
          <w:rFonts w:ascii="Times New Roman" w:cs="Times New Roman" w:eastAsia="Times New Roman" w:hAnsi="Times New Roman"/>
          <w:sz w:val="19"/>
          <w:szCs w:val="19"/>
          <w:color w:val="000000"/>
        </w:rPr>
        <w:t>. All covenants, agreements, representations and warranties made by the Loan Parties in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w:t>
      </w:r>
      <w:r>
        <w:rPr>
          <w:rFonts w:ascii="Times New Roman" w:cs="Times New Roman" w:eastAsia="Times New Roman" w:hAnsi="Times New Roman"/>
          <w:sz w:val="19"/>
          <w:szCs w:val="19"/>
          <w:u w:val="single" w:color="auto"/>
          <w:color w:val="000000"/>
        </w:rPr>
        <w:t>Article VIII</w:t>
      </w:r>
      <w:r>
        <w:rPr>
          <w:rFonts w:ascii="Times New Roman" w:cs="Times New Roman" w:eastAsia="Times New Roman" w:hAnsi="Times New Roman"/>
          <w:sz w:val="19"/>
          <w:szCs w:val="19"/>
          <w:color w:val="00000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010000"/>
        </w:rPr>
        <w:t xml:space="preserve">SECTION 9.06. </w:t>
      </w:r>
      <w:r>
        <w:rPr>
          <w:rFonts w:ascii="Times New Roman" w:cs="Times New Roman" w:eastAsia="Times New Roman" w:hAnsi="Times New Roman"/>
          <w:sz w:val="19"/>
          <w:szCs w:val="19"/>
          <w:u w:val="single" w:color="auto"/>
          <w:color w:val="000000"/>
        </w:rPr>
        <w:t>Counterparts; Integration; Effectiveness; Electronic Execution</w:t>
      </w:r>
      <w:r>
        <w:rPr>
          <w:rFonts w:ascii="Times New Roman" w:cs="Times New Roman" w:eastAsia="Times New Roman" w:hAnsi="Times New Roman"/>
          <w:sz w:val="19"/>
          <w:szCs w:val="19"/>
          <w:color w:val="000000"/>
        </w:rPr>
        <w:t>. This Agreement may be executed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9"/>
          <w:szCs w:val="19"/>
          <w:u w:val="single" w:color="auto"/>
          <w:color w:val="000000"/>
        </w:rPr>
        <w:t>Ancillary Document</w:t>
      </w:r>
      <w:r>
        <w:rPr>
          <w:rFonts w:ascii="Times New Roman" w:cs="Times New Roman" w:eastAsia="Times New Roman" w:hAnsi="Times New Roman"/>
          <w:sz w:val="19"/>
          <w:szCs w:val="19"/>
          <w:color w:val="000000"/>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886" w:right="339" w:bottom="1440" w:gutter="0" w:footer="0" w:header="0"/>
        </w:sectPr>
      </w:pPr>
    </w:p>
    <w:bookmarkStart w:id="140" w:name="page141"/>
    <w:bookmarkEnd w:id="140"/>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and each other Loan Party hereby (i) agrees that, for all purposes, including without limitation, in connection with any workout, restructuring, enforcement of remedies, bankruptcy proceedings or litigation among the Administrative Agent, the Lenders, the Company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other Loan Party to use any available security measures in connection with the execution, delivery or transmission of any Electronic Signature.</w:t>
      </w:r>
    </w:p>
    <w:p>
      <w:pPr>
        <w:spacing w:after="0" w:line="23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010000"/>
        </w:rPr>
        <w:t xml:space="preserve">SECTION 9.07. </w:t>
      </w:r>
      <w:r>
        <w:rPr>
          <w:rFonts w:ascii="Times New Roman" w:cs="Times New Roman" w:eastAsia="Times New Roman" w:hAnsi="Times New Roman"/>
          <w:sz w:val="20"/>
          <w:szCs w:val="20"/>
          <w:u w:val="single" w:color="auto"/>
          <w:color w:val="000000"/>
        </w:rPr>
        <w:t>Severability</w:t>
      </w:r>
      <w:r>
        <w:rPr>
          <w:rFonts w:ascii="Times New Roman" w:cs="Times New Roman" w:eastAsia="Times New Roman" w:hAnsi="Times New Roman"/>
          <w:sz w:val="20"/>
          <w:szCs w:val="20"/>
          <w:color w:val="000000"/>
        </w:rPr>
        <w:t>. Any provision of any Loan Document held to be invalid, illegal or unenforceable in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1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9.08. </w:t>
      </w:r>
      <w:r>
        <w:rPr>
          <w:rFonts w:ascii="Times New Roman" w:cs="Times New Roman" w:eastAsia="Times New Roman" w:hAnsi="Times New Roman"/>
          <w:sz w:val="20"/>
          <w:szCs w:val="20"/>
          <w:u w:val="single" w:color="auto"/>
          <w:color w:val="000000"/>
        </w:rPr>
        <w:t>Right of Setoff</w:t>
      </w:r>
      <w:r>
        <w:rPr>
          <w:rFonts w:ascii="Times New Roman" w:cs="Times New Roman" w:eastAsia="Times New Roman" w:hAnsi="Times New Roman"/>
          <w:sz w:val="20"/>
          <w:szCs w:val="20"/>
          <w:color w:val="000000"/>
        </w:rPr>
        <w:t>. If an Event of Default shall have occurred and be continuing, each Lender, each Issuing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such Issuing Bank or any such Affiliate, to or for the credit or the account of any Borrower or any Subsidiary Guarantor against any of and all of the obligations of the Borrowers or the Subsidiary Guarantors now or hereafter existing under this Agreement or any other Loan Document to such Lender or such Issuing Bank or their respective Affiliates, irrespective of whether or not such Lender, such Issuing Bank or such Affiliate shall have made any demand under this Agreement or any other Loan Document and although such obligations of the Borrowers or the Subsidiary Guarantors may be contingent or unmatured or are owed to a branch office or Affiliate of such Lender or such Issuing Bank different from the branch office or Affiliate holding such deposit or obligated on such indebtedness;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in the event that any Defaulting Lender shall exercise any such right of setoff, (x) all amounts so set 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each Issuing Bank agrees to notify the Company and the Administrative Agent promptly after any such setoff and application;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failure to give such notice shall not affect the validity of such setoff and application.</w:t>
      </w: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9.09. </w:t>
      </w:r>
      <w:r>
        <w:rPr>
          <w:rFonts w:ascii="Times New Roman" w:cs="Times New Roman" w:eastAsia="Times New Roman" w:hAnsi="Times New Roman"/>
          <w:sz w:val="20"/>
          <w:szCs w:val="20"/>
          <w:u w:val="single" w:color="auto"/>
          <w:color w:val="000000"/>
        </w:rPr>
        <w:t>Governing Law; Jurisdiction; Consent to Service of Process</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886" w:right="339" w:bottom="1440" w:gutter="0" w:footer="0" w:header="0"/>
        </w:sectPr>
      </w:pPr>
    </w:p>
    <w:bookmarkStart w:id="141" w:name="page142"/>
    <w:bookmarkEnd w:id="141"/>
    <w:p>
      <w:pPr>
        <w:ind w:right="20" w:firstLine="1304"/>
        <w:spacing w:after="0" w:line="283" w:lineRule="auto"/>
        <w:tabs>
          <w:tab w:leader="none" w:pos="1754"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173"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38"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or any of its Related Parties relating to this Agreement, any other Loan Document or the consummation or administration of the transactions contemplated hereby or thereby shall be construed in accordance with and governed by the law of the State of New York.</w:t>
      </w:r>
    </w:p>
    <w:p>
      <w:pPr>
        <w:spacing w:after="0" w:line="212" w:lineRule="exact"/>
        <w:rPr>
          <w:rFonts w:ascii="Times New Roman" w:cs="Times New Roman" w:eastAsia="Times New Roman" w:hAnsi="Times New Roman"/>
          <w:sz w:val="20"/>
          <w:szCs w:val="20"/>
          <w:color w:val="010000"/>
        </w:rPr>
      </w:pPr>
    </w:p>
    <w:p>
      <w:pPr>
        <w:jc w:val="both"/>
        <w:ind w:firstLine="1304"/>
        <w:spacing w:after="0" w:line="249" w:lineRule="auto"/>
        <w:tabs>
          <w:tab w:leader="none" w:pos="1740"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223"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24"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218" w:lineRule="exact"/>
        <w:rPr>
          <w:rFonts w:ascii="Times New Roman" w:cs="Times New Roman" w:eastAsia="Times New Roman" w:hAnsi="Times New Roman"/>
          <w:sz w:val="20"/>
          <w:szCs w:val="20"/>
          <w:color w:val="010000"/>
        </w:rPr>
      </w:pPr>
    </w:p>
    <w:p>
      <w:pPr>
        <w:jc w:val="both"/>
        <w:ind w:firstLine="1304"/>
        <w:spacing w:after="0" w:line="250" w:lineRule="auto"/>
        <w:tabs>
          <w:tab w:leader="none" w:pos="1740"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Section 9.01. Each Subsidiary Borrower irrevocably designates and appoints the Company, as its authorized agent, to accept and acknowledge on its behalf, service of any and all process which may be served in any suit, action or proceeding of the nature referred to in Section 9.09(c) in any federal or New York State court sitting in New York City. The Company hereby represents, warrants and confirms that the Company has agreed to accept such appointment. Said designation and appointment shall be irrevocable by each such Subsidiary Borrower until all Loans, all reimbursement obligations, interest thereon and all other amounts payable by such Subsidiary Borrower hereunder and under the other Loan Documents shall have been paid in full in accordance with the provisions hereof and thereof and such Subsidiary Borrower shall have been terminated as a Borrower hereunder pursuant to Section 2.23. Each Subsidiary Borrower hereby consents to process being served in any suit, action or proceeding of the nature referred to in Section 9.09(c) in any federal or New York State court sitting in New York City by service of process upon the Company as provided in this Section 9.09(e);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lawful and possible, notice of said service upon such agent shall be mailed by registered or certified air mail, postage prepaid, return receipt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886" w:right="339" w:bottom="1440" w:gutter="0" w:footer="0" w:header="0"/>
        </w:sectPr>
      </w:pPr>
    </w:p>
    <w:bookmarkStart w:id="142" w:name="page143"/>
    <w:bookmarkEnd w:id="142"/>
    <w:p>
      <w:pPr>
        <w:jc w:val="both"/>
        <w:spacing w:after="0" w:line="250" w:lineRule="auto"/>
        <w:rPr>
          <w:sz w:val="20"/>
          <w:szCs w:val="20"/>
          <w:color w:val="auto"/>
        </w:rPr>
      </w:pPr>
      <w:r>
        <w:rPr>
          <w:rFonts w:ascii="Times New Roman" w:cs="Times New Roman" w:eastAsia="Times New Roman" w:hAnsi="Times New Roman"/>
          <w:sz w:val="20"/>
          <w:szCs w:val="20"/>
          <w:color w:val="auto"/>
        </w:rPr>
        <w:t>requested, to the Company and (if applicable to) such Subsidiary Borrower at its address set forth in the Subsidiary Borrower Agreement to which it is a party or to any other address of which such Subsidiary Borrower shall have given written notice to the Administrative Agent (with a copy thereof to the Company). Each Subsidiary Borrower irrevocably waives, to the fullest extent permitted by law, all claim of error by reason of any such service in such manner and agrees that such service shall be deemed in every respect effective service of process upon such Subsidiary Borrower in any such suit, action or proceeding and shall, to the fullest extent permitted by law, be taken and held to be valid and personal service upon and personal delivery to such Subsidiary Borrower. To the extent any Subsidiary Borrower has or hereafter may acquire any immunity from jurisdiction of any court or from any legal process (whether from service or notice, attachment prior to judgment, attachment in aid of execution of a judgment, execution or otherwise), each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22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9.10. </w:t>
      </w:r>
      <w:r>
        <w:rPr>
          <w:rFonts w:ascii="Times New Roman" w:cs="Times New Roman" w:eastAsia="Times New Roman" w:hAnsi="Times New Roman"/>
          <w:sz w:val="20"/>
          <w:szCs w:val="20"/>
          <w:u w:val="single" w:color="auto"/>
          <w:color w:val="000000"/>
        </w:rPr>
        <w:t>WAIVER OF JURY TRIAL</w:t>
      </w:r>
      <w:r>
        <w:rPr>
          <w:rFonts w:ascii="Times New Roman" w:cs="Times New Roman" w:eastAsia="Times New Roman" w:hAnsi="Times New Roman"/>
          <w:sz w:val="20"/>
          <w:szCs w:val="20"/>
          <w:color w:val="000000"/>
        </w:rPr>
        <w:t>. EACH PARTY HERETO HEREBY WAIVES, TO THE FULLEST EXTENT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9.11.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Article and Section headings and the Table of Contents used herein are for convenience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reference only, are not part of this Agreement and shall not affect the construction of, or be taken into consideration in interpreting, this Agreement.</w:t>
      </w:r>
    </w:p>
    <w:p>
      <w:pPr>
        <w:spacing w:after="0" w:line="20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010000"/>
        </w:rPr>
        <w:t xml:space="preserve">SECTION 9.12. </w:t>
      </w:r>
      <w:r>
        <w:rPr>
          <w:rFonts w:ascii="Times New Roman" w:cs="Times New Roman" w:eastAsia="Times New Roman" w:hAnsi="Times New Roman"/>
          <w:sz w:val="19"/>
          <w:szCs w:val="19"/>
          <w:u w:val="single" w:color="auto"/>
          <w:color w:val="000000"/>
        </w:rPr>
        <w:t>Confidentiality</w:t>
      </w:r>
      <w:r>
        <w:rPr>
          <w:rFonts w:ascii="Times New Roman" w:cs="Times New Roman" w:eastAsia="Times New Roman" w:hAnsi="Times New Roman"/>
          <w:sz w:val="19"/>
          <w:szCs w:val="19"/>
          <w:color w:val="000000"/>
        </w:rPr>
        <w:t>. Each of the Administrative Agent, the Issuing Banks and the Lenders agrees to maintain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clause (f) so long as such Person is not listed on such DQ List) or (2) any actual or prospective counterparty (or its advisors) to any swap, derivative or insurance transaction relating to any Borrower and its obligations, (g)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consent of the Company or (i) to the extent such Information (1) becomes publicly available other than as a result of a breach of this Section or (2) becomes available to the Administrative Agent, any Issuing Bank or any Lender on a nonconfidential basis from a source other than the Company. For the purposes of this Section, “</w:t>
      </w:r>
      <w:r>
        <w:rPr>
          <w:rFonts w:ascii="Times New Roman" w:cs="Times New Roman" w:eastAsia="Times New Roman" w:hAnsi="Times New Roman"/>
          <w:sz w:val="19"/>
          <w:szCs w:val="19"/>
          <w:u w:val="single" w:color="auto"/>
          <w:color w:val="000000"/>
        </w:rPr>
        <w:t>Information</w:t>
      </w:r>
      <w:r>
        <w:rPr>
          <w:rFonts w:ascii="Times New Roman" w:cs="Times New Roman" w:eastAsia="Times New Roman" w:hAnsi="Times New Roman"/>
          <w:sz w:val="19"/>
          <w:szCs w:val="19"/>
          <w:color w:val="000000"/>
        </w:rPr>
        <w:t>” means all information received from the Company relating to the Company or its business, other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886" w:right="339" w:bottom="1440" w:gutter="0" w:footer="0" w:header="0"/>
        </w:sectPr>
      </w:pPr>
    </w:p>
    <w:bookmarkStart w:id="143" w:name="page144"/>
    <w:bookmarkEnd w:id="143"/>
    <w:p>
      <w:pPr>
        <w:jc w:val="both"/>
        <w:spacing w:after="0" w:line="253" w:lineRule="auto"/>
        <w:rPr>
          <w:sz w:val="20"/>
          <w:szCs w:val="20"/>
          <w:color w:val="auto"/>
        </w:rPr>
      </w:pPr>
      <w:r>
        <w:rPr>
          <w:rFonts w:ascii="Times New Roman" w:cs="Times New Roman" w:eastAsia="Times New Roman" w:hAnsi="Times New Roman"/>
          <w:sz w:val="20"/>
          <w:szCs w:val="20"/>
          <w:color w:val="auto"/>
        </w:rPr>
        <w:t>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For the avoidance of doubt, nothing in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to the extent that any such prohibition on disclosure set forth in this Section 9.12 shall be prohibited by the laws or regulations applicable to such Regulatory Authority.</w:t>
      </w:r>
    </w:p>
    <w:p>
      <w:pPr>
        <w:spacing w:after="0" w:line="19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9.13. </w:t>
      </w:r>
      <w:r>
        <w:rPr>
          <w:rFonts w:ascii="Times New Roman" w:cs="Times New Roman" w:eastAsia="Times New Roman" w:hAnsi="Times New Roman"/>
          <w:sz w:val="20"/>
          <w:szCs w:val="20"/>
          <w:u w:val="single" w:color="auto"/>
          <w:color w:val="000000"/>
        </w:rPr>
        <w:t>USA PATRIOT Act; Canadian AML</w:t>
      </w:r>
      <w:r>
        <w:rPr>
          <w:rFonts w:ascii="Times New Roman" w:cs="Times New Roman" w:eastAsia="Times New Roman" w:hAnsi="Times New Roman"/>
          <w:sz w:val="20"/>
          <w:szCs w:val="20"/>
          <w:color w:val="000000"/>
        </w:rPr>
        <w:t>. Each Lender that is subject to the requirements of the Patriot Act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the requirements of the Beneficial Ownership Regulation hereby notifies each Loan Party that pursuant to the requirements of the Patriot Act and the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Patriot Act and the Beneficial Ownership Regulation. Each Borrower acknowledges that, pursuant to the </w:t>
      </w:r>
      <w:r>
        <w:rPr>
          <w:rFonts w:ascii="Times New Roman" w:cs="Times New Roman" w:eastAsia="Times New Roman" w:hAnsi="Times New Roman"/>
          <w:sz w:val="20"/>
          <w:szCs w:val="20"/>
          <w:i w:val="1"/>
          <w:iCs w:val="1"/>
          <w:color w:val="000000"/>
        </w:rPr>
        <w:t>Proceeds of</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 xml:space="preserve">Crime (Money Laundering) and Terrorist Financing Act </w:t>
      </w:r>
      <w:r>
        <w:rPr>
          <w:rFonts w:ascii="Times New Roman" w:cs="Times New Roman" w:eastAsia="Times New Roman" w:hAnsi="Times New Roman"/>
          <w:sz w:val="20"/>
          <w:szCs w:val="20"/>
          <w:color w:val="000000"/>
        </w:rPr>
        <w:t>(Canada) and other applicable Canadian anti-money laundering, anti-terrorist</w:t>
      </w:r>
      <w:r>
        <w:rPr>
          <w:rFonts w:ascii="Times New Roman" w:cs="Times New Roman" w:eastAsia="Times New Roman" w:hAnsi="Times New Roman"/>
          <w:sz w:val="20"/>
          <w:szCs w:val="20"/>
          <w:i w:val="1"/>
          <w:iCs w:val="1"/>
          <w:color w:val="000000"/>
        </w:rPr>
        <w:t xml:space="preserve"> </w:t>
      </w:r>
      <w:r>
        <w:rPr>
          <w:rFonts w:ascii="Times New Roman" w:cs="Times New Roman" w:eastAsia="Times New Roman" w:hAnsi="Times New Roman"/>
          <w:sz w:val="20"/>
          <w:szCs w:val="20"/>
          <w:color w:val="000000"/>
        </w:rPr>
        <w:t>financing, government sanction and “know your client” laws, the Lenders and the Administrative Agent may be required to obtain, verify and record information regarding such Borrower, its directors, authorized signing officers, direct or indirect shareholders or other Persons in Control of such Borrower, and the transactions contemplated hereby.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 xml:space="preserve">SECTION 9.14. </w:t>
      </w:r>
      <w:r>
        <w:rPr>
          <w:rFonts w:ascii="Times New Roman" w:cs="Times New Roman" w:eastAsia="Times New Roman" w:hAnsi="Times New Roman"/>
          <w:sz w:val="20"/>
          <w:szCs w:val="20"/>
          <w:u w:val="single" w:color="auto"/>
          <w:color w:val="000000"/>
        </w:rPr>
        <w:t>Releases of Subsidiary Guarantors</w:t>
      </w:r>
      <w:r>
        <w:rPr>
          <w:rFonts w:ascii="Times New Roman" w:cs="Times New Roman" w:eastAsia="Times New Roman" w:hAnsi="Times New Roman"/>
          <w:sz w:val="20"/>
          <w:szCs w:val="20"/>
          <w:color w:val="000000"/>
        </w:rPr>
        <w:t>.</w:t>
      </w:r>
    </w:p>
    <w:p>
      <w:pPr>
        <w:spacing w:after="0" w:line="243" w:lineRule="exact"/>
        <w:rPr>
          <w:sz w:val="20"/>
          <w:szCs w:val="20"/>
          <w:color w:val="auto"/>
        </w:rPr>
      </w:pPr>
    </w:p>
    <w:p>
      <w:pPr>
        <w:jc w:val="both"/>
        <w:ind w:firstLine="1304"/>
        <w:spacing w:after="0" w:line="258" w:lineRule="auto"/>
        <w:tabs>
          <w:tab w:leader="none" w:pos="1862"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Subsidiary Guarantor shall automatically be released from its obligations under the Guarantee and Collateral Agreement upon the consummation of any transaction permitted by this Agreement as a result of which such Subsidiary Guarantor ceases to be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886" w:right="339" w:bottom="1440" w:gutter="0" w:footer="0" w:header="0"/>
        </w:sectPr>
      </w:pPr>
    </w:p>
    <w:bookmarkStart w:id="144" w:name="page145"/>
    <w:bookmarkEnd w:id="144"/>
    <w:p>
      <w:pPr>
        <w:jc w:val="both"/>
        <w:spacing w:after="0" w:line="261" w:lineRule="auto"/>
        <w:rPr>
          <w:sz w:val="20"/>
          <w:szCs w:val="20"/>
          <w:color w:val="auto"/>
        </w:rPr>
      </w:pPr>
      <w:r>
        <w:rPr>
          <w:rFonts w:ascii="Times New Roman" w:cs="Times New Roman" w:eastAsia="Times New Roman" w:hAnsi="Times New Roman"/>
          <w:sz w:val="20"/>
          <w:szCs w:val="20"/>
          <w:color w:val="auto"/>
        </w:rPr>
        <w:t>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208" w:lineRule="exact"/>
        <w:rPr>
          <w:sz w:val="20"/>
          <w:szCs w:val="20"/>
          <w:color w:val="auto"/>
        </w:rPr>
      </w:pPr>
    </w:p>
    <w:p>
      <w:pPr>
        <w:jc w:val="both"/>
        <w:ind w:firstLine="1304"/>
        <w:spacing w:after="0" w:line="261" w:lineRule="auto"/>
        <w:tabs>
          <w:tab w:leader="none" w:pos="1765"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Further, the Administrative Agent may (and is hereby irrevocably authorized by each Lender to), upon the request of the Company, release any Subsidiary Guarantor from its obligations under the Guarantee and Collateral Agreement if such Subsidiary Guarantor is no longer a Required Subsidiary.</w:t>
      </w:r>
    </w:p>
    <w:p>
      <w:pPr>
        <w:spacing w:after="0" w:line="208"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67"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such time as the principal and interest on the Loans, all LC Disbursements, the fees, expenses and other amounts payable under the Loan Documents and the other Obligations (other than Obligations under Lender Cash Management Agreements not yet due and payable, Obligations under Lender Hedging Agreements not yet due and payable, Obligations under Lender Qualified Bilateral Letters of Credit not due and payable, Obligations under Lender Supply Chain Financing Agreements not yet due and payable, Unliquidated Obligations for which no claim has been made and other Obligations expressly stated to survive such payment and termination) shall have been paid in full in cash, the Commitments shall have been terminated and no Letters of Credit shall be outstanding, the Guarantee and Collateral Agreement and all obligations (other than those expressly stated to survive such termination) of each Subsidiary Guarantor thereunder shall automatically terminate, all without delivery of any instrument or performance of any act by any Person.</w:t>
      </w:r>
    </w:p>
    <w:p>
      <w:pPr>
        <w:spacing w:after="0" w:line="20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9.15. </w:t>
      </w:r>
      <w:r>
        <w:rPr>
          <w:rFonts w:ascii="Times New Roman" w:cs="Times New Roman" w:eastAsia="Times New Roman" w:hAnsi="Times New Roman"/>
          <w:sz w:val="20"/>
          <w:szCs w:val="20"/>
          <w:u w:val="single" w:color="auto"/>
          <w:color w:val="000000"/>
        </w:rPr>
        <w:t>Appointment for Perfection</w:t>
      </w:r>
      <w:r>
        <w:rPr>
          <w:rFonts w:ascii="Times New Roman" w:cs="Times New Roman" w:eastAsia="Times New Roman" w:hAnsi="Times New Roman"/>
          <w:sz w:val="20"/>
          <w:szCs w:val="20"/>
          <w:color w:val="000000"/>
        </w:rPr>
        <w:t>. Each Lender hereby appoints each other Lender as its agent for the purpose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21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9.16. </w:t>
      </w:r>
      <w:r>
        <w:rPr>
          <w:rFonts w:ascii="Times New Roman" w:cs="Times New Roman" w:eastAsia="Times New Roman" w:hAnsi="Times New Roman"/>
          <w:sz w:val="20"/>
          <w:szCs w:val="20"/>
          <w:u w:val="single" w:color="auto"/>
          <w:color w:val="000000"/>
        </w:rPr>
        <w:t>Interest Rate Limitation</w:t>
      </w:r>
      <w:r>
        <w:rPr>
          <w:rFonts w:ascii="Times New Roman" w:cs="Times New Roman" w:eastAsia="Times New Roman" w:hAnsi="Times New Roman"/>
          <w:sz w:val="20"/>
          <w:szCs w:val="20"/>
          <w:color w:val="000000"/>
        </w:rPr>
        <w:t>. Notwithstanding anything herein to the contrary, if at any time the interest rate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000000"/>
        </w:rPr>
        <w:t>Charges</w:t>
      </w:r>
      <w:r>
        <w:rPr>
          <w:rFonts w:ascii="Times New Roman" w:cs="Times New Roman" w:eastAsia="Times New Roman" w:hAnsi="Times New Roman"/>
          <w:sz w:val="20"/>
          <w:szCs w:val="20"/>
          <w:color w:val="000000"/>
        </w:rPr>
        <w:t>”), shall exceed the maximum lawful rate (the “</w:t>
      </w:r>
      <w:r>
        <w:rPr>
          <w:rFonts w:ascii="Times New Roman" w:cs="Times New Roman" w:eastAsia="Times New Roman" w:hAnsi="Times New Roman"/>
          <w:sz w:val="20"/>
          <w:szCs w:val="20"/>
          <w:u w:val="single" w:color="auto"/>
          <w:color w:val="000000"/>
        </w:rPr>
        <w:t>Maximum Rate</w:t>
      </w:r>
      <w:r>
        <w:rPr>
          <w:rFonts w:ascii="Times New Roman" w:cs="Times New Roman" w:eastAsia="Times New Roman" w:hAnsi="Times New Roman"/>
          <w:sz w:val="20"/>
          <w:szCs w:val="20"/>
          <w:color w:val="00000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9.17. </w:t>
      </w:r>
      <w:r>
        <w:rPr>
          <w:rFonts w:ascii="Times New Roman" w:cs="Times New Roman" w:eastAsia="Times New Roman" w:hAnsi="Times New Roman"/>
          <w:sz w:val="20"/>
          <w:szCs w:val="20"/>
          <w:u w:val="single" w:color="auto"/>
          <w:color w:val="000000"/>
        </w:rPr>
        <w:t>No Advisory or Fiduciary Responsibility</w:t>
      </w:r>
      <w:r>
        <w:rPr>
          <w:rFonts w:ascii="Times New Roman" w:cs="Times New Roman" w:eastAsia="Times New Roman" w:hAnsi="Times New Roman"/>
          <w:sz w:val="20"/>
          <w:szCs w:val="20"/>
          <w:color w:val="000000"/>
        </w:rPr>
        <w:t>. Each Borrower acknowledges and agrees, and acknowledges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 contemplated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88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color w:val="auto"/>
        </w:rPr>
        <w:t>contemplated hereby, and the Credit Parties shall have no responsibility or liability to any Borrower with respect thereto.</w:t>
      </w:r>
    </w:p>
    <w:p>
      <w:pPr>
        <w:spacing w:after="0" w:line="25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confidential information obtained from other companies.</w:t>
      </w:r>
    </w:p>
    <w:p>
      <w:pPr>
        <w:spacing w:after="0" w:line="22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9.18. </w:t>
      </w:r>
      <w:r>
        <w:rPr>
          <w:rFonts w:ascii="Times New Roman" w:cs="Times New Roman" w:eastAsia="Times New Roman" w:hAnsi="Times New Roman"/>
          <w:sz w:val="20"/>
          <w:szCs w:val="20"/>
          <w:u w:val="single" w:color="auto"/>
          <w:color w:val="000000"/>
        </w:rPr>
        <w:t>Acknowledgement and Consent to Bail-In of Affected Financial Institutions</w:t>
      </w:r>
      <w:r>
        <w:rPr>
          <w:rFonts w:ascii="Times New Roman" w:cs="Times New Roman" w:eastAsia="Times New Roman" w:hAnsi="Times New Roman"/>
          <w:sz w:val="20"/>
          <w:szCs w:val="20"/>
          <w:color w:val="000000"/>
        </w:rPr>
        <w:t>. Notwithstanding anything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19" w:lineRule="exact"/>
        <w:rPr>
          <w:sz w:val="20"/>
          <w:szCs w:val="20"/>
          <w:color w:val="auto"/>
        </w:rPr>
      </w:pPr>
    </w:p>
    <w:p>
      <w:pPr>
        <w:ind w:firstLine="1304"/>
        <w:spacing w:after="0" w:line="269" w:lineRule="auto"/>
        <w:tabs>
          <w:tab w:leader="none" w:pos="1862"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9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42" w:lineRule="exact"/>
        <w:rPr>
          <w:rFonts w:ascii="Times New Roman" w:cs="Times New Roman" w:eastAsia="Times New Roman" w:hAnsi="Times New Roman"/>
          <w:sz w:val="20"/>
          <w:szCs w:val="20"/>
          <w:color w:val="010000"/>
        </w:rPr>
      </w:pPr>
    </w:p>
    <w:p>
      <w:pPr>
        <w:ind w:left="2340" w:hanging="388"/>
        <w:spacing w:after="0"/>
        <w:tabs>
          <w:tab w:leader="none" w:pos="2340" w:val="left"/>
        </w:tabs>
        <w:numPr>
          <w:ilvl w:val="1"/>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256" w:lineRule="exact"/>
        <w:rPr>
          <w:rFonts w:ascii="Times New Roman" w:cs="Times New Roman" w:eastAsia="Times New Roman" w:hAnsi="Times New Roman"/>
          <w:sz w:val="20"/>
          <w:szCs w:val="20"/>
          <w:color w:val="010000"/>
        </w:rPr>
      </w:pPr>
    </w:p>
    <w:p>
      <w:pPr>
        <w:jc w:val="both"/>
        <w:ind w:firstLine="1952"/>
        <w:spacing w:after="0" w:line="258" w:lineRule="auto"/>
        <w:tabs>
          <w:tab w:leader="none" w:pos="2383" w:val="left"/>
        </w:tabs>
        <w:numPr>
          <w:ilvl w:val="1"/>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9" w:lineRule="exact"/>
        <w:rPr>
          <w:rFonts w:ascii="Times New Roman" w:cs="Times New Roman" w:eastAsia="Times New Roman" w:hAnsi="Times New Roman"/>
          <w:sz w:val="20"/>
          <w:szCs w:val="20"/>
          <w:color w:val="010000"/>
        </w:rPr>
      </w:pPr>
    </w:p>
    <w:p>
      <w:pPr>
        <w:ind w:firstLine="1952"/>
        <w:spacing w:after="0" w:line="283" w:lineRule="auto"/>
        <w:tabs>
          <w:tab w:leader="none" w:pos="2465" w:val="left"/>
        </w:tabs>
        <w:numPr>
          <w:ilvl w:val="1"/>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010000"/>
        </w:rPr>
        <w:t xml:space="preserve">SECTION 9.19. </w:t>
      </w:r>
      <w:r>
        <w:rPr>
          <w:rFonts w:ascii="Times New Roman" w:cs="Times New Roman" w:eastAsia="Times New Roman" w:hAnsi="Times New Roman"/>
          <w:sz w:val="20"/>
          <w:szCs w:val="20"/>
          <w:u w:val="single" w:color="auto"/>
          <w:color w:val="000000"/>
        </w:rPr>
        <w:t>Acknowledgement Regarding Any Supported QFCs</w:t>
      </w:r>
      <w:r>
        <w:rPr>
          <w:rFonts w:ascii="Times New Roman" w:cs="Times New Roman" w:eastAsia="Times New Roman" w:hAnsi="Times New Roman"/>
          <w:sz w:val="20"/>
          <w:szCs w:val="20"/>
          <w:color w:val="000000"/>
        </w:rPr>
        <w:t>. To the extent that the Loan Documents provide support,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through a guarantee or otherwise, for Hedging Agreements or any other agreement or instrument that is a QFC (such support “</w:t>
      </w:r>
      <w:r>
        <w:rPr>
          <w:rFonts w:ascii="Times New Roman" w:cs="Times New Roman" w:eastAsia="Times New Roman" w:hAnsi="Times New Roman"/>
          <w:sz w:val="20"/>
          <w:szCs w:val="20"/>
          <w:u w:val="single" w:color="auto"/>
          <w:color w:val="000000"/>
        </w:rPr>
        <w:t>QFC Credit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Support</w:t>
      </w:r>
      <w:r>
        <w:rPr>
          <w:rFonts w:ascii="Times New Roman" w:cs="Times New Roman" w:eastAsia="Times New Roman" w:hAnsi="Times New Roman"/>
          <w:sz w:val="20"/>
          <w:szCs w:val="20"/>
          <w:color w:val="000000"/>
        </w:rPr>
        <w:t>” and each such QFC a “</w:t>
      </w:r>
      <w:r>
        <w:rPr>
          <w:rFonts w:ascii="Times New Roman" w:cs="Times New Roman" w:eastAsia="Times New Roman" w:hAnsi="Times New Roman"/>
          <w:sz w:val="20"/>
          <w:szCs w:val="20"/>
          <w:u w:val="single" w:color="auto"/>
          <w:color w:val="000000"/>
        </w:rPr>
        <w:t>Supported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886" w:right="339" w:bottom="1440" w:gutter="0" w:footer="0" w:header="0"/>
        </w:sectPr>
      </w:pPr>
    </w:p>
    <w:bookmarkStart w:id="146" w:name="page147"/>
    <w:bookmarkEnd w:id="146"/>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X</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Collection Allocation Mechanism</w:t>
      </w:r>
    </w:p>
    <w:p>
      <w:pPr>
        <w:spacing w:after="0" w:line="243" w:lineRule="exact"/>
        <w:rPr>
          <w:sz w:val="20"/>
          <w:szCs w:val="20"/>
          <w:color w:val="auto"/>
        </w:rPr>
      </w:pPr>
    </w:p>
    <w:p>
      <w:pPr>
        <w:jc w:val="both"/>
        <w:ind w:firstLine="1304"/>
        <w:spacing w:after="0" w:line="249" w:lineRule="auto"/>
        <w:tabs>
          <w:tab w:leader="none" w:pos="1727"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On the CAM Exchange Date, (i) the Revolving Commitments shall automatically and without further act be terminated as provided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(ii) the principal amount of each Revolving Loan and LC Disbursement denominated in a Foreign Currency shall automatically and without any further action required, be converted into Dollars calculated as of the CAM Exchange Date, equal to the Dollar Amount of such amount and on and after such date all amounts accruing and owed to any Revolving Lender in respect of such Obligations shall accrue and be payable in Dollars at the rates otherwise applicable hereunder and (iii) the Revolving Lenders shall automatically and without further act be deemed to have made reciprocal purchases of interests in the Designated Obligations such that, in lieu of the interests of each Revolving Lender in the particular Designated Obligations that it shall own as of such date and immediately prior to the CAM Exchange, such Revolving Lender shall own an interest equal to such Lender’s CAM Percentage in each Designated Obligation. Each Revolving Lender, each Person acquiring a participation from any Revolving Lender as contemplated by Section 9.04, and the Borrowers hereby consent and agree to the CAM Exchange. The Borrowers and the Revolving Lenders agree from time to time to execute and deliver to the Administrative Agent all such promissory notes and other instruments and documents as the Administrative Agent shall reasonably request to evidence and confirm the respective interests and obligations of the Revolving Lenders after giving effect to the CAM Exchange, and each Revolving Lender agrees to surrender any promissory notes originally received by it hereunder to the Administrative Agent against delivery of any promissory notes so executed and delivered;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of the Borrowers to execute or deliver or of any Revolving Lender to accept any such promissory note, instrument or document shall not affect the validity or effectiveness of the CAM Exchange.</w:t>
      </w:r>
    </w:p>
    <w:p>
      <w:pPr>
        <w:spacing w:after="0" w:line="23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24"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a result of the CAM Exchange, on and after the CAM Exchange Date, each payment received by the Administrative Agent pursuant to any Loan Document in respect of the Designated Obligations shall be distributed to the Revolving Lenders pro rata in accordance with their respective CAM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88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color w:val="auto"/>
        </w:rPr>
        <w:t>Percentages (to be redetermined as of each such date of payment or distribution to the extent required by paragraph (c) below).</w:t>
      </w:r>
    </w:p>
    <w:p>
      <w:pPr>
        <w:spacing w:after="0" w:line="256" w:lineRule="exact"/>
        <w:rPr>
          <w:sz w:val="20"/>
          <w:szCs w:val="20"/>
          <w:color w:val="auto"/>
        </w:rPr>
      </w:pPr>
    </w:p>
    <w:p>
      <w:pPr>
        <w:jc w:val="both"/>
        <w:ind w:firstLine="1304"/>
        <w:spacing w:after="0" w:line="264" w:lineRule="auto"/>
        <w:tabs>
          <w:tab w:leader="none" w:pos="1713" w:val="left"/>
        </w:tabs>
        <w:numPr>
          <w:ilvl w:val="0"/>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that, after the CAM Exchange, the aggregate amount of the Designated Obligations shall change as a result of the making of an LC Disbursement by any Issuing Bank that is not reimbursed by the Borrowers, then (i) each Revolving Lender shall, in accordance with Section 2.06(d), promptly purchase from such Issuing Bank the Dollar equivalent of a participation in such LC Disbursement in the amount of such Lender’s Applicable Percentage of such LC Disbursement (without giving effect to the CAM Exchange), (ii) the Administrative Agent shall redetermine the CAM Percentages after giving effect to such LC Disbursement and the purchase of participations therein by the applicable Lenders, and the Revolving Lenders shall automatically and without further act be deemed to have made reciprocal purchases of interests in the Designated Obligations such that each Revolving Lender shall own an interest equal to such Lender’s CAM Percentage in each of the Designated Obligations and (iii) in the event distributions shall have been made in accordance with clause (i) of paragraph (b) above, the Revolving Lenders shall make such payments to one another in Dollars as shall be necessary in order that the amounts received by them shall be equal to the amounts they would have received had each LC Disbursement been outstanding immediately prior to the CAM Exchange. Each such redetermination shall be binding on each of the Revolving Lenders and their successors and assigns in respect of the Designated Obligations held by such Persons and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886" w:right="339" w:bottom="1440" w:gutter="0" w:footer="0" w:header="0"/>
        </w:sectPr>
      </w:pPr>
    </w:p>
    <w:bookmarkStart w:id="148" w:name="page149"/>
    <w:bookmarkEnd w:id="148"/>
    <w:p>
      <w:pPr>
        <w:jc w:val="both"/>
        <w:ind w:firstLine="1304"/>
        <w:spacing w:after="0" w:line="258" w:lineRule="auto"/>
        <w:tabs>
          <w:tab w:leader="none" w:pos="1778" w:val="left"/>
        </w:tabs>
        <w:numPr>
          <w:ilvl w:val="0"/>
          <w:numId w:val="1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Nothing in this Article shall prohibit the assignment by any Revolving Lender of interests in some but not all of the Designated Obligations held by it after giving effect to the CAM Exchange;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connection with any such assignment such Lender and its assignee shall enter into an agreement setting forth their reciprocal rights and obligations in the event of a redetermination of the CAM Percentages as provided in the immediately preceding paragraph (c).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886" w:right="339" w:bottom="1440" w:gutter="0" w:footer="0" w:header="0"/>
        </w:sectPr>
      </w:pPr>
    </w:p>
    <w:bookmarkStart w:id="149" w:name="page150"/>
    <w:bookmarkEnd w:id="149"/>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as the Company</w:t>
      </w:r>
    </w:p>
    <w:p>
      <w:pPr>
        <w:spacing w:after="0" w:line="2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J. SCHEIWER</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Name: Mark J. Scheiwer</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Title: Executive Vice President, Chief Financial Officer and Chief</w:t>
      </w:r>
    </w:p>
    <w:p>
      <w:pPr>
        <w:spacing w:after="0" w:line="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Accounting Officer</w:t>
      </w:r>
    </w:p>
    <w:p>
      <w:pPr>
        <w:spacing w:after="0" w:line="200" w:lineRule="exact"/>
        <w:rPr>
          <w:sz w:val="20"/>
          <w:szCs w:val="20"/>
          <w:color w:val="auto"/>
        </w:rPr>
      </w:pPr>
    </w:p>
    <w:p>
      <w:pPr>
        <w:spacing w:after="0" w:line="2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THE SCOTTS COMPANY LLC,</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as a Subsidiary Borrower</w:t>
      </w:r>
    </w:p>
    <w:p>
      <w:pPr>
        <w:spacing w:after="0" w:line="2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J. SCHEIWER</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Name: Mark J. Scheiwer</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Title: Executive Vice President, Chief Financial Officer and Chief</w:t>
      </w:r>
    </w:p>
    <w:p>
      <w:pPr>
        <w:spacing w:after="0" w:line="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Accounting Officer</w:t>
      </w:r>
    </w:p>
    <w:p>
      <w:pPr>
        <w:spacing w:after="0" w:line="200" w:lineRule="exact"/>
        <w:rPr>
          <w:sz w:val="20"/>
          <w:szCs w:val="20"/>
          <w:color w:val="auto"/>
        </w:rPr>
      </w:pPr>
    </w:p>
    <w:p>
      <w:pPr>
        <w:spacing w:after="0" w:line="2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SCOTTS CANADA LTD.,</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as a Subsidiary Borrower</w:t>
      </w:r>
    </w:p>
    <w:p>
      <w:pPr>
        <w:spacing w:after="0" w:line="2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J. SCHEIWER</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Name: Mark J. Scheiwer</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Title: Executive Vice President and Chief Financial Officer</w:t>
      </w: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HYPONEX CORPORATION,</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as a Subsidiary Borrower</w:t>
      </w:r>
    </w:p>
    <w:p>
      <w:pPr>
        <w:spacing w:after="0" w:line="2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J. SCHEIWER</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Name: Mark J. Scheiwer</w:t>
      </w:r>
    </w:p>
    <w:p>
      <w:pPr>
        <w:spacing w:after="0" w:line="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Title: Executive Vice President, Chief Financial Officer and Chief</w:t>
      </w:r>
    </w:p>
    <w:p>
      <w:pPr>
        <w:spacing w:after="0" w:line="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Seventh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11240"/>
          </w:cols>
          <w:pgMar w:left="320" w:top="1413" w:right="339" w:bottom="1440" w:gutter="0" w:footer="0" w:header="0"/>
        </w:sectPr>
      </w:pPr>
    </w:p>
    <w:bookmarkStart w:id="150" w:name="page151"/>
    <w:bookmarkEnd w:id="150"/>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SCOTTS MANUFACTURING COMPANY,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Subsidiary Borrower</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J. SCHEIWER</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Mark J. Scheiwer</w:t>
      </w:r>
    </w:p>
    <w:p>
      <w:pPr>
        <w:spacing w:after="0" w:line="6" w:lineRule="exact"/>
        <w:rPr>
          <w:sz w:val="20"/>
          <w:szCs w:val="20"/>
          <w:color w:val="auto"/>
        </w:rPr>
      </w:pPr>
    </w:p>
    <w:p>
      <w:pPr>
        <w:ind w:left="3900"/>
        <w:spacing w:after="0" w:line="253" w:lineRule="auto"/>
        <w:rPr>
          <w:sz w:val="20"/>
          <w:szCs w:val="20"/>
          <w:color w:val="auto"/>
        </w:rPr>
      </w:pPr>
      <w:r>
        <w:rPr>
          <w:rFonts w:ascii="Times New Roman" w:cs="Times New Roman" w:eastAsia="Times New Roman" w:hAnsi="Times New Roman"/>
          <w:sz w:val="20"/>
          <w:szCs w:val="20"/>
          <w:color w:val="auto"/>
        </w:rPr>
        <w:t>Title: Executive Vice President, Chief Financial Officer and Chief Accounting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SCOTTS TEMECULA OPERATIONS,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Subsidiary Borrower</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J. SCHEIWER</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Mark J. Scheiwer</w:t>
      </w:r>
    </w:p>
    <w:p>
      <w:pPr>
        <w:spacing w:after="0" w:line="6" w:lineRule="exact"/>
        <w:rPr>
          <w:sz w:val="20"/>
          <w:szCs w:val="20"/>
          <w:color w:val="auto"/>
        </w:rPr>
      </w:pPr>
    </w:p>
    <w:p>
      <w:pPr>
        <w:ind w:left="3900"/>
        <w:spacing w:after="0" w:line="253" w:lineRule="auto"/>
        <w:rPr>
          <w:sz w:val="20"/>
          <w:szCs w:val="20"/>
          <w:color w:val="auto"/>
        </w:rPr>
      </w:pPr>
      <w:r>
        <w:rPr>
          <w:rFonts w:ascii="Times New Roman" w:cs="Times New Roman" w:eastAsia="Times New Roman" w:hAnsi="Times New Roman"/>
          <w:sz w:val="20"/>
          <w:szCs w:val="20"/>
          <w:color w:val="auto"/>
        </w:rPr>
        <w:t>Title: Executive Vice President, Chief Financial Officer and Chief Accounting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SMG GROWING MEDIA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Subsidiary Borrower</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J. SCHEIWER</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Mark J. Scheiwer</w:t>
      </w:r>
    </w:p>
    <w:p>
      <w:pPr>
        <w:spacing w:after="0" w:line="6" w:lineRule="exact"/>
        <w:rPr>
          <w:sz w:val="20"/>
          <w:szCs w:val="20"/>
          <w:color w:val="auto"/>
        </w:rPr>
      </w:pPr>
    </w:p>
    <w:p>
      <w:pPr>
        <w:ind w:left="3900"/>
        <w:spacing w:after="0" w:line="253" w:lineRule="auto"/>
        <w:rPr>
          <w:sz w:val="20"/>
          <w:szCs w:val="20"/>
          <w:color w:val="auto"/>
        </w:rPr>
      </w:pPr>
      <w:r>
        <w:rPr>
          <w:rFonts w:ascii="Times New Roman" w:cs="Times New Roman" w:eastAsia="Times New Roman" w:hAnsi="Times New Roman"/>
          <w:sz w:val="20"/>
          <w:szCs w:val="20"/>
          <w:color w:val="auto"/>
        </w:rPr>
        <w:t>Title: Executive Vice President, Chief Financial Officer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Signature Page to Seventh Amended and Restated Credit Agreement</w:t>
      </w:r>
    </w:p>
    <w:p>
      <w:pPr>
        <w:spacing w:after="0" w:line="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120"/>
          </w:cols>
          <w:pgMar w:left="1440" w:top="1440" w:right="1339" w:bottom="1440" w:gutter="0" w:footer="0" w:header="0"/>
        </w:sectPr>
      </w:pPr>
    </w:p>
    <w:bookmarkStart w:id="151" w:name="page152"/>
    <w:bookmarkEnd w:id="151"/>
    <w:p>
      <w:pPr>
        <w:spacing w:after="0" w:line="1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JPMORGAN CHASE BANK, N.A., individually as</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Lender, as the Swingline Lender, as an Issuing</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Bank and as Administrative Agent</w:t>
      </w:r>
    </w:p>
    <w:p>
      <w:pPr>
        <w:spacing w:after="0" w:line="3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RUPAM AGRAWAL</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Rupam Agrawal</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3900" w:right="80"/>
        <w:spacing w:after="0" w:line="325" w:lineRule="auto"/>
        <w:rPr>
          <w:sz w:val="20"/>
          <w:szCs w:val="20"/>
          <w:color w:val="auto"/>
        </w:rPr>
      </w:pPr>
      <w:r>
        <w:rPr>
          <w:rFonts w:ascii="Times New Roman" w:cs="Times New Roman" w:eastAsia="Times New Roman" w:hAnsi="Times New Roman"/>
          <w:sz w:val="20"/>
          <w:szCs w:val="20"/>
          <w:color w:val="auto"/>
        </w:rPr>
        <w:t>BANK OF AMERICA, N.A., individually as a Lender and as an Issuing Bank</w:t>
      </w: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DOROST</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John Dorost</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MIZUHO BANK, LTD., individually as a Lender and as an Issuing Bank</w:t>
      </w:r>
    </w:p>
    <w:p>
      <w:pPr>
        <w:spacing w:after="0" w:line="3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TRACY RAHN</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Tracy Rahn</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313" w:lineRule="exact"/>
        <w:rPr>
          <w:sz w:val="20"/>
          <w:szCs w:val="20"/>
          <w:color w:val="auto"/>
        </w:rPr>
      </w:pPr>
    </w:p>
    <w:p>
      <w:pPr>
        <w:ind w:left="3900"/>
        <w:spacing w:after="0" w:line="325" w:lineRule="auto"/>
        <w:rPr>
          <w:sz w:val="20"/>
          <w:szCs w:val="20"/>
          <w:color w:val="auto"/>
        </w:rPr>
      </w:pPr>
      <w:r>
        <w:rPr>
          <w:rFonts w:ascii="Times New Roman" w:cs="Times New Roman" w:eastAsia="Times New Roman" w:hAnsi="Times New Roman"/>
          <w:sz w:val="20"/>
          <w:szCs w:val="20"/>
          <w:color w:val="auto"/>
        </w:rPr>
        <w:t>WELLS FARGO BANK, NATIONAL ASSOCIATION, individually as a Lender and as an Issuing Bank</w:t>
      </w: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DAY</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Michael Day</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TRUIST BANK, individually as a Lender and as an Issuing Bank</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TESHA WINSLOW</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Tesha Winslow</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720"/>
          </w:cols>
          <w:pgMar w:left="144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Signature Page to Seventh Amended and Restated Credit Agreement</w:t>
      </w:r>
    </w:p>
    <w:p>
      <w:pPr>
        <w:spacing w:after="0" w:line="3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720"/>
          </w:cols>
          <w:pgMar w:left="1440" w:top="1440" w:right="739" w:bottom="1440" w:gutter="0" w:footer="0" w:header="0"/>
          <w:type w:val="continuous"/>
        </w:sectPr>
      </w:pPr>
    </w:p>
    <w:bookmarkStart w:id="152" w:name="page153"/>
    <w:bookmarkEnd w:id="152"/>
    <w:p>
      <w:pPr>
        <w:spacing w:after="0" w:line="176" w:lineRule="exact"/>
        <w:rPr>
          <w:sz w:val="20"/>
          <w:szCs w:val="20"/>
          <w:color w:val="auto"/>
        </w:rPr>
      </w:pPr>
    </w:p>
    <w:p>
      <w:pPr>
        <w:ind w:left="3900"/>
        <w:spacing w:after="0" w:line="325" w:lineRule="auto"/>
        <w:rPr>
          <w:sz w:val="20"/>
          <w:szCs w:val="20"/>
          <w:color w:val="auto"/>
        </w:rPr>
      </w:pPr>
      <w:r>
        <w:rPr>
          <w:rFonts w:ascii="Times New Roman" w:cs="Times New Roman" w:eastAsia="Times New Roman" w:hAnsi="Times New Roman"/>
          <w:sz w:val="20"/>
          <w:szCs w:val="20"/>
          <w:color w:val="auto"/>
        </w:rPr>
        <w:t>PNC BANK, NATIONAL ASSOCIATION, individually as a Lender and as an Issuing Bank</w:t>
      </w: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ANTHONY IRWIN</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Anthony Irwin</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8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PNC BANK CANADA BRANCH</w:t>
      </w:r>
    </w:p>
    <w:p>
      <w:pPr>
        <w:spacing w:after="0" w:line="3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MARTIN PEICHL</w:t>
      </w:r>
    </w:p>
    <w:p>
      <w:pPr>
        <w:spacing w:after="0" w:line="4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Name: Martin Peichl</w:t>
      </w:r>
    </w:p>
    <w:p>
      <w:pPr>
        <w:spacing w:after="0" w:line="5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CAPITAL ONE, N.A., individually as a Lender and as an Issuing Bank</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JT KILDUFF</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JT Kilduff</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Duly Authorized Signatory</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FARM CREDIT CANADA, as a Lender</w:t>
      </w: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OLIVIA CHMELOWSKI</w:t>
      </w:r>
    </w:p>
    <w:p>
      <w:pPr>
        <w:spacing w:after="0" w:line="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Olivia Chmelowski</w:t>
      </w:r>
    </w:p>
    <w:p>
      <w:pPr>
        <w:spacing w:after="0" w:line="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Corporate Finance Associate</w:t>
      </w:r>
    </w:p>
    <w:p>
      <w:pPr>
        <w:spacing w:after="0" w:line="200" w:lineRule="exact"/>
        <w:rPr>
          <w:sz w:val="20"/>
          <w:szCs w:val="20"/>
          <w:color w:val="auto"/>
        </w:rPr>
      </w:pPr>
    </w:p>
    <w:p>
      <w:pPr>
        <w:spacing w:after="0" w:line="2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TD BANK, N.A., as a Lender</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RICHARD A. ZIMMERMAN</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Richard A. Zimmerman</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Signature Page to Seventh Amended and Restated Credit Agreement</w:t>
      </w:r>
    </w:p>
    <w:p>
      <w:pPr>
        <w:spacing w:after="0" w:line="3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900"/>
          </w:cols>
          <w:pgMar w:left="1440" w:top="1440" w:right="559" w:bottom="1440" w:gutter="0" w:footer="0" w:header="0"/>
        </w:sectPr>
      </w:pPr>
    </w:p>
    <w:bookmarkStart w:id="153" w:name="page154"/>
    <w:bookmarkEnd w:id="153"/>
    <w:p>
      <w:pPr>
        <w:spacing w:after="0" w:line="1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COÖPERATIEVE RABOBANK U.A., NEW YORK BRANCH, as a Lender</w:t>
      </w:r>
    </w:p>
    <w:p>
      <w:pPr>
        <w:spacing w:after="0" w:line="3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ELIZABETH HALFIN</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Elizabeth Halfin</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ROBERT GRAFF</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Robert Graff</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U.S. BANK NATIONAL ASSOCIATION, as a Lender</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TREVOR PAHN</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Trevor Pahn</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CITIZENS BANK, N.A., as a Lender</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DAVID W. DINELLA</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David W. Dinella</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FIFTH THIRD BANK, NATIONAL ASSOCIATION, as a Lender</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L. LAURIE</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Michael L. Laurie</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Senior Vice President &amp; Managing Director</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KEYBANK NATIONAL ASSOCIATION, as a Lender</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MARIANNE T. MEIL</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Marianne T. Meil</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Sr. Vice President</w:t>
      </w:r>
    </w:p>
    <w:p>
      <w:pPr>
        <w:sectPr>
          <w:pgSz w:w="11900" w:h="16838" w:orient="portrait"/>
          <w:cols w:equalWidth="0" w:num="1">
            <w:col w:w="10020"/>
          </w:cols>
          <w:pgMar w:left="144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Signature Page to Seventh Amended and Restated Credit Agreement</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10020"/>
          </w:cols>
          <w:pgMar w:left="1440" w:top="1440" w:right="439" w:bottom="1440" w:gutter="0" w:footer="0" w:header="0"/>
          <w:type w:val="continuous"/>
        </w:sectPr>
      </w:pPr>
    </w:p>
    <w:bookmarkStart w:id="154" w:name="page155"/>
    <w:bookmarkEnd w:id="154"/>
    <w:p>
      <w:pPr>
        <w:spacing w:after="0" w:line="1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ASSOCIATED BANK, N.A., as a Lender</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 E. BERGREN</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 E. Bergren</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TRISTATE CAPITAL BANK, as a Lender</w:t>
      </w:r>
    </w:p>
    <w:p>
      <w:pPr>
        <w:spacing w:after="0" w:line="3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ELLEN FRANK</w:t>
      </w:r>
    </w:p>
    <w:p>
      <w:pPr>
        <w:spacing w:after="0" w:line="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Ellen Frank</w:t>
      </w:r>
    </w:p>
    <w:p>
      <w:pPr>
        <w:spacing w:after="0" w:line="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Seventh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019"/>
          </w:cols>
          <w:pgMar w:left="1440" w:top="1440" w:right="1440" w:bottom="1440" w:gutter="0" w:footer="0" w:header="0"/>
        </w:sectPr>
      </w:pPr>
    </w:p>
    <w:bookmarkStart w:id="155" w:name="page156"/>
    <w:bookmarkEnd w:id="155"/>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1.01A</w:t>
      </w:r>
    </w:p>
    <w:p>
      <w:pPr>
        <w:spacing w:after="0" w:line="247"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22"/>
          <w:szCs w:val="22"/>
          <w:b w:val="1"/>
          <w:bCs w:val="1"/>
          <w:color w:val="auto"/>
        </w:rPr>
        <w:t>Non-Guarantor Domestic Subsidiaries</w:t>
      </w:r>
    </w:p>
    <w:p>
      <w:pPr>
        <w:spacing w:after="0" w:line="200" w:lineRule="exact"/>
        <w:rPr>
          <w:sz w:val="20"/>
          <w:szCs w:val="20"/>
          <w:color w:val="auto"/>
        </w:rPr>
      </w:pPr>
    </w:p>
    <w:p>
      <w:pPr>
        <w:spacing w:after="0" w:line="285" w:lineRule="exact"/>
        <w:rPr>
          <w:sz w:val="20"/>
          <w:szCs w:val="20"/>
          <w:color w:val="auto"/>
        </w:rPr>
      </w:pPr>
    </w:p>
    <w:p>
      <w:pPr>
        <w:ind w:left="360" w:hanging="352"/>
        <w:spacing w:after="0"/>
        <w:tabs>
          <w:tab w:leader="none" w:pos="36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Scotts Global Services, Inc., an Ohio corporation</w:t>
      </w:r>
    </w:p>
    <w:p>
      <w:pPr>
        <w:spacing w:after="0" w:line="242"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Scotts Oregon Research Station LLC, an Ohio limited liability company</w:t>
      </w:r>
    </w:p>
    <w:p>
      <w:pPr>
        <w:sectPr>
          <w:pgSz w:w="11900" w:h="16838" w:orient="portrait"/>
          <w:cols w:equalWidth="0" w:num="1">
            <w:col w:w="10139"/>
          </w:cols>
          <w:pgMar w:left="320" w:top="1418" w:right="1440" w:bottom="1440" w:gutter="0" w:footer="0" w:header="0"/>
        </w:sectPr>
      </w:pPr>
    </w:p>
    <w:bookmarkStart w:id="156" w:name="page157"/>
    <w:bookmarkEnd w:id="156"/>
    <w:p>
      <w:pPr>
        <w:jc w:val="center"/>
        <w:ind w:right="-768"/>
        <w:spacing w:after="0"/>
        <w:rPr>
          <w:sz w:val="20"/>
          <w:szCs w:val="20"/>
          <w:color w:val="auto"/>
        </w:rPr>
      </w:pPr>
      <w:r>
        <w:rPr>
          <w:rFonts w:ascii="Times New Roman" w:cs="Times New Roman" w:eastAsia="Times New Roman" w:hAnsi="Times New Roman"/>
          <w:sz w:val="22"/>
          <w:szCs w:val="22"/>
          <w:b w:val="1"/>
          <w:bCs w:val="1"/>
          <w:color w:val="auto"/>
        </w:rPr>
        <w:t>Schedule 1.01B</w:t>
      </w:r>
    </w:p>
    <w:p>
      <w:pPr>
        <w:spacing w:after="0" w:line="247"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22"/>
          <w:szCs w:val="22"/>
          <w:b w:val="1"/>
          <w:bCs w:val="1"/>
          <w:color w:val="auto"/>
        </w:rPr>
        <w:t>Subsidiaries Whose Capital Stock is Not Pledged</w:t>
      </w:r>
    </w:p>
    <w:p>
      <w:pPr>
        <w:spacing w:after="0" w:line="372" w:lineRule="exact"/>
        <w:rPr>
          <w:sz w:val="20"/>
          <w:szCs w:val="20"/>
          <w:color w:val="auto"/>
        </w:rPr>
      </w:pPr>
    </w:p>
    <w:p>
      <w:pPr>
        <w:ind w:left="328" w:hanging="328"/>
        <w:spacing w:after="0"/>
        <w:tabs>
          <w:tab w:leader="none" w:pos="328" w:val="left"/>
        </w:tabs>
        <w:numPr>
          <w:ilvl w:val="0"/>
          <w:numId w:val="181"/>
        </w:numPr>
        <w:rPr>
          <w:rFonts w:ascii="Arial" w:cs="Arial" w:eastAsia="Arial" w:hAnsi="Arial"/>
          <w:sz w:val="22"/>
          <w:szCs w:val="22"/>
          <w:color w:val="auto"/>
        </w:rPr>
      </w:pPr>
      <w:r>
        <w:rPr>
          <w:rFonts w:ascii="Times New Roman" w:cs="Times New Roman" w:eastAsia="Times New Roman" w:hAnsi="Times New Roman"/>
          <w:sz w:val="22"/>
          <w:szCs w:val="22"/>
          <w:color w:val="auto"/>
        </w:rPr>
        <w:t>Scotts Global Services, Inc., an Ohio corporation</w:t>
      </w:r>
    </w:p>
    <w:p>
      <w:pPr>
        <w:spacing w:after="0" w:line="245" w:lineRule="exact"/>
        <w:rPr>
          <w:rFonts w:ascii="Arial" w:cs="Arial" w:eastAsia="Arial" w:hAnsi="Arial"/>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Oregon Research Station LLC, an Ohio limited liability company</w:t>
      </w:r>
    </w:p>
    <w:p>
      <w:pPr>
        <w:spacing w:after="0" w:line="26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Scotts-Miracle Gro Foundation, an Ohio corporation with 501(c)(3) status</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Agrolux Canada Limited (Canada)</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Hawthorne Canada Limited (Canada)</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Hawthorne Gardening II B.V. (Netherlands)</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Miracle-Gro Tecnologia &amp; Servicios, S. de R.L. de C.V. (Mexico)</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Servicios, S.A. de C.V. (Mexico)</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de Mexico S.A. de C.V. (Mexico)</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Sierra (China) Co. Ltd. (China)</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SMG Gardening (UK) Limited (United Kingdom)</w:t>
      </w:r>
    </w:p>
    <w:p>
      <w:pPr>
        <w:spacing w:after="0" w:line="26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SMG Germany GmbH (Germany)</w:t>
      </w:r>
    </w:p>
    <w:p>
      <w:pPr>
        <w:sectPr>
          <w:pgSz w:w="11900" w:h="16838" w:orient="portrait"/>
          <w:cols w:equalWidth="0" w:num="1">
            <w:col w:w="9807"/>
          </w:cols>
          <w:pgMar w:left="652" w:top="1418"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color w:val="auto"/>
        </w:rPr>
        <w:t>SCHEDULE 2.01A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COMMITMENTS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20" w:type="dxa"/>
            <w:vAlign w:val="bottom"/>
            <w:gridSpan w:val="3"/>
          </w:tcPr>
          <w:p>
            <w:pPr>
              <w:ind w:left="2060"/>
              <w:spacing w:after="0"/>
              <w:rPr>
                <w:sz w:val="20"/>
                <w:szCs w:val="20"/>
                <w:color w:val="auto"/>
              </w:rPr>
            </w:pPr>
            <w:r>
              <w:rPr>
                <w:rFonts w:ascii="Times New Roman" w:cs="Times New Roman" w:eastAsia="Times New Roman" w:hAnsi="Times New Roman"/>
                <w:sz w:val="19"/>
                <w:szCs w:val="19"/>
                <w:color w:val="auto"/>
              </w:rPr>
              <w:t>Lender</w:t>
            </w:r>
          </w:p>
        </w:tc>
        <w:tc>
          <w:tcPr>
            <w:tcW w:w="580" w:type="dxa"/>
            <w:vAlign w:val="bottom"/>
          </w:tcPr>
          <w:p>
            <w:pPr>
              <w:spacing w:after="0"/>
              <w:rPr>
                <w:sz w:val="18"/>
                <w:szCs w:val="18"/>
                <w:color w:val="auto"/>
              </w:rPr>
            </w:pPr>
          </w:p>
        </w:tc>
        <w:tc>
          <w:tcPr>
            <w:tcW w:w="1620" w:type="dxa"/>
            <w:vAlign w:val="bottom"/>
            <w:gridSpan w:val="3"/>
          </w:tcPr>
          <w:p>
            <w:pPr>
              <w:jc w:val="right"/>
              <w:ind w:right="1120"/>
              <w:spacing w:after="0"/>
              <w:rPr>
                <w:sz w:val="20"/>
                <w:szCs w:val="20"/>
                <w:color w:val="auto"/>
              </w:rPr>
            </w:pPr>
            <w:r>
              <w:rPr>
                <w:rFonts w:ascii="Times New Roman" w:cs="Times New Roman" w:eastAsia="Times New Roman" w:hAnsi="Times New Roman"/>
                <w:sz w:val="19"/>
                <w:szCs w:val="19"/>
                <w:color w:val="auto"/>
                <w:w w:val="92"/>
              </w:rPr>
              <w:t>Global</w:t>
            </w:r>
          </w:p>
        </w:tc>
        <w:tc>
          <w:tcPr>
            <w:tcW w:w="580" w:type="dxa"/>
            <w:vAlign w:val="bottom"/>
          </w:tcPr>
          <w:p>
            <w:pPr>
              <w:spacing w:after="0"/>
              <w:rPr>
                <w:sz w:val="18"/>
                <w:szCs w:val="18"/>
                <w:color w:val="auto"/>
              </w:rPr>
            </w:pPr>
          </w:p>
        </w:tc>
        <w:tc>
          <w:tcPr>
            <w:tcW w:w="1460" w:type="dxa"/>
            <w:vAlign w:val="bottom"/>
            <w:gridSpan w:val="3"/>
          </w:tcPr>
          <w:p>
            <w:pPr>
              <w:jc w:val="right"/>
              <w:ind w:right="980"/>
              <w:spacing w:after="0"/>
              <w:rPr>
                <w:sz w:val="20"/>
                <w:szCs w:val="20"/>
                <w:color w:val="auto"/>
              </w:rPr>
            </w:pPr>
            <w:r>
              <w:rPr>
                <w:rFonts w:ascii="Times New Roman" w:cs="Times New Roman" w:eastAsia="Times New Roman" w:hAnsi="Times New Roman"/>
                <w:sz w:val="19"/>
                <w:szCs w:val="19"/>
                <w:color w:val="auto"/>
                <w:w w:val="94"/>
              </w:rPr>
              <w:t>Dollar</w:t>
            </w:r>
          </w:p>
        </w:tc>
        <w:tc>
          <w:tcPr>
            <w:tcW w:w="2040" w:type="dxa"/>
            <w:vAlign w:val="bottom"/>
            <w:gridSpan w:val="5"/>
          </w:tcPr>
          <w:p>
            <w:pPr>
              <w:jc w:val="right"/>
              <w:ind w:right="240"/>
              <w:spacing w:after="0"/>
              <w:rPr>
                <w:sz w:val="20"/>
                <w:szCs w:val="20"/>
                <w:color w:val="auto"/>
              </w:rPr>
            </w:pPr>
            <w:r>
              <w:rPr>
                <w:rFonts w:ascii="Times New Roman" w:cs="Times New Roman" w:eastAsia="Times New Roman" w:hAnsi="Times New Roman"/>
                <w:sz w:val="19"/>
                <w:szCs w:val="19"/>
                <w:color w:val="auto"/>
              </w:rPr>
              <w:t>Tranche A Term Loan</w:t>
            </w:r>
          </w:p>
        </w:tc>
      </w:tr>
      <w:tr>
        <w:trPr>
          <w:trHeight w:val="20"/>
        </w:trPr>
        <w:tc>
          <w:tcPr>
            <w:tcW w:w="2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0" w:type="dxa"/>
            <w:vAlign w:val="bottom"/>
            <w:gridSpan w:val="4"/>
          </w:tcPr>
          <w:p>
            <w:pPr>
              <w:jc w:val="right"/>
              <w:ind w:right="540"/>
              <w:spacing w:after="0" w:line="196" w:lineRule="exact"/>
              <w:rPr>
                <w:sz w:val="20"/>
                <w:szCs w:val="20"/>
                <w:color w:val="auto"/>
              </w:rPr>
            </w:pPr>
            <w:r>
              <w:rPr>
                <w:rFonts w:ascii="Times New Roman" w:cs="Times New Roman" w:eastAsia="Times New Roman" w:hAnsi="Times New Roman"/>
                <w:sz w:val="19"/>
                <w:szCs w:val="19"/>
                <w:color w:val="auto"/>
                <w:w w:val="98"/>
              </w:rPr>
              <w:t>Tranche Commitment</w:t>
            </w:r>
          </w:p>
        </w:tc>
        <w:tc>
          <w:tcPr>
            <w:tcW w:w="2040" w:type="dxa"/>
            <w:vAlign w:val="bottom"/>
            <w:gridSpan w:val="4"/>
          </w:tcPr>
          <w:p>
            <w:pPr>
              <w:jc w:val="right"/>
              <w:ind w:right="400"/>
              <w:spacing w:after="0" w:line="196" w:lineRule="exact"/>
              <w:rPr>
                <w:sz w:val="20"/>
                <w:szCs w:val="20"/>
                <w:color w:val="auto"/>
              </w:rPr>
            </w:pPr>
            <w:r>
              <w:rPr>
                <w:rFonts w:ascii="Times New Roman" w:cs="Times New Roman" w:eastAsia="Times New Roman" w:hAnsi="Times New Roman"/>
                <w:sz w:val="19"/>
                <w:szCs w:val="19"/>
                <w:color w:val="auto"/>
                <w:w w:val="96"/>
              </w:rPr>
              <w:t>Tranche Commitment</w:t>
            </w:r>
          </w:p>
        </w:tc>
        <w:tc>
          <w:tcPr>
            <w:tcW w:w="120" w:type="dxa"/>
            <w:vAlign w:val="bottom"/>
          </w:tcPr>
          <w:p>
            <w:pPr>
              <w:spacing w:after="0"/>
              <w:rPr>
                <w:sz w:val="17"/>
                <w:szCs w:val="17"/>
                <w:color w:val="auto"/>
              </w:rPr>
            </w:pPr>
          </w:p>
        </w:tc>
        <w:tc>
          <w:tcPr>
            <w:tcW w:w="1920" w:type="dxa"/>
            <w:vAlign w:val="bottom"/>
            <w:gridSpan w:val="4"/>
          </w:tcPr>
          <w:p>
            <w:pPr>
              <w:jc w:val="right"/>
              <w:ind w:right="580"/>
              <w:spacing w:after="0" w:line="196" w:lineRule="exact"/>
              <w:rPr>
                <w:sz w:val="20"/>
                <w:szCs w:val="20"/>
                <w:color w:val="auto"/>
              </w:rPr>
            </w:pPr>
            <w:r>
              <w:rPr>
                <w:rFonts w:ascii="Times New Roman" w:cs="Times New Roman" w:eastAsia="Times New Roman" w:hAnsi="Times New Roman"/>
                <w:sz w:val="19"/>
                <w:szCs w:val="19"/>
                <w:color w:val="auto"/>
              </w:rPr>
              <w:t>Commitment</w:t>
            </w:r>
          </w:p>
        </w:tc>
      </w:tr>
      <w:tr>
        <w:trPr>
          <w:trHeight w:val="20"/>
        </w:trPr>
        <w:tc>
          <w:tcPr>
            <w:tcW w:w="4920" w:type="dxa"/>
            <w:vAlign w:val="bottom"/>
            <w:gridSpan w:val="3"/>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49"/>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JPMORGAN CHASE BANK, N.A.</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$127,459,000.00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$37,541,000.00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BANK OF AMERICA, N.A.</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$127,459,000.00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$37,541,000.00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MIZUHO BANK, LTD.</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$127,459,000.00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$37,541,000.00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WELLS FARGO BANK, NATIONAL ASSOCIAITON</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$127,459,000.00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$37,541,000.00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TRUIST BANK</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$127,459,000.00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$37,541,000.00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PNC BANK, NATIONAL ASSOCIATION</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$127,459,000.00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$37,541,000.00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CAPITAL ONE, N.A.</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$127,459,000.00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$37,541,000.00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FARM CREDIT CANADA</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$82,500,000.00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$82,500,000.00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TD BANK, N.A.</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$96,560,000.00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$28,440,000.00</w:t>
            </w:r>
          </w:p>
        </w:tc>
      </w:tr>
      <w:tr>
        <w:trPr>
          <w:trHeight w:val="242"/>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COÖPERATIEVE RABOBANK U.A., NEW YORK</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$96,560,000.00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$28,440,000.00</w:t>
            </w:r>
          </w:p>
        </w:tc>
      </w:tr>
      <w:tr>
        <w:trPr>
          <w:trHeight w:val="244"/>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BRANCH</w:t>
            </w: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6"/>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U.S. BANK NATIONAL ASSOCIATION</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$96,560,000.00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$28,440,000.00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CITIZENS BANK, N.A.</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$96,560,000.00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$28,440,000.00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FIFTH THIRD BANK, NATIONAL ASSOCIATION</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$61,798,000.00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$18,202,000.00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KEYBANK NATIONAL ASSOCIATION</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$42,487,000.00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$12,513,000.00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ASSOCIATED BANK, N.A.</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$27,037,000.00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$7,963,000.00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TRISTATE CAPITAL BANK</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color w:val="auto"/>
              </w:rPr>
              <w:t>$0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$7,725,000.00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$2,275,000.00</w:t>
            </w:r>
          </w:p>
        </w:tc>
      </w:tr>
      <w:tr>
        <w:trPr>
          <w:trHeight w:val="270"/>
        </w:trPr>
        <w:tc>
          <w:tcPr>
            <w:tcW w:w="49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200" w:type="dxa"/>
            <w:vAlign w:val="bottom"/>
            <w:gridSpan w:val="4"/>
          </w:tcPr>
          <w:p>
            <w:pPr>
              <w:jc w:val="right"/>
              <w:ind w:right="300"/>
              <w:spacing w:after="0"/>
              <w:rPr>
                <w:sz w:val="20"/>
                <w:szCs w:val="20"/>
                <w:color w:val="auto"/>
              </w:rPr>
            </w:pPr>
            <w:r>
              <w:rPr>
                <w:rFonts w:ascii="Times New Roman" w:cs="Times New Roman" w:eastAsia="Times New Roman" w:hAnsi="Times New Roman"/>
                <w:sz w:val="19"/>
                <w:szCs w:val="19"/>
                <w:b w:val="1"/>
                <w:bCs w:val="1"/>
                <w:color w:val="auto"/>
              </w:rPr>
              <w:t>$1,409,775,000.00</w:t>
            </w:r>
          </w:p>
        </w:tc>
        <w:tc>
          <w:tcPr>
            <w:tcW w:w="2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b w:val="1"/>
                <w:bCs w:val="1"/>
                <w:color w:val="auto"/>
              </w:rPr>
              <w:t>$90,225,000.00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9"/>
                <w:szCs w:val="19"/>
                <w:b w:val="1"/>
                <w:bCs w:val="1"/>
                <w:color w:val="auto"/>
              </w:rPr>
              <w:t>$500,000,000.00</w:t>
            </w:r>
          </w:p>
        </w:tc>
      </w:tr>
    </w:tbl>
    <w:p>
      <w:pPr>
        <w:sectPr>
          <w:pgSz w:w="11900" w:h="16838" w:orient="portrait"/>
          <w:cols w:equalWidth="0" w:num="1">
            <w:col w:w="11200"/>
          </w:cols>
          <w:pgMar w:left="340" w:top="1413" w:right="359"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20"/>
          <w:szCs w:val="20"/>
          <w:color w:val="auto"/>
        </w:rPr>
        <w:t>SCHEDULE 2.01B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LETTER OF CREDIT COMMITMENTS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w w:val="96"/>
              </w:rPr>
              <w:t>Lender</w:t>
            </w:r>
          </w:p>
        </w:tc>
        <w:tc>
          <w:tcPr>
            <w:tcW w:w="4020" w:type="dxa"/>
            <w:vAlign w:val="bottom"/>
          </w:tcPr>
          <w:p>
            <w:pPr>
              <w:spacing w:after="0"/>
              <w:rPr>
                <w:sz w:val="22"/>
                <w:szCs w:val="22"/>
                <w:color w:val="auto"/>
              </w:rPr>
            </w:pPr>
          </w:p>
        </w:tc>
        <w:tc>
          <w:tcPr>
            <w:tcW w:w="3440" w:type="dxa"/>
            <w:vAlign w:val="bottom"/>
            <w:gridSpan w:val="2"/>
          </w:tcPr>
          <w:p>
            <w:pPr>
              <w:jc w:val="right"/>
              <w:ind w:right="900"/>
              <w:spacing w:after="0"/>
              <w:rPr>
                <w:sz w:val="20"/>
                <w:szCs w:val="20"/>
                <w:color w:val="auto"/>
              </w:rPr>
            </w:pPr>
            <w:r>
              <w:rPr>
                <w:rFonts w:ascii="Times New Roman" w:cs="Times New Roman" w:eastAsia="Times New Roman" w:hAnsi="Times New Roman"/>
                <w:sz w:val="22"/>
                <w:szCs w:val="22"/>
                <w:color w:val="auto"/>
                <w:w w:val="97"/>
              </w:rPr>
              <w:t>Letter of Credit Commitment</w:t>
            </w:r>
          </w:p>
        </w:tc>
      </w:tr>
      <w:tr>
        <w:trPr>
          <w:trHeight w:val="20"/>
        </w:trPr>
        <w:tc>
          <w:tcPr>
            <w:tcW w:w="3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29"/>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JPMORGAN CHASE BANK, N.A.</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$14,285,714.29</w:t>
            </w:r>
          </w:p>
        </w:tc>
      </w:tr>
      <w:tr>
        <w:trPr>
          <w:trHeight w:val="297"/>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BANK OF AMERICA, N.A.</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$14,285,714.29</w:t>
            </w:r>
          </w:p>
        </w:tc>
      </w:tr>
      <w:tr>
        <w:trPr>
          <w:trHeight w:val="297"/>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MIZUHO BANK, LTD.</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$14,285,714.29</w:t>
            </w:r>
          </w:p>
        </w:tc>
      </w:tr>
      <w:tr>
        <w:trPr>
          <w:trHeight w:val="297"/>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WELLS FARGO BANK, NATIONAL ASSOCIATION</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$14,285,714.29</w:t>
            </w:r>
          </w:p>
        </w:tc>
      </w:tr>
      <w:tr>
        <w:trPr>
          <w:trHeight w:val="297"/>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TRUIST BANK</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$14,285,714.29</w:t>
            </w:r>
          </w:p>
        </w:tc>
      </w:tr>
      <w:tr>
        <w:trPr>
          <w:trHeight w:val="297"/>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PNC BANK, NATIONAL ASSOCIATION</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$14,285,714.29</w:t>
            </w:r>
          </w:p>
        </w:tc>
      </w:tr>
      <w:tr>
        <w:trPr>
          <w:trHeight w:val="297"/>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CAPITAL ONE, N.A.</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$14,285,714.29</w:t>
            </w:r>
          </w:p>
        </w:tc>
      </w:tr>
      <w:tr>
        <w:trPr>
          <w:trHeight w:val="297"/>
        </w:trPr>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$100,000,000.00</w:t>
            </w:r>
          </w:p>
        </w:tc>
      </w:tr>
    </w:tbl>
    <w:p>
      <w:pPr>
        <w:sectPr>
          <w:pgSz w:w="11900" w:h="16838" w:orient="portrait"/>
          <w:cols w:equalWidth="0" w:num="1">
            <w:col w:w="11180"/>
          </w:cols>
          <w:pgMar w:left="340" w:top="1413" w:right="379" w:bottom="1440" w:gutter="0" w:footer="0" w:header="0"/>
        </w:sectPr>
      </w:pPr>
    </w:p>
    <w:bookmarkStart w:id="159" w:name="page160"/>
    <w:bookmarkEnd w:id="15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2.06</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Existing Letters of Credit</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Applicant Name</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Issuing Bank</w:t>
            </w:r>
          </w:p>
        </w:tc>
        <w:tc>
          <w:tcPr>
            <w:tcW w:w="1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Beneficiary Name</w:t>
            </w:r>
          </w:p>
        </w:tc>
        <w:tc>
          <w:tcPr>
            <w:tcW w:w="8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Expiry</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LC</w:t>
            </w:r>
          </w:p>
        </w:tc>
        <w:tc>
          <w:tcPr>
            <w:tcW w:w="1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Face Amount</w:t>
            </w:r>
          </w:p>
        </w:tc>
        <w:tc>
          <w:tcPr>
            <w:tcW w:w="11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Amount in USD</w:t>
            </w:r>
          </w:p>
        </w:tc>
        <w:tc>
          <w:tcPr>
            <w:tcW w:w="0" w:type="dxa"/>
            <w:vAlign w:val="bottom"/>
          </w:tcPr>
          <w:p>
            <w:pPr>
              <w:spacing w:after="0"/>
              <w:rPr>
                <w:sz w:val="1"/>
                <w:szCs w:val="1"/>
                <w:color w:val="auto"/>
              </w:rPr>
            </w:pPr>
          </w:p>
        </w:tc>
      </w:tr>
      <w:tr>
        <w:trPr>
          <w:trHeight w:val="203"/>
        </w:trPr>
        <w:tc>
          <w:tcPr>
            <w:tcW w:w="15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Currency</w:t>
            </w: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in LC</w:t>
            </w:r>
          </w:p>
        </w:tc>
        <w:tc>
          <w:tcPr>
            <w:tcW w:w="114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Amount in</w:t>
            </w:r>
          </w:p>
        </w:tc>
        <w:tc>
          <w:tcPr>
            <w:tcW w:w="2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540" w:type="dxa"/>
            <w:vAlign w:val="bottom"/>
            <w:tcBorders>
              <w:left w:val="single" w:sz="8" w:color="auto"/>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LC Currency</w:t>
            </w: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SCOTTS</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NUSCGS005837</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FIFTH THIRD BANK</w:t>
            </w:r>
          </w:p>
        </w:tc>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30-Sep-</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1,617,117.73</w:t>
            </w:r>
          </w:p>
        </w:tc>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1,617,117.73</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1,617,117.73</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bottom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CANADA LTD.</w:t>
            </w:r>
          </w:p>
        </w:tc>
        <w:tc>
          <w:tcPr>
            <w:tcW w:w="136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SCOTTS</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NUSCGS005840</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CENTRAL BANK OF</w:t>
            </w:r>
          </w:p>
        </w:tc>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09-Mar-</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79,506.03</w:t>
            </w:r>
          </w:p>
        </w:tc>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79,506.03</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79,506.03</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bottom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CANADA LTD.</w:t>
            </w:r>
          </w:p>
        </w:tc>
        <w:tc>
          <w:tcPr>
            <w:tcW w:w="136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ST. LOUIS</w:t>
            </w:r>
          </w:p>
        </w:tc>
        <w:tc>
          <w:tcPr>
            <w:tcW w:w="820" w:type="dxa"/>
            <w:vAlign w:val="bottom"/>
            <w:tcBorders>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NUSCGS005841</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BANK-MSA</w:t>
            </w:r>
          </w:p>
        </w:tc>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30-Sep-</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80,000.00</w:t>
            </w:r>
          </w:p>
        </w:tc>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80,000.00</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bottom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COMPANY LLC</w:t>
            </w:r>
          </w:p>
        </w:tc>
        <w:tc>
          <w:tcPr>
            <w:tcW w:w="136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CARD PROGRAM</w:t>
            </w:r>
          </w:p>
        </w:tc>
        <w:tc>
          <w:tcPr>
            <w:tcW w:w="820" w:type="dxa"/>
            <w:vAlign w:val="bottom"/>
            <w:tcBorders>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NUSCGS046776</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 BUREAU OF</w:t>
            </w:r>
          </w:p>
        </w:tc>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22-Nov-</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2,800,000.00</w:t>
            </w:r>
          </w:p>
        </w:tc>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2,800,000.00</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2,800,000.00</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bottom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COMPANY LLC</w:t>
            </w:r>
          </w:p>
        </w:tc>
        <w:tc>
          <w:tcPr>
            <w:tcW w:w="136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WORKERS COMP</w:t>
            </w:r>
          </w:p>
        </w:tc>
        <w:tc>
          <w:tcPr>
            <w:tcW w:w="820" w:type="dxa"/>
            <w:vAlign w:val="bottom"/>
            <w:tcBorders>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THE SCOTTS</w:t>
            </w:r>
          </w:p>
        </w:tc>
        <w:tc>
          <w:tcPr>
            <w:tcW w:w="13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OHIO</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01-May-</w:t>
            </w:r>
          </w:p>
        </w:tc>
        <w:tc>
          <w:tcPr>
            <w:tcW w:w="9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continue"/>
          </w:tcPr>
          <w:p>
            <w:pPr>
              <w:spacing w:after="0"/>
              <w:rPr>
                <w:sz w:val="8"/>
                <w:szCs w:val="8"/>
                <w:color w:val="auto"/>
              </w:rPr>
            </w:pPr>
          </w:p>
        </w:tc>
        <w:tc>
          <w:tcPr>
            <w:tcW w:w="13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P-224253</w:t>
            </w:r>
          </w:p>
        </w:tc>
        <w:tc>
          <w:tcPr>
            <w:tcW w:w="178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ENVIRONMENTAL</w:t>
            </w:r>
          </w:p>
        </w:tc>
        <w:tc>
          <w:tcPr>
            <w:tcW w:w="8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10,302.00</w:t>
            </w:r>
          </w:p>
        </w:tc>
        <w:tc>
          <w:tcPr>
            <w:tcW w:w="1140" w:type="dxa"/>
            <w:vAlign w:val="bottom"/>
            <w:tcBorders>
              <w:right w:val="single" w:sz="8" w:color="auto"/>
            </w:tcBorders>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10,302.00</w:t>
            </w:r>
          </w:p>
        </w:tc>
        <w:tc>
          <w:tcPr>
            <w:tcW w:w="24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10,302.00</w:t>
            </w: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 LLC</w:t>
            </w:r>
          </w:p>
        </w:tc>
        <w:tc>
          <w:tcPr>
            <w:tcW w:w="136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PROTECTION</w:t>
            </w:r>
          </w:p>
        </w:tc>
        <w:tc>
          <w:tcPr>
            <w:tcW w:w="8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THE SCOTTS</w:t>
            </w: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T-217922</w:t>
            </w:r>
          </w:p>
        </w:tc>
        <w:tc>
          <w:tcPr>
            <w:tcW w:w="17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CITY OF SPOKANE,</w:t>
            </w:r>
          </w:p>
        </w:tc>
        <w:tc>
          <w:tcPr>
            <w:tcW w:w="8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30-Sep-</w:t>
            </w: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450,000.00</w:t>
            </w:r>
          </w:p>
        </w:tc>
        <w:tc>
          <w:tcPr>
            <w:tcW w:w="1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450,000.00</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450,000.00</w:t>
            </w: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 LLC</w:t>
            </w:r>
          </w:p>
        </w:tc>
        <w:tc>
          <w:tcPr>
            <w:tcW w:w="13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54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THE SCOTTS</w:t>
            </w: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T-237913</w:t>
            </w:r>
          </w:p>
        </w:tc>
        <w:tc>
          <w:tcPr>
            <w:tcW w:w="178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98"/>
              </w:rPr>
              <w:t>SC DEPARTMENT OF</w:t>
            </w:r>
          </w:p>
        </w:tc>
        <w:tc>
          <w:tcPr>
            <w:tcW w:w="82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23-Nov-</w:t>
            </w: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9,000.00</w:t>
            </w:r>
          </w:p>
        </w:tc>
        <w:tc>
          <w:tcPr>
            <w:tcW w:w="1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9,000.00</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 LLC</w:t>
            </w:r>
          </w:p>
        </w:tc>
        <w:tc>
          <w:tcPr>
            <w:tcW w:w="13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HEALTH</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540" w:type="dxa"/>
            <w:vAlign w:val="bottom"/>
            <w:tcBorders>
              <w:left w:val="single" w:sz="8" w:color="auto"/>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THE SCOTTS</w:t>
            </w:r>
          </w:p>
        </w:tc>
        <w:tc>
          <w:tcPr>
            <w:tcW w:w="13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OHIO</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19-Apr-</w:t>
            </w:r>
          </w:p>
        </w:tc>
        <w:tc>
          <w:tcPr>
            <w:tcW w:w="9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continue"/>
          </w:tcPr>
          <w:p>
            <w:pPr>
              <w:spacing w:after="0"/>
              <w:rPr>
                <w:sz w:val="8"/>
                <w:szCs w:val="8"/>
                <w:color w:val="auto"/>
              </w:rPr>
            </w:pPr>
          </w:p>
        </w:tc>
        <w:tc>
          <w:tcPr>
            <w:tcW w:w="13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T-244095</w:t>
            </w:r>
          </w:p>
        </w:tc>
        <w:tc>
          <w:tcPr>
            <w:tcW w:w="178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ENVIRONMENTAL</w:t>
            </w:r>
          </w:p>
        </w:tc>
        <w:tc>
          <w:tcPr>
            <w:tcW w:w="8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333,240.00</w:t>
            </w:r>
          </w:p>
        </w:tc>
        <w:tc>
          <w:tcPr>
            <w:tcW w:w="1140" w:type="dxa"/>
            <w:vAlign w:val="bottom"/>
            <w:tcBorders>
              <w:right w:val="single" w:sz="8" w:color="auto"/>
            </w:tcBorders>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333,240.00</w:t>
            </w:r>
          </w:p>
        </w:tc>
        <w:tc>
          <w:tcPr>
            <w:tcW w:w="24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333,240.00</w:t>
            </w: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 LLC</w:t>
            </w:r>
          </w:p>
        </w:tc>
        <w:tc>
          <w:tcPr>
            <w:tcW w:w="136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PROTECTION</w:t>
            </w:r>
          </w:p>
        </w:tc>
        <w:tc>
          <w:tcPr>
            <w:tcW w:w="8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w:t>
            </w:r>
          </w:p>
        </w:tc>
        <w:tc>
          <w:tcPr>
            <w:tcW w:w="13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CITY OF</w:t>
            </w:r>
          </w:p>
        </w:tc>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30-Sep-</w:t>
            </w: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 LLC</w:t>
            </w: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T-296770</w:t>
            </w: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GREENSBORO</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450,000.00</w:t>
            </w:r>
          </w:p>
        </w:tc>
        <w:tc>
          <w:tcPr>
            <w:tcW w:w="11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450,000.00</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450,000.00</w:t>
            </w: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THE SCOTTS</w:t>
            </w:r>
          </w:p>
        </w:tc>
        <w:tc>
          <w:tcPr>
            <w:tcW w:w="13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OHIO</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27-Aug-</w:t>
            </w:r>
          </w:p>
        </w:tc>
        <w:tc>
          <w:tcPr>
            <w:tcW w:w="9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continue"/>
          </w:tcPr>
          <w:p>
            <w:pPr>
              <w:spacing w:after="0"/>
              <w:rPr>
                <w:sz w:val="8"/>
                <w:szCs w:val="8"/>
                <w:color w:val="auto"/>
              </w:rPr>
            </w:pPr>
          </w:p>
        </w:tc>
        <w:tc>
          <w:tcPr>
            <w:tcW w:w="13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TPTS-522635</w:t>
            </w:r>
          </w:p>
        </w:tc>
        <w:tc>
          <w:tcPr>
            <w:tcW w:w="178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ENVIRONMENTAL</w:t>
            </w:r>
          </w:p>
        </w:tc>
        <w:tc>
          <w:tcPr>
            <w:tcW w:w="8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2,301,400.00</w:t>
            </w:r>
          </w:p>
        </w:tc>
        <w:tc>
          <w:tcPr>
            <w:tcW w:w="1140" w:type="dxa"/>
            <w:vAlign w:val="bottom"/>
            <w:tcBorders>
              <w:right w:val="single" w:sz="8" w:color="auto"/>
            </w:tcBorders>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2,301,400.00</w:t>
            </w:r>
          </w:p>
        </w:tc>
        <w:tc>
          <w:tcPr>
            <w:tcW w:w="24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2,301,400.00</w:t>
            </w: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 LLC</w:t>
            </w:r>
          </w:p>
        </w:tc>
        <w:tc>
          <w:tcPr>
            <w:tcW w:w="136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PROTECTION</w:t>
            </w:r>
          </w:p>
        </w:tc>
        <w:tc>
          <w:tcPr>
            <w:tcW w:w="8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18" w:right="319" w:bottom="1440" w:gutter="0" w:footer="0" w:header="0"/>
        </w:sectPr>
      </w:pPr>
    </w:p>
    <w:bookmarkStart w:id="160" w:name="page161"/>
    <w:bookmarkEnd w:id="16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5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w:t>
            </w:r>
          </w:p>
        </w:tc>
        <w:tc>
          <w:tcPr>
            <w:tcW w:w="138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8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30-SEP-</w:t>
            </w:r>
          </w:p>
        </w:tc>
        <w:tc>
          <w:tcPr>
            <w:tcW w:w="92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MIRACLE-GRO</w:t>
            </w:r>
          </w:p>
        </w:tc>
        <w:tc>
          <w:tcPr>
            <w:tcW w:w="1380" w:type="dxa"/>
            <w:vAlign w:val="bottom"/>
            <w:tcBorders>
              <w:right w:val="single" w:sz="8" w:color="auto"/>
            </w:tcBorders>
            <w:vMerge w:val="restart"/>
          </w:tcPr>
          <w:p>
            <w:pPr>
              <w:ind w:left="20"/>
              <w:spacing w:after="0" w:line="203" w:lineRule="exact"/>
              <w:rPr>
                <w:sz w:val="20"/>
                <w:szCs w:val="20"/>
                <w:color w:val="auto"/>
              </w:rPr>
            </w:pPr>
            <w:r>
              <w:rPr>
                <w:rFonts w:ascii="Cambria" w:cs="Cambria" w:eastAsia="Cambria" w:hAnsi="Cambria"/>
                <w:sz w:val="18"/>
                <w:szCs w:val="18"/>
                <w:b w:val="1"/>
                <w:bCs w:val="1"/>
                <w:color w:val="auto"/>
              </w:rPr>
              <w:t>I000410738U</w:t>
            </w:r>
          </w:p>
        </w:tc>
        <w:tc>
          <w:tcPr>
            <w:tcW w:w="17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vMerge w:val="restart"/>
          </w:tcPr>
          <w:p>
            <w:pPr>
              <w:jc w:val="right"/>
              <w:ind w:right="210"/>
              <w:spacing w:after="0" w:line="203" w:lineRule="exact"/>
              <w:rPr>
                <w:sz w:val="20"/>
                <w:szCs w:val="20"/>
                <w:color w:val="auto"/>
              </w:rPr>
            </w:pPr>
            <w:r>
              <w:rPr>
                <w:rFonts w:ascii="Cambria" w:cs="Cambria" w:eastAsia="Cambria" w:hAnsi="Cambria"/>
                <w:sz w:val="18"/>
                <w:szCs w:val="18"/>
                <w:b w:val="1"/>
                <w:bCs w:val="1"/>
                <w:color w:val="auto"/>
                <w:w w:val="95"/>
              </w:rPr>
              <w:t>25,000,000.00*</w:t>
            </w:r>
            <w:r>
              <w:rPr>
                <w:rFonts w:ascii="Cambria" w:cs="Cambria" w:eastAsia="Cambria" w:hAnsi="Cambria"/>
                <w:sz w:val="23"/>
                <w:szCs w:val="23"/>
                <w:b w:val="1"/>
                <w:bCs w:val="1"/>
                <w:color w:val="auto"/>
                <w:w w:val="95"/>
                <w:vertAlign w:val="superscript"/>
              </w:rPr>
              <w:t>1</w:t>
            </w:r>
          </w:p>
        </w:tc>
        <w:tc>
          <w:tcPr>
            <w:tcW w:w="12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N.A.</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restart"/>
          </w:tcPr>
          <w:p>
            <w:pPr>
              <w:ind w:left="20"/>
              <w:spacing w:after="0"/>
              <w:rPr>
                <w:sz w:val="20"/>
                <w:szCs w:val="20"/>
                <w:color w:val="auto"/>
              </w:rPr>
            </w:pPr>
            <w:r>
              <w:rPr>
                <w:rFonts w:ascii="Cambria" w:cs="Cambria" w:eastAsia="Cambria" w:hAnsi="Cambria"/>
                <w:sz w:val="18"/>
                <w:szCs w:val="18"/>
                <w:b w:val="1"/>
                <w:bCs w:val="1"/>
                <w:color w:val="auto"/>
              </w:rPr>
              <w:t>USD</w:t>
            </w:r>
          </w:p>
        </w:tc>
        <w:tc>
          <w:tcPr>
            <w:tcW w:w="162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right"/>
              <w:spacing w:after="0"/>
              <w:rPr>
                <w:sz w:val="20"/>
                <w:szCs w:val="20"/>
                <w:color w:val="auto"/>
              </w:rPr>
            </w:pPr>
            <w:r>
              <w:rPr>
                <w:rFonts w:ascii="Cambria" w:cs="Cambria" w:eastAsia="Cambria" w:hAnsi="Cambria"/>
                <w:sz w:val="18"/>
                <w:szCs w:val="18"/>
                <w:b w:val="1"/>
                <w:bCs w:val="1"/>
                <w:color w:val="auto"/>
                <w:w w:val="97"/>
              </w:rPr>
              <w:t>25,000,000.00</w:t>
            </w:r>
          </w:p>
        </w:tc>
        <w:tc>
          <w:tcPr>
            <w:tcW w:w="1660" w:type="dxa"/>
            <w:vAlign w:val="bottom"/>
            <w:tcBorders>
              <w:right w:val="single" w:sz="8" w:color="auto"/>
            </w:tcBorders>
            <w:vMerge w:val="restart"/>
          </w:tcPr>
          <w:p>
            <w:pPr>
              <w:jc w:val="right"/>
              <w:ind w:right="390"/>
              <w:spacing w:after="0"/>
              <w:rPr>
                <w:sz w:val="20"/>
                <w:szCs w:val="20"/>
                <w:color w:val="auto"/>
              </w:rPr>
            </w:pPr>
            <w:r>
              <w:rPr>
                <w:rFonts w:ascii="Cambria" w:cs="Cambria" w:eastAsia="Cambria" w:hAnsi="Cambria"/>
                <w:sz w:val="18"/>
                <w:szCs w:val="18"/>
                <w:b w:val="1"/>
                <w:bCs w:val="1"/>
                <w:color w:val="auto"/>
                <w:w w:val="97"/>
              </w:rPr>
              <w:t>25,000,000.00</w:t>
            </w: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138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820" w:type="dxa"/>
            <w:vAlign w:val="bottom"/>
            <w:tcBorders>
              <w:right w:val="single" w:sz="8" w:color="auto"/>
            </w:tcBorders>
            <w:vMerge w:val="continue"/>
          </w:tcPr>
          <w:p>
            <w:pPr>
              <w:spacing w:after="0"/>
              <w:rPr>
                <w:sz w:val="13"/>
                <w:szCs w:val="13"/>
                <w:color w:val="auto"/>
              </w:rPr>
            </w:pPr>
          </w:p>
        </w:tc>
        <w:tc>
          <w:tcPr>
            <w:tcW w:w="920" w:type="dxa"/>
            <w:vAlign w:val="bottom"/>
            <w:tcBorders>
              <w:right w:val="single" w:sz="8" w:color="auto"/>
            </w:tcBorders>
            <w:vMerge w:val="continue"/>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THE SCOTTS</w:t>
            </w:r>
          </w:p>
        </w:tc>
        <w:tc>
          <w:tcPr>
            <w:tcW w:w="13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30-SEP-</w:t>
            </w:r>
          </w:p>
        </w:tc>
        <w:tc>
          <w:tcPr>
            <w:tcW w:w="92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MIRACLE-GRO</w:t>
            </w:r>
          </w:p>
        </w:tc>
        <w:tc>
          <w:tcPr>
            <w:tcW w:w="1380" w:type="dxa"/>
            <w:vAlign w:val="bottom"/>
            <w:tcBorders>
              <w:right w:val="single" w:sz="8" w:color="auto"/>
            </w:tcBorders>
            <w:vMerge w:val="restart"/>
          </w:tcPr>
          <w:p>
            <w:pPr>
              <w:ind w:left="20"/>
              <w:spacing w:after="0" w:line="203" w:lineRule="exact"/>
              <w:rPr>
                <w:sz w:val="20"/>
                <w:szCs w:val="20"/>
                <w:color w:val="auto"/>
              </w:rPr>
            </w:pPr>
            <w:r>
              <w:rPr>
                <w:rFonts w:ascii="Cambria" w:cs="Cambria" w:eastAsia="Cambria" w:hAnsi="Cambria"/>
                <w:sz w:val="18"/>
                <w:szCs w:val="18"/>
                <w:b w:val="1"/>
                <w:bCs w:val="1"/>
                <w:color w:val="auto"/>
              </w:rPr>
              <w:t>68196938</w:t>
            </w:r>
          </w:p>
        </w:tc>
        <w:tc>
          <w:tcPr>
            <w:tcW w:w="17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N.A.</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restart"/>
          </w:tcPr>
          <w:p>
            <w:pPr>
              <w:ind w:left="20"/>
              <w:spacing w:after="0"/>
              <w:rPr>
                <w:sz w:val="20"/>
                <w:szCs w:val="20"/>
                <w:color w:val="auto"/>
              </w:rPr>
            </w:pPr>
            <w:r>
              <w:rPr>
                <w:rFonts w:ascii="Cambria" w:cs="Cambria" w:eastAsia="Cambria" w:hAnsi="Cambria"/>
                <w:sz w:val="18"/>
                <w:szCs w:val="18"/>
                <w:b w:val="1"/>
                <w:bCs w:val="1"/>
                <w:color w:val="auto"/>
              </w:rPr>
              <w:t>USD</w:t>
            </w:r>
          </w:p>
        </w:tc>
        <w:tc>
          <w:tcPr>
            <w:tcW w:w="1620" w:type="dxa"/>
            <w:vAlign w:val="bottom"/>
            <w:tcBorders>
              <w:right w:val="single" w:sz="8" w:color="auto"/>
            </w:tcBorders>
            <w:vMerge w:val="restart"/>
          </w:tcPr>
          <w:p>
            <w:pPr>
              <w:jc w:val="right"/>
              <w:ind w:right="210"/>
              <w:spacing w:after="0"/>
              <w:rPr>
                <w:sz w:val="20"/>
                <w:szCs w:val="20"/>
                <w:color w:val="auto"/>
              </w:rPr>
            </w:pPr>
            <w:r>
              <w:rPr>
                <w:rFonts w:ascii="Cambria" w:cs="Cambria" w:eastAsia="Cambria" w:hAnsi="Cambria"/>
                <w:sz w:val="18"/>
                <w:szCs w:val="18"/>
                <w:b w:val="1"/>
                <w:bCs w:val="1"/>
                <w:color w:val="auto"/>
                <w:w w:val="95"/>
              </w:rPr>
              <w:t>25,000,000.00*</w:t>
            </w:r>
            <w:r>
              <w:rPr>
                <w:rFonts w:ascii="Cambria" w:cs="Cambria" w:eastAsia="Cambria" w:hAnsi="Cambria"/>
                <w:sz w:val="23"/>
                <w:szCs w:val="23"/>
                <w:b w:val="1"/>
                <w:bCs w:val="1"/>
                <w:color w:val="auto"/>
                <w:w w:val="95"/>
                <w:vertAlign w:val="superscript"/>
              </w:rPr>
              <w:t>2</w:t>
            </w:r>
          </w:p>
        </w:tc>
        <w:tc>
          <w:tcPr>
            <w:tcW w:w="1220" w:type="dxa"/>
            <w:vAlign w:val="bottom"/>
            <w:tcBorders>
              <w:right w:val="single" w:sz="8" w:color="auto"/>
            </w:tcBorders>
            <w:vMerge w:val="restart"/>
          </w:tcPr>
          <w:p>
            <w:pPr>
              <w:jc w:val="right"/>
              <w:spacing w:after="0"/>
              <w:rPr>
                <w:sz w:val="20"/>
                <w:szCs w:val="20"/>
                <w:color w:val="auto"/>
              </w:rPr>
            </w:pPr>
            <w:r>
              <w:rPr>
                <w:rFonts w:ascii="Cambria" w:cs="Cambria" w:eastAsia="Cambria" w:hAnsi="Cambria"/>
                <w:sz w:val="18"/>
                <w:szCs w:val="18"/>
                <w:b w:val="1"/>
                <w:bCs w:val="1"/>
                <w:color w:val="auto"/>
                <w:w w:val="97"/>
              </w:rPr>
              <w:t>25,000,000.00</w:t>
            </w:r>
          </w:p>
        </w:tc>
        <w:tc>
          <w:tcPr>
            <w:tcW w:w="1660" w:type="dxa"/>
            <w:vAlign w:val="bottom"/>
            <w:tcBorders>
              <w:right w:val="single" w:sz="8" w:color="auto"/>
            </w:tcBorders>
            <w:vMerge w:val="restart"/>
          </w:tcPr>
          <w:p>
            <w:pPr>
              <w:jc w:val="right"/>
              <w:ind w:right="390"/>
              <w:spacing w:after="0"/>
              <w:rPr>
                <w:sz w:val="20"/>
                <w:szCs w:val="20"/>
                <w:color w:val="auto"/>
              </w:rPr>
            </w:pPr>
            <w:r>
              <w:rPr>
                <w:rFonts w:ascii="Cambria" w:cs="Cambria" w:eastAsia="Cambria" w:hAnsi="Cambria"/>
                <w:sz w:val="18"/>
                <w:szCs w:val="18"/>
                <w:b w:val="1"/>
                <w:bCs w:val="1"/>
                <w:color w:val="auto"/>
                <w:w w:val="97"/>
              </w:rPr>
              <w:t>25,000,000.00</w:t>
            </w:r>
          </w:p>
        </w:tc>
        <w:tc>
          <w:tcPr>
            <w:tcW w:w="0" w:type="dxa"/>
            <w:vAlign w:val="bottom"/>
          </w:tcPr>
          <w:p>
            <w:pPr>
              <w:spacing w:after="0"/>
              <w:rPr>
                <w:sz w:val="1"/>
                <w:szCs w:val="1"/>
                <w:color w:val="auto"/>
              </w:rPr>
            </w:pPr>
          </w:p>
        </w:tc>
      </w:tr>
      <w:tr>
        <w:trPr>
          <w:trHeight w:val="180"/>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138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6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40" w:type="dxa"/>
            <w:vAlign w:val="bottom"/>
            <w:tcBorders>
              <w:left w:val="single" w:sz="8" w:color="auto"/>
              <w:right w:val="single" w:sz="8" w:color="auto"/>
            </w:tcBorders>
            <w:vMerge w:val="continue"/>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THE SCOTTS</w:t>
            </w:r>
          </w:p>
        </w:tc>
        <w:tc>
          <w:tcPr>
            <w:tcW w:w="13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27-OCT-</w:t>
            </w:r>
          </w:p>
        </w:tc>
        <w:tc>
          <w:tcPr>
            <w:tcW w:w="92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MIRACLE-GRO</w:t>
            </w:r>
          </w:p>
        </w:tc>
        <w:tc>
          <w:tcPr>
            <w:tcW w:w="1380" w:type="dxa"/>
            <w:vAlign w:val="bottom"/>
            <w:tcBorders>
              <w:right w:val="single" w:sz="8" w:color="auto"/>
            </w:tcBorders>
            <w:vMerge w:val="restart"/>
          </w:tcPr>
          <w:p>
            <w:pPr>
              <w:ind w:left="20"/>
              <w:spacing w:after="0" w:line="203" w:lineRule="exact"/>
              <w:rPr>
                <w:sz w:val="20"/>
                <w:szCs w:val="20"/>
                <w:color w:val="auto"/>
              </w:rPr>
            </w:pPr>
            <w:r>
              <w:rPr>
                <w:rFonts w:ascii="Cambria" w:cs="Cambria" w:eastAsia="Cambria" w:hAnsi="Cambria"/>
                <w:sz w:val="18"/>
                <w:szCs w:val="18"/>
                <w:b w:val="1"/>
                <w:bCs w:val="1"/>
                <w:color w:val="auto"/>
              </w:rPr>
              <w:t>009395915</w:t>
            </w:r>
          </w:p>
        </w:tc>
        <w:tc>
          <w:tcPr>
            <w:tcW w:w="17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N.A.</w:t>
            </w:r>
          </w:p>
        </w:tc>
        <w:tc>
          <w:tcPr>
            <w:tcW w:w="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right w:val="single" w:sz="8" w:color="auto"/>
            </w:tcBorders>
            <w:vMerge w:val="restart"/>
          </w:tcPr>
          <w:p>
            <w:pPr>
              <w:ind w:left="20"/>
              <w:spacing w:after="0"/>
              <w:rPr>
                <w:sz w:val="20"/>
                <w:szCs w:val="20"/>
                <w:color w:val="auto"/>
              </w:rPr>
            </w:pPr>
            <w:r>
              <w:rPr>
                <w:rFonts w:ascii="Cambria" w:cs="Cambria" w:eastAsia="Cambria" w:hAnsi="Cambria"/>
                <w:sz w:val="18"/>
                <w:szCs w:val="18"/>
                <w:b w:val="1"/>
                <w:bCs w:val="1"/>
                <w:color w:val="auto"/>
              </w:rPr>
              <w:t>USD</w:t>
            </w:r>
          </w:p>
        </w:tc>
        <w:tc>
          <w:tcPr>
            <w:tcW w:w="1620" w:type="dxa"/>
            <w:vAlign w:val="bottom"/>
            <w:tcBorders>
              <w:right w:val="single" w:sz="8" w:color="auto"/>
            </w:tcBorders>
            <w:vMerge w:val="restart"/>
          </w:tcPr>
          <w:p>
            <w:pPr>
              <w:jc w:val="right"/>
              <w:ind w:right="210"/>
              <w:spacing w:after="0"/>
              <w:rPr>
                <w:sz w:val="20"/>
                <w:szCs w:val="20"/>
                <w:color w:val="auto"/>
              </w:rPr>
            </w:pPr>
            <w:r>
              <w:rPr>
                <w:rFonts w:ascii="Cambria" w:cs="Cambria" w:eastAsia="Cambria" w:hAnsi="Cambria"/>
                <w:sz w:val="18"/>
                <w:szCs w:val="18"/>
                <w:b w:val="1"/>
                <w:bCs w:val="1"/>
                <w:color w:val="auto"/>
                <w:w w:val="95"/>
              </w:rPr>
              <w:t>25,000,000.00*</w:t>
            </w:r>
            <w:r>
              <w:rPr>
                <w:rFonts w:ascii="Cambria" w:cs="Cambria" w:eastAsia="Cambria" w:hAnsi="Cambria"/>
                <w:sz w:val="23"/>
                <w:szCs w:val="23"/>
                <w:b w:val="1"/>
                <w:bCs w:val="1"/>
                <w:color w:val="auto"/>
                <w:w w:val="95"/>
                <w:vertAlign w:val="superscript"/>
              </w:rPr>
              <w:t>3</w:t>
            </w:r>
          </w:p>
        </w:tc>
        <w:tc>
          <w:tcPr>
            <w:tcW w:w="1220" w:type="dxa"/>
            <w:vAlign w:val="bottom"/>
            <w:tcBorders>
              <w:right w:val="single" w:sz="8" w:color="auto"/>
            </w:tcBorders>
            <w:vMerge w:val="restart"/>
          </w:tcPr>
          <w:p>
            <w:pPr>
              <w:jc w:val="right"/>
              <w:spacing w:after="0"/>
              <w:rPr>
                <w:sz w:val="20"/>
                <w:szCs w:val="20"/>
                <w:color w:val="auto"/>
              </w:rPr>
            </w:pPr>
            <w:r>
              <w:rPr>
                <w:rFonts w:ascii="Cambria" w:cs="Cambria" w:eastAsia="Cambria" w:hAnsi="Cambria"/>
                <w:sz w:val="18"/>
                <w:szCs w:val="18"/>
                <w:b w:val="1"/>
                <w:bCs w:val="1"/>
                <w:color w:val="auto"/>
                <w:w w:val="97"/>
              </w:rPr>
              <w:t>25,000,000.00</w:t>
            </w:r>
          </w:p>
        </w:tc>
        <w:tc>
          <w:tcPr>
            <w:tcW w:w="1660" w:type="dxa"/>
            <w:vAlign w:val="bottom"/>
            <w:tcBorders>
              <w:right w:val="single" w:sz="8" w:color="auto"/>
            </w:tcBorders>
            <w:vMerge w:val="restart"/>
          </w:tcPr>
          <w:p>
            <w:pPr>
              <w:jc w:val="right"/>
              <w:ind w:right="390"/>
              <w:spacing w:after="0"/>
              <w:rPr>
                <w:sz w:val="20"/>
                <w:szCs w:val="20"/>
                <w:color w:val="auto"/>
              </w:rPr>
            </w:pPr>
            <w:r>
              <w:rPr>
                <w:rFonts w:ascii="Cambria" w:cs="Cambria" w:eastAsia="Cambria" w:hAnsi="Cambria"/>
                <w:sz w:val="18"/>
                <w:szCs w:val="18"/>
                <w:b w:val="1"/>
                <w:bCs w:val="1"/>
                <w:color w:val="auto"/>
                <w:w w:val="97"/>
              </w:rPr>
              <w:t>25,000,000.00</w:t>
            </w:r>
          </w:p>
        </w:tc>
        <w:tc>
          <w:tcPr>
            <w:tcW w:w="0" w:type="dxa"/>
            <w:vAlign w:val="bottom"/>
          </w:tcPr>
          <w:p>
            <w:pPr>
              <w:spacing w:after="0"/>
              <w:rPr>
                <w:sz w:val="1"/>
                <w:szCs w:val="1"/>
                <w:color w:val="auto"/>
              </w:rPr>
            </w:pPr>
          </w:p>
        </w:tc>
      </w:tr>
      <w:tr>
        <w:trPr>
          <w:trHeight w:val="180"/>
        </w:trPr>
        <w:tc>
          <w:tcPr>
            <w:tcW w:w="1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138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6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40" w:type="dxa"/>
            <w:vAlign w:val="bottom"/>
            <w:tcBorders>
              <w:left w:val="single" w:sz="8" w:color="auto"/>
              <w:right w:val="single" w:sz="8" w:color="auto"/>
            </w:tcBorders>
            <w:vMerge w:val="continue"/>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be reduced to $12.5M.</w:t>
      </w:r>
    </w:p>
    <w:p>
      <w:pPr>
        <w:spacing w:after="0"/>
        <w:rPr>
          <w:sz w:val="20"/>
          <w:szCs w:val="20"/>
          <w:color w:val="auto"/>
        </w:rPr>
      </w:pPr>
      <w:r>
        <w:rPr>
          <w:rFonts w:ascii="Times New Roman" w:cs="Times New Roman" w:eastAsia="Times New Roman" w:hAnsi="Times New Roman"/>
          <w:sz w:val="18"/>
          <w:szCs w:val="18"/>
          <w:color w:val="auto"/>
        </w:rPr>
        <w:t>2 To be reduced to $12.5M.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be reduced to $12.5M.</w:t>
      </w:r>
    </w:p>
    <w:p>
      <w:pPr>
        <w:sectPr>
          <w:pgSz w:w="11900" w:h="16838" w:orient="portrait"/>
          <w:cols w:equalWidth="0" w:num="1">
            <w:col w:w="10880"/>
          </w:cols>
          <w:pgMar w:left="320" w:top="1440" w:right="699" w:bottom="1440" w:gutter="0" w:footer="0" w:header="0"/>
        </w:sectPr>
      </w:pPr>
    </w:p>
    <w:bookmarkStart w:id="161" w:name="page162"/>
    <w:bookmarkEnd w:id="161"/>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3.05</w:t>
      </w:r>
    </w:p>
    <w:p>
      <w:pPr>
        <w:spacing w:after="0" w:line="2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Litigation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39"/>
          </w:cols>
          <w:pgMar w:left="320" w:top="1418"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86"/>
        </w:trPr>
        <w:tc>
          <w:tcPr>
            <w:tcW w:w="4540" w:type="dxa"/>
            <w:vAlign w:val="bottom"/>
          </w:tcPr>
          <w:p>
            <w:pPr>
              <w:spacing w:after="0"/>
              <w:rPr>
                <w:sz w:val="24"/>
                <w:szCs w:val="24"/>
                <w:color w:val="auto"/>
              </w:rPr>
            </w:pPr>
          </w:p>
        </w:tc>
        <w:tc>
          <w:tcPr>
            <w:tcW w:w="6700" w:type="dxa"/>
            <w:vAlign w:val="bottom"/>
            <w:gridSpan w:val="3"/>
          </w:tcPr>
          <w:p>
            <w:pPr>
              <w:jc w:val="center"/>
              <w:ind w:right="4426"/>
              <w:spacing w:after="0"/>
              <w:rPr>
                <w:sz w:val="20"/>
                <w:szCs w:val="20"/>
                <w:color w:val="auto"/>
              </w:rPr>
            </w:pPr>
            <w:r>
              <w:rPr>
                <w:rFonts w:ascii="Times New Roman" w:cs="Times New Roman" w:eastAsia="Times New Roman" w:hAnsi="Times New Roman"/>
                <w:sz w:val="22"/>
                <w:szCs w:val="22"/>
                <w:b w:val="1"/>
                <w:bCs w:val="1"/>
                <w:color w:val="auto"/>
                <w:w w:val="98"/>
              </w:rPr>
              <w:t>Schedule 3.08</w:t>
            </w:r>
          </w:p>
        </w:tc>
        <w:tc>
          <w:tcPr>
            <w:tcW w:w="0" w:type="dxa"/>
            <w:vAlign w:val="bottom"/>
          </w:tcPr>
          <w:p>
            <w:pPr>
              <w:spacing w:after="0"/>
              <w:rPr>
                <w:sz w:val="1"/>
                <w:szCs w:val="1"/>
                <w:color w:val="auto"/>
              </w:rPr>
            </w:pPr>
          </w:p>
        </w:tc>
      </w:tr>
      <w:tr>
        <w:trPr>
          <w:trHeight w:val="553"/>
        </w:trPr>
        <w:tc>
          <w:tcPr>
            <w:tcW w:w="4540" w:type="dxa"/>
            <w:vAlign w:val="bottom"/>
          </w:tcPr>
          <w:p>
            <w:pPr>
              <w:spacing w:after="0"/>
              <w:rPr>
                <w:sz w:val="24"/>
                <w:szCs w:val="24"/>
                <w:color w:val="auto"/>
              </w:rPr>
            </w:pPr>
          </w:p>
        </w:tc>
        <w:tc>
          <w:tcPr>
            <w:tcW w:w="6700" w:type="dxa"/>
            <w:vAlign w:val="bottom"/>
            <w:gridSpan w:val="3"/>
          </w:tcPr>
          <w:p>
            <w:pPr>
              <w:jc w:val="center"/>
              <w:ind w:right="4446"/>
              <w:spacing w:after="0"/>
              <w:rPr>
                <w:sz w:val="20"/>
                <w:szCs w:val="20"/>
                <w:color w:val="auto"/>
              </w:rPr>
            </w:pPr>
            <w:r>
              <w:rPr>
                <w:rFonts w:ascii="Times New Roman" w:cs="Times New Roman" w:eastAsia="Times New Roman" w:hAnsi="Times New Roman"/>
                <w:sz w:val="22"/>
                <w:szCs w:val="22"/>
                <w:b w:val="1"/>
                <w:bCs w:val="1"/>
                <w:color w:val="auto"/>
                <w:w w:val="97"/>
              </w:rPr>
              <w:t>Subsidiaries</w:t>
            </w:r>
          </w:p>
        </w:tc>
        <w:tc>
          <w:tcPr>
            <w:tcW w:w="0" w:type="dxa"/>
            <w:vAlign w:val="bottom"/>
          </w:tcPr>
          <w:p>
            <w:pPr>
              <w:spacing w:after="0"/>
              <w:rPr>
                <w:sz w:val="1"/>
                <w:szCs w:val="1"/>
                <w:color w:val="auto"/>
              </w:rPr>
            </w:pPr>
          </w:p>
        </w:tc>
      </w:tr>
      <w:tr>
        <w:trPr>
          <w:trHeight w:val="366"/>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JURISDICTION OF</w:t>
            </w:r>
          </w:p>
        </w:tc>
        <w:tc>
          <w:tcPr>
            <w:tcW w:w="0" w:type="dxa"/>
            <w:vAlign w:val="bottom"/>
          </w:tcPr>
          <w:p>
            <w:pPr>
              <w:spacing w:after="0"/>
              <w:rPr>
                <w:sz w:val="1"/>
                <w:szCs w:val="1"/>
                <w:color w:val="auto"/>
              </w:rPr>
            </w:pPr>
          </w:p>
        </w:tc>
      </w:tr>
      <w:tr>
        <w:trPr>
          <w:trHeight w:val="257"/>
        </w:trPr>
        <w:tc>
          <w:tcPr>
            <w:tcW w:w="4540" w:type="dxa"/>
            <w:vAlign w:val="bottom"/>
            <w:tcBorders>
              <w:bottom w:val="single" w:sz="8" w:color="auto"/>
            </w:tcBorders>
            <w:vMerge w:val="continue"/>
          </w:tcPr>
          <w:p>
            <w:pPr>
              <w:spacing w:after="0"/>
              <w:rPr>
                <w:sz w:val="22"/>
                <w:szCs w:val="22"/>
                <w:color w:val="auto"/>
              </w:rPr>
            </w:pPr>
          </w:p>
        </w:tc>
        <w:tc>
          <w:tcPr>
            <w:tcW w:w="372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b w:val="1"/>
                <w:bCs w:val="1"/>
                <w:color w:val="auto"/>
              </w:rPr>
              <w:t>FORMATION</w:t>
            </w: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Scotts Company LLC</w:t>
            </w:r>
          </w:p>
        </w:tc>
        <w:tc>
          <w:tcPr>
            <w:tcW w:w="3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Agrolux Canada Limited</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 Canada Limited</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 Gardening II B.V.</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HGCI LLC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Hyponex Corporation</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3"/>
        </w:trPr>
        <w:tc>
          <w:tcPr>
            <w:tcW w:w="454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Miracle-Gro Tecnologia &amp; Servicios, S de R.L. de C.V.</w:t>
            </w:r>
            <w:r>
              <w:rPr>
                <w:rFonts w:ascii="Times New Roman" w:cs="Times New Roman" w:eastAsia="Times New Roman" w:hAnsi="Times New Roman"/>
                <w:sz w:val="23"/>
                <w:szCs w:val="23"/>
                <w:color w:val="auto"/>
                <w:vertAlign w:val="superscript"/>
              </w:rPr>
              <w:t>4</w:t>
            </w:r>
          </w:p>
        </w:tc>
        <w:tc>
          <w:tcPr>
            <w:tcW w:w="3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 McLellan Company</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Scotts Canada Ltd.</w:t>
            </w:r>
          </w:p>
        </w:tc>
        <w:tc>
          <w:tcPr>
            <w:tcW w:w="3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30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Scotts de Mexico SA de CV</w:t>
            </w:r>
            <w:r>
              <w:rPr>
                <w:rFonts w:ascii="Times New Roman" w:cs="Times New Roman" w:eastAsia="Times New Roman" w:hAnsi="Times New Roman"/>
                <w:sz w:val="23"/>
                <w:szCs w:val="23"/>
                <w:color w:val="auto"/>
                <w:vertAlign w:val="superscript"/>
              </w:rPr>
              <w:t>5</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56"/>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Manufacturing Company</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Oregon Research Station LLC</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Products Co.</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8"/>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Professional Products Co.</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322"/>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Servicios, S.A. de C.V.</w:t>
            </w:r>
            <w:r>
              <w:rPr>
                <w:rFonts w:ascii="Times New Roman" w:cs="Times New Roman" w:eastAsia="Times New Roman" w:hAnsi="Times New Roman"/>
                <w:sz w:val="25"/>
                <w:szCs w:val="25"/>
                <w:color w:val="auto"/>
                <w:vertAlign w:val="superscript"/>
              </w:rPr>
              <w:t>6</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Mexico</w:t>
            </w:r>
          </w:p>
        </w:tc>
        <w:tc>
          <w:tcPr>
            <w:tcW w:w="0" w:type="dxa"/>
            <w:vAlign w:val="bottom"/>
          </w:tcPr>
          <w:p>
            <w:pPr>
              <w:spacing w:after="0"/>
              <w:rPr>
                <w:sz w:val="1"/>
                <w:szCs w:val="1"/>
                <w:color w:val="auto"/>
              </w:rPr>
            </w:pPr>
          </w:p>
        </w:tc>
      </w:tr>
      <w:tr>
        <w:trPr>
          <w:trHeight w:val="256"/>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Sierra (China) Co., Ltd.</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Temecula Operations, LLC</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256"/>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Scotts-Sierra Investments LLC</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SMG Gardening (UK) Limited</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256"/>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SMG Germany GmbH</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Germany</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SMG Growing Media LLC</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6"/>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SMGM LLC</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Swiss Farms Products, Inc.</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258"/>
        </w:trPr>
        <w:tc>
          <w:tcPr>
            <w:tcW w:w="45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Hawthorne Gardening Company LLC</w:t>
            </w: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366"/>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Scotts Miracle-Gro Foundation</w:t>
            </w:r>
            <w:r>
              <w:rPr>
                <w:rFonts w:ascii="Times New Roman" w:cs="Times New Roman" w:eastAsia="Times New Roman" w:hAnsi="Times New Roman"/>
                <w:sz w:val="25"/>
                <w:szCs w:val="25"/>
                <w:color w:val="auto"/>
                <w:vertAlign w:val="superscript"/>
              </w:rPr>
              <w:t>7</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417"/>
        </w:trPr>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________________________</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40" w:hanging="114"/>
        <w:spacing w:after="0" w:line="233" w:lineRule="auto"/>
        <w:tabs>
          <w:tab w:leader="none" w:pos="140" w:val="left"/>
        </w:tabs>
        <w:numPr>
          <w:ilvl w:val="0"/>
          <w:numId w:val="1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Scotts Professional Products Co. owns 50% and Scotts Products Co. owns 50%.</w:t>
      </w:r>
    </w:p>
    <w:p>
      <w:pPr>
        <w:spacing w:after="0" w:line="39" w:lineRule="exact"/>
        <w:rPr>
          <w:sz w:val="20"/>
          <w:szCs w:val="20"/>
          <w:color w:val="auto"/>
        </w:rPr>
      </w:pPr>
    </w:p>
    <w:p>
      <w:pPr>
        <w:ind w:left="140" w:hanging="114"/>
        <w:spacing w:after="0"/>
        <w:tabs>
          <w:tab w:leader="none" w:pos="140" w:val="left"/>
        </w:tabs>
        <w:numPr>
          <w:ilvl w:val="0"/>
          <w:numId w:val="1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The Scotts Company LLC owns 0.5% and Scotts-Sierra Investments LLC owns the remaining 99.5%.</w:t>
      </w:r>
    </w:p>
    <w:p>
      <w:pPr>
        <w:spacing w:after="0" w:line="87" w:lineRule="exact"/>
        <w:rPr>
          <w:sz w:val="20"/>
          <w:szCs w:val="20"/>
          <w:color w:val="auto"/>
        </w:rPr>
      </w:pPr>
    </w:p>
    <w:p>
      <w:pPr>
        <w:ind w:left="120" w:hanging="94"/>
        <w:spacing w:after="0"/>
        <w:tabs>
          <w:tab w:leader="none" w:pos="120" w:val="left"/>
        </w:tabs>
        <w:numPr>
          <w:ilvl w:val="0"/>
          <w:numId w:val="1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Professional Products Co. owns 50% and Scotts Products Co. owns 50%.</w:t>
      </w:r>
    </w:p>
    <w:p>
      <w:pPr>
        <w:spacing w:after="0" w:line="68" w:lineRule="exact"/>
        <w:rPr>
          <w:rFonts w:ascii="Times New Roman" w:cs="Times New Roman" w:eastAsia="Times New Roman" w:hAnsi="Times New Roman"/>
          <w:sz w:val="23"/>
          <w:szCs w:val="23"/>
          <w:color w:val="auto"/>
          <w:vertAlign w:val="superscript"/>
        </w:rPr>
      </w:pPr>
    </w:p>
    <w:p>
      <w:pPr>
        <w:ind w:left="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 xml:space="preserve"> The Scotts Miracle-Gro Foundation is an Ohio corporation with 501(c)(3) status.</w:t>
      </w:r>
    </w:p>
    <w:p>
      <w:pPr>
        <w:sectPr>
          <w:pgSz w:w="11900" w:h="16838" w:orient="portrait"/>
          <w:cols w:equalWidth="0" w:num="1">
            <w:col w:w="11240"/>
          </w:cols>
          <w:pgMar w:left="320" w:top="1094" w:right="339" w:bottom="1440" w:gutter="0" w:footer="0" w:header="0"/>
        </w:sectPr>
      </w:pPr>
    </w:p>
    <w:bookmarkStart w:id="163" w:name="page164"/>
    <w:bookmarkEnd w:id="163"/>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3.17</w:t>
      </w:r>
    </w:p>
    <w:p>
      <w:pPr>
        <w:spacing w:after="0" w:line="247"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b w:val="1"/>
          <w:bCs w:val="1"/>
          <w:color w:val="auto"/>
        </w:rPr>
        <w:t>Environmental Matters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39"/>
          </w:cols>
          <w:pgMar w:left="320" w:top="1418" w:right="1440" w:bottom="1440" w:gutter="0" w:footer="0" w:header="0"/>
        </w:sectPr>
      </w:pPr>
    </w:p>
    <w:bookmarkStart w:id="164" w:name="page165"/>
    <w:bookmarkEnd w:id="164"/>
    <w:p>
      <w:pPr>
        <w:ind w:left="4860"/>
        <w:spacing w:after="0"/>
        <w:rPr>
          <w:sz w:val="20"/>
          <w:szCs w:val="20"/>
          <w:color w:val="auto"/>
        </w:rPr>
      </w:pPr>
      <w:r>
        <w:rPr>
          <w:rFonts w:ascii="Times New Roman" w:cs="Times New Roman" w:eastAsia="Times New Roman" w:hAnsi="Times New Roman"/>
          <w:sz w:val="22"/>
          <w:szCs w:val="22"/>
          <w:b w:val="1"/>
          <w:bCs w:val="1"/>
          <w:color w:val="auto"/>
        </w:rPr>
        <w:t>Schedule 3.19(ii)</w:t>
      </w:r>
    </w:p>
    <w:p>
      <w:pPr>
        <w:spacing w:after="0" w:line="24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Certain Filings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Scotts Miracle-Gro Company, an Ohio corporation (UCC-1)</w:t>
      </w:r>
    </w:p>
    <w:p>
      <w:pPr>
        <w:spacing w:after="0" w:line="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Ohio Secretary of State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Scotts Company LLC, an Ohio limited liability company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Ohio Secretary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Scotts Manufacturing Company, a Delaware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Delaware Department of State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OMS Investments, Inc., a Delaware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Delaware Department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Scotts-Sierra Investments LLC, a Delaware limited liability company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Delaware Department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Miracle-Gro Lawn Products, Inc., a New York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New York Department of State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Hyponex Corporation, a Delaware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Delaware Department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Scotts Products Co., an Ohio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Ohio Secretary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Scotts Professional Products Co., an Ohio corporation (UCC-1)</w:t>
      </w:r>
    </w:p>
    <w:p>
      <w:pPr>
        <w:spacing w:after="0" w:line="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Ohio Secretary of State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Swiss Farms Products, Inc., a Delaware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Delaware Department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Scotts Temecula Operations, LLC, a Delaware limited liability company (UCC-1)</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Delaware Department of State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Sanford Scientific, Inc., a New York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New York Department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SMG Growing Media LLC, an Ohio limited liability company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Ohio Secretary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Rod McLellan Company, a California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California Secretary of State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SMGM LLC, an Ohio limited liability company (UCC-1)</w:t>
      </w:r>
    </w:p>
    <w:p>
      <w:pPr>
        <w:sectPr>
          <w:pgSz w:w="11900" w:h="16838" w:orient="portrait"/>
          <w:cols w:equalWidth="0" w:num="1">
            <w:col w:w="10139"/>
          </w:cols>
          <w:pgMar w:left="320" w:top="1418" w:right="1440" w:bottom="1440" w:gutter="0" w:footer="0" w:header="0"/>
        </w:sectPr>
      </w:pPr>
    </w:p>
    <w:bookmarkStart w:id="165" w:name="page166"/>
    <w:bookmarkEnd w:id="165"/>
    <w:p>
      <w:pPr>
        <w:ind w:left="280"/>
        <w:spacing w:after="0"/>
        <w:rPr>
          <w:sz w:val="20"/>
          <w:szCs w:val="20"/>
          <w:color w:val="auto"/>
        </w:rPr>
      </w:pPr>
      <w:r>
        <w:rPr>
          <w:rFonts w:ascii="Times New Roman" w:cs="Times New Roman" w:eastAsia="Times New Roman" w:hAnsi="Times New Roman"/>
          <w:sz w:val="22"/>
          <w:szCs w:val="22"/>
          <w:color w:val="auto"/>
        </w:rPr>
        <w:t>Ohio Secretary of State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Hawthorne Hydroponics LLC, a Delaware limited liability company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Delaware Department of State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The Hawthorne Gardening Company LLC, a Delaware limited liability company (UCC-1)</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Delaware Department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GenSource, Inc., an Ohio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Ohio Secretary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HGCI LLC, a Nevada limited liability company (UCC-1)</w:t>
      </w:r>
    </w:p>
    <w:p>
      <w:pPr>
        <w:spacing w:after="0" w:line="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Nevada Secretary of State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Scotts Live Goods Holdings, Inc., an Ohio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Ohio Secretary of State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Aerogrow International, Inc., a Nevada corporation (UCC-1)</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Nevada Secretary of State</w:t>
      </w:r>
    </w:p>
    <w:p>
      <w:pPr>
        <w:sectPr>
          <w:pgSz w:w="11900" w:h="16838" w:orient="portrait"/>
          <w:cols w:equalWidth="0" w:num="1">
            <w:col w:w="10139"/>
          </w:cols>
          <w:pgMar w:left="320" w:top="1422" w:right="1440" w:bottom="1440" w:gutter="0" w:footer="0" w:header="0"/>
        </w:sectPr>
      </w:pPr>
    </w:p>
    <w:bookmarkStart w:id="166" w:name="page167"/>
    <w:bookmarkEnd w:id="16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3.19(iii)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Perfection of Foreign Stock Pledges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Items listed below:</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640" w:type="dxa"/>
            <w:vAlign w:val="bottom"/>
            <w:tcBorders>
              <w:top w:val="single" w:sz="8" w:color="auto"/>
              <w:left w:val="single" w:sz="8" w:color="auto"/>
              <w:right w:val="single" w:sz="8" w:color="auto"/>
            </w:tcBorders>
            <w:gridSpan w:val="3"/>
          </w:tcPr>
          <w:p>
            <w:pPr>
              <w:ind w:left="2420"/>
              <w:spacing w:after="0" w:line="202"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2540" w:type="dxa"/>
            <w:vAlign w:val="bottom"/>
            <w:tcBorders>
              <w:top w:val="single" w:sz="8" w:color="auto"/>
            </w:tcBorders>
          </w:tcPr>
          <w:p>
            <w:pPr>
              <w:spacing w:after="0"/>
              <w:rPr>
                <w:sz w:val="17"/>
                <w:szCs w:val="17"/>
                <w:color w:val="auto"/>
              </w:rPr>
            </w:pPr>
          </w:p>
        </w:tc>
        <w:tc>
          <w:tcPr>
            <w:tcW w:w="3080" w:type="dxa"/>
            <w:vAlign w:val="bottom"/>
            <w:tcBorders>
              <w:top w:val="single" w:sz="8" w:color="auto"/>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Action</w:t>
            </w:r>
          </w:p>
        </w:tc>
      </w:tr>
      <w:tr>
        <w:trPr>
          <w:trHeight w:val="21"/>
        </w:trPr>
        <w:tc>
          <w:tcPr>
            <w:tcW w:w="242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r>
      <w:tr>
        <w:trPr>
          <w:trHeight w:val="178"/>
        </w:trPr>
        <w:tc>
          <w:tcPr>
            <w:tcW w:w="5640" w:type="dxa"/>
            <w:vAlign w:val="bottom"/>
            <w:tcBorders>
              <w:left w:val="single" w:sz="8" w:color="auto"/>
              <w:right w:val="single" w:sz="8" w:color="auto"/>
            </w:tcBorders>
            <w:gridSpan w:val="3"/>
          </w:tcPr>
          <w:p>
            <w:pPr>
              <w:ind w:left="40"/>
              <w:spacing w:after="0" w:line="177" w:lineRule="exact"/>
              <w:rPr>
                <w:sz w:val="20"/>
                <w:szCs w:val="20"/>
                <w:color w:val="auto"/>
              </w:rPr>
            </w:pPr>
            <w:r>
              <w:rPr>
                <w:rFonts w:ascii="Times New Roman" w:cs="Times New Roman" w:eastAsia="Times New Roman" w:hAnsi="Times New Roman"/>
                <w:sz w:val="18"/>
                <w:szCs w:val="18"/>
                <w:color w:val="auto"/>
              </w:rPr>
              <w:t>Third Amended and Restated Pledge of Shares Agreement, granted by</w:t>
            </w:r>
          </w:p>
        </w:tc>
        <w:tc>
          <w:tcPr>
            <w:tcW w:w="5620" w:type="dxa"/>
            <w:vAlign w:val="bottom"/>
            <w:tcBorders>
              <w:right w:val="single" w:sz="8" w:color="auto"/>
            </w:tcBorders>
            <w:gridSpan w:val="3"/>
          </w:tcPr>
          <w:p>
            <w:pPr>
              <w:ind w:left="20"/>
              <w:spacing w:after="0" w:line="177" w:lineRule="exact"/>
              <w:rPr>
                <w:sz w:val="20"/>
                <w:szCs w:val="20"/>
                <w:color w:val="auto"/>
              </w:rPr>
            </w:pPr>
            <w:r>
              <w:rPr>
                <w:rFonts w:ascii="Times New Roman" w:cs="Times New Roman" w:eastAsia="Times New Roman" w:hAnsi="Times New Roman"/>
                <w:sz w:val="18"/>
                <w:szCs w:val="18"/>
                <w:color w:val="auto"/>
              </w:rPr>
              <w:t>Financing statement to effect registration under the PPSA (Complete).</w:t>
            </w:r>
          </w:p>
        </w:tc>
      </w:tr>
      <w:tr>
        <w:trPr>
          <w:trHeight w:val="180"/>
        </w:trPr>
        <w:tc>
          <w:tcPr>
            <w:tcW w:w="5640" w:type="dxa"/>
            <w:vAlign w:val="bottom"/>
            <w:tcBorders>
              <w:left w:val="single" w:sz="8" w:color="auto"/>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Scotts-Sierra Investments LLC over 65% of the shares of Scotts Canada</w:t>
            </w:r>
          </w:p>
        </w:tc>
        <w:tc>
          <w:tcPr>
            <w:tcW w:w="2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r>
      <w:tr>
        <w:trPr>
          <w:trHeight w:val="230"/>
        </w:trPr>
        <w:tc>
          <w:tcPr>
            <w:tcW w:w="56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Limited (Canada)</w:t>
            </w:r>
          </w:p>
        </w:tc>
        <w:tc>
          <w:tcPr>
            <w:tcW w:w="2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Uniform Commercial Code filings described on Schedule 3.19(ii).</w:t>
      </w:r>
    </w:p>
    <w:p>
      <w:pPr>
        <w:sectPr>
          <w:pgSz w:w="11900" w:h="16838" w:orient="portrait"/>
          <w:cols w:equalWidth="0" w:num="1">
            <w:col w:w="11260"/>
          </w:cols>
          <w:pgMar w:left="320" w:top="1418" w:right="319" w:bottom="1440" w:gutter="0" w:footer="0" w:header="0"/>
        </w:sectPr>
      </w:pPr>
    </w:p>
    <w:bookmarkStart w:id="167" w:name="page168"/>
    <w:bookmarkEnd w:id="167"/>
    <w:p>
      <w:pPr>
        <w:jc w:val="center"/>
        <w:ind w:right="-788"/>
        <w:spacing w:after="0"/>
        <w:rPr>
          <w:sz w:val="20"/>
          <w:szCs w:val="20"/>
          <w:color w:val="auto"/>
        </w:rPr>
      </w:pPr>
      <w:r>
        <w:rPr>
          <w:rFonts w:ascii="Times New Roman" w:cs="Times New Roman" w:eastAsia="Times New Roman" w:hAnsi="Times New Roman"/>
          <w:sz w:val="22"/>
          <w:szCs w:val="22"/>
          <w:b w:val="1"/>
          <w:bCs w:val="1"/>
          <w:color w:val="auto"/>
        </w:rPr>
        <w:t>Schedule 5.13</w:t>
      </w:r>
    </w:p>
    <w:p>
      <w:pPr>
        <w:spacing w:after="0" w:line="247"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2"/>
          <w:szCs w:val="22"/>
          <w:b w:val="1"/>
          <w:bCs w:val="1"/>
          <w:color w:val="auto"/>
        </w:rPr>
        <w:t>Foreign Pledge Agreements</w:t>
      </w:r>
    </w:p>
    <w:p>
      <w:pPr>
        <w:spacing w:after="0" w:line="251" w:lineRule="exact"/>
        <w:rPr>
          <w:sz w:val="20"/>
          <w:szCs w:val="20"/>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Scotts Canada Limited</w:t>
      </w:r>
    </w:p>
    <w:p>
      <w:pPr>
        <w:sectPr>
          <w:pgSz w:w="11900" w:h="16838" w:orient="portrait"/>
          <w:cols w:equalWidth="0" w:num="1">
            <w:col w:w="9807"/>
          </w:cols>
          <w:pgMar w:left="652" w:top="1418" w:right="1440" w:bottom="1440" w:gutter="0" w:footer="0" w:header="0"/>
        </w:sectPr>
      </w:pPr>
    </w:p>
    <w:bookmarkStart w:id="168" w:name="page169"/>
    <w:bookmarkEnd w:id="16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6.01</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Existing Liens and Encumbrances</w:t>
      </w:r>
    </w:p>
    <w:p>
      <w:pPr>
        <w:spacing w:after="0" w:line="251" w:lineRule="exact"/>
        <w:rPr>
          <w:sz w:val="20"/>
          <w:szCs w:val="20"/>
          <w:color w:val="auto"/>
        </w:rPr>
      </w:pPr>
    </w:p>
    <w:p>
      <w:pPr>
        <w:ind w:left="660" w:right="440" w:hanging="328"/>
        <w:spacing w:after="0" w:line="284" w:lineRule="auto"/>
        <w:tabs>
          <w:tab w:leader="none" w:pos="6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UCC filings described in the lien searches dated October 23, 2025 provided to the Administrative Agent by CogencyGlobal.</w:t>
      </w:r>
    </w:p>
    <w:p>
      <w:pPr>
        <w:spacing w:after="0" w:line="170" w:lineRule="exact"/>
        <w:rPr>
          <w:rFonts w:ascii="Times New Roman" w:cs="Times New Roman" w:eastAsia="Times New Roman" w:hAnsi="Times New Roman"/>
          <w:sz w:val="22"/>
          <w:szCs w:val="22"/>
          <w:color w:val="auto"/>
        </w:rPr>
      </w:pPr>
    </w:p>
    <w:p>
      <w:pPr>
        <w:ind w:left="660" w:right="420" w:hanging="328"/>
        <w:spacing w:after="0" w:line="271" w:lineRule="auto"/>
        <w:tabs>
          <w:tab w:leader="none" w:pos="6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PPSA filings described in the lien searches dated October 30, 2025 and November 10, 2025 provided to the Administrative Agent.</w:t>
      </w:r>
    </w:p>
    <w:p>
      <w:pPr>
        <w:spacing w:after="0" w:line="1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tax liens:</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DEBTOR</w:t>
            </w:r>
          </w:p>
        </w:tc>
        <w:tc>
          <w:tcPr>
            <w:tcW w:w="28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SECURED PARTY</w:t>
            </w:r>
          </w:p>
        </w:tc>
        <w:tc>
          <w:tcPr>
            <w:tcW w:w="19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FILING JUR.</w:t>
            </w:r>
          </w:p>
        </w:tc>
        <w:tc>
          <w:tcPr>
            <w:tcW w:w="20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FILING #</w:t>
            </w:r>
          </w:p>
        </w:tc>
        <w:tc>
          <w:tcPr>
            <w:tcW w:w="21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28"/>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Hyponex Corporation</w:t>
            </w:r>
          </w:p>
        </w:tc>
        <w:tc>
          <w:tcPr>
            <w:tcW w:w="2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OR1036 PG0439 400443</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6-22-2013</w:t>
            </w:r>
          </w:p>
        </w:tc>
        <w:tc>
          <w:tcPr>
            <w:tcW w:w="0" w:type="dxa"/>
            <w:vAlign w:val="bottom"/>
          </w:tcPr>
          <w:p>
            <w:pPr>
              <w:spacing w:after="0"/>
              <w:rPr>
                <w:sz w:val="1"/>
                <w:szCs w:val="1"/>
                <w:color w:val="auto"/>
              </w:rPr>
            </w:pPr>
          </w:p>
        </w:tc>
      </w:tr>
      <w:tr>
        <w:trPr>
          <w:trHeight w:val="171"/>
        </w:trPr>
        <w:tc>
          <w:tcPr>
            <w:tcW w:w="2300" w:type="dxa"/>
            <w:vAlign w:val="bottom"/>
            <w:tcBorders>
              <w:left w:val="single" w:sz="8" w:color="auto"/>
              <w:right w:val="single" w:sz="8" w:color="auto"/>
            </w:tcBorders>
            <w:vMerge w:val="continue"/>
          </w:tcPr>
          <w:p>
            <w:pPr>
              <w:spacing w:after="0"/>
              <w:rPr>
                <w:sz w:val="14"/>
                <w:szCs w:val="14"/>
                <w:color w:val="auto"/>
              </w:rPr>
            </w:pPr>
          </w:p>
        </w:tc>
        <w:tc>
          <w:tcPr>
            <w:tcW w:w="284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($209.48 Balance)</w:t>
            </w: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Hyponex Corporation</w:t>
            </w:r>
          </w:p>
        </w:tc>
        <w:tc>
          <w:tcPr>
            <w:tcW w:w="2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201608240006782</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08/24/2016</w:t>
            </w:r>
          </w:p>
        </w:tc>
        <w:tc>
          <w:tcPr>
            <w:tcW w:w="0" w:type="dxa"/>
            <w:vAlign w:val="bottom"/>
          </w:tcPr>
          <w:p>
            <w:pPr>
              <w:spacing w:after="0"/>
              <w:rPr>
                <w:sz w:val="1"/>
                <w:szCs w:val="1"/>
                <w:color w:val="auto"/>
              </w:rPr>
            </w:pPr>
          </w:p>
        </w:tc>
      </w:tr>
      <w:tr>
        <w:trPr>
          <w:trHeight w:val="171"/>
        </w:trPr>
        <w:tc>
          <w:tcPr>
            <w:tcW w:w="2300" w:type="dxa"/>
            <w:vAlign w:val="bottom"/>
            <w:tcBorders>
              <w:left w:val="single" w:sz="8" w:color="auto"/>
              <w:right w:val="single" w:sz="8" w:color="auto"/>
            </w:tcBorders>
            <w:vMerge w:val="continue"/>
          </w:tcPr>
          <w:p>
            <w:pPr>
              <w:spacing w:after="0"/>
              <w:rPr>
                <w:sz w:val="14"/>
                <w:szCs w:val="14"/>
                <w:color w:val="auto"/>
              </w:rPr>
            </w:pPr>
          </w:p>
        </w:tc>
        <w:tc>
          <w:tcPr>
            <w:tcW w:w="284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($103.62 Balance)</w:t>
            </w: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Hyponex Corporation</w:t>
            </w:r>
          </w:p>
        </w:tc>
        <w:tc>
          <w:tcPr>
            <w:tcW w:w="2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OR681 PG787</w:t>
            </w: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5-06-2006</w:t>
            </w:r>
          </w:p>
        </w:tc>
        <w:tc>
          <w:tcPr>
            <w:tcW w:w="0" w:type="dxa"/>
            <w:vAlign w:val="bottom"/>
          </w:tcPr>
          <w:p>
            <w:pPr>
              <w:spacing w:after="0"/>
              <w:rPr>
                <w:sz w:val="1"/>
                <w:szCs w:val="1"/>
                <w:color w:val="auto"/>
              </w:rPr>
            </w:pPr>
          </w:p>
        </w:tc>
      </w:tr>
      <w:tr>
        <w:trPr>
          <w:trHeight w:val="140"/>
        </w:trPr>
        <w:tc>
          <w:tcPr>
            <w:tcW w:w="2300" w:type="dxa"/>
            <w:vAlign w:val="bottom"/>
            <w:tcBorders>
              <w:left w:val="single" w:sz="8" w:color="auto"/>
              <w:right w:val="single" w:sz="8" w:color="auto"/>
            </w:tcBorders>
            <w:vMerge w:val="continue"/>
          </w:tcPr>
          <w:p>
            <w:pPr>
              <w:spacing w:after="0"/>
              <w:rPr>
                <w:sz w:val="12"/>
                <w:szCs w:val="12"/>
                <w:color w:val="auto"/>
              </w:rPr>
            </w:pPr>
          </w:p>
        </w:tc>
        <w:tc>
          <w:tcPr>
            <w:tcW w:w="284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328591</w:t>
            </w:r>
          </w:p>
        </w:tc>
        <w:tc>
          <w:tcPr>
            <w:tcW w:w="2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300" w:type="dxa"/>
            <w:vAlign w:val="bottom"/>
            <w:tcBorders>
              <w:left w:val="single" w:sz="8" w:color="auto"/>
              <w:bottom w:val="single" w:sz="8" w:color="auto"/>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right w:val="single" w:sz="8" w:color="auto"/>
            </w:tcBorders>
            <w:vMerge w:val="continue"/>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Hyponex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Taxation</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2009 CJ 1098</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12-07-2009</w:t>
            </w:r>
          </w:p>
        </w:tc>
        <w:tc>
          <w:tcPr>
            <w:tcW w:w="0" w:type="dxa"/>
            <w:vAlign w:val="bottom"/>
          </w:tcPr>
          <w:p>
            <w:pPr>
              <w:spacing w:after="0"/>
              <w:rPr>
                <w:sz w:val="1"/>
                <w:szCs w:val="1"/>
                <w:color w:val="auto"/>
              </w:rPr>
            </w:pPr>
          </w:p>
        </w:tc>
      </w:tr>
      <w:tr>
        <w:trPr>
          <w:trHeight w:val="178"/>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Hyponex Corporation</w:t>
            </w:r>
          </w:p>
        </w:tc>
        <w:tc>
          <w:tcPr>
            <w:tcW w:w="2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OR961 PG185 385942</w:t>
            </w:r>
          </w:p>
        </w:tc>
        <w:tc>
          <w:tcPr>
            <w:tcW w:w="21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4-07-2012</w:t>
            </w:r>
          </w:p>
        </w:tc>
        <w:tc>
          <w:tcPr>
            <w:tcW w:w="0" w:type="dxa"/>
            <w:vAlign w:val="bottom"/>
          </w:tcPr>
          <w:p>
            <w:pPr>
              <w:spacing w:after="0"/>
              <w:rPr>
                <w:sz w:val="1"/>
                <w:szCs w:val="1"/>
                <w:color w:val="auto"/>
              </w:rPr>
            </w:pPr>
          </w:p>
        </w:tc>
      </w:tr>
      <w:tr>
        <w:trPr>
          <w:trHeight w:val="140"/>
        </w:trPr>
        <w:tc>
          <w:tcPr>
            <w:tcW w:w="2300" w:type="dxa"/>
            <w:vAlign w:val="bottom"/>
            <w:tcBorders>
              <w:left w:val="single" w:sz="8" w:color="auto"/>
              <w:right w:val="single" w:sz="8" w:color="auto"/>
            </w:tcBorders>
            <w:vMerge w:val="continue"/>
          </w:tcPr>
          <w:p>
            <w:pPr>
              <w:spacing w:after="0"/>
              <w:rPr>
                <w:sz w:val="12"/>
                <w:szCs w:val="12"/>
                <w:color w:val="auto"/>
              </w:rPr>
            </w:pPr>
          </w:p>
        </w:tc>
        <w:tc>
          <w:tcPr>
            <w:tcW w:w="284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($0.00 Balance)</w:t>
            </w:r>
          </w:p>
        </w:tc>
        <w:tc>
          <w:tcPr>
            <w:tcW w:w="0" w:type="dxa"/>
            <w:vAlign w:val="bottom"/>
          </w:tcPr>
          <w:p>
            <w:pPr>
              <w:spacing w:after="0"/>
              <w:rPr>
                <w:sz w:val="1"/>
                <w:szCs w:val="1"/>
                <w:color w:val="auto"/>
              </w:rPr>
            </w:pPr>
          </w:p>
        </w:tc>
      </w:tr>
      <w:tr>
        <w:trPr>
          <w:trHeight w:val="95"/>
        </w:trPr>
        <w:tc>
          <w:tcPr>
            <w:tcW w:w="2300" w:type="dxa"/>
            <w:vAlign w:val="bottom"/>
            <w:tcBorders>
              <w:left w:val="single" w:sz="8" w:color="auto"/>
              <w:bottom w:val="single" w:sz="8" w:color="auto"/>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Hyponex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OR1036 PG0439 400443</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6-22-2013</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Sanford Scientific, Inc.</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OR681 PG788 328592</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5-06-2006</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 Company, LLC</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201806210004907</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6-21-2018</w:t>
            </w:r>
          </w:p>
        </w:tc>
        <w:tc>
          <w:tcPr>
            <w:tcW w:w="0" w:type="dxa"/>
            <w:vAlign w:val="bottom"/>
          </w:tcPr>
          <w:p>
            <w:pPr>
              <w:spacing w:after="0"/>
              <w:rPr>
                <w:sz w:val="1"/>
                <w:szCs w:val="1"/>
                <w:color w:val="auto"/>
              </w:rPr>
            </w:pPr>
          </w:p>
        </w:tc>
      </w:tr>
      <w:tr>
        <w:trPr>
          <w:trHeight w:val="228"/>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The Scotts Company, Inc.</w:t>
            </w:r>
          </w:p>
        </w:tc>
        <w:tc>
          <w:tcPr>
            <w:tcW w:w="2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201505220003846</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5-22-2015</w:t>
            </w:r>
          </w:p>
        </w:tc>
        <w:tc>
          <w:tcPr>
            <w:tcW w:w="0" w:type="dxa"/>
            <w:vAlign w:val="bottom"/>
          </w:tcPr>
          <w:p>
            <w:pPr>
              <w:spacing w:after="0"/>
              <w:rPr>
                <w:sz w:val="1"/>
                <w:szCs w:val="1"/>
                <w:color w:val="auto"/>
              </w:rPr>
            </w:pPr>
          </w:p>
        </w:tc>
      </w:tr>
      <w:tr>
        <w:trPr>
          <w:trHeight w:val="171"/>
        </w:trPr>
        <w:tc>
          <w:tcPr>
            <w:tcW w:w="2300" w:type="dxa"/>
            <w:vAlign w:val="bottom"/>
            <w:tcBorders>
              <w:left w:val="single" w:sz="8" w:color="auto"/>
              <w:right w:val="single" w:sz="8" w:color="auto"/>
            </w:tcBorders>
            <w:vMerge w:val="continue"/>
          </w:tcPr>
          <w:p>
            <w:pPr>
              <w:spacing w:after="0"/>
              <w:rPr>
                <w:sz w:val="14"/>
                <w:szCs w:val="14"/>
                <w:color w:val="auto"/>
              </w:rPr>
            </w:pPr>
          </w:p>
        </w:tc>
        <w:tc>
          <w:tcPr>
            <w:tcW w:w="2840" w:type="dxa"/>
            <w:vAlign w:val="bottom"/>
            <w:tcBorders>
              <w:right w:val="single" w:sz="8" w:color="auto"/>
            </w:tcBorders>
            <w:vMerge w:val="continue"/>
          </w:tcPr>
          <w:p>
            <w:pPr>
              <w:spacing w:after="0"/>
              <w:rPr>
                <w:sz w:val="14"/>
                <w:szCs w:val="14"/>
                <w:color w:val="auto"/>
              </w:rPr>
            </w:pPr>
          </w:p>
        </w:tc>
        <w:tc>
          <w:tcPr>
            <w:tcW w:w="194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($0.00 balance)</w:t>
            </w: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 Company, Inc.</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201502110001044</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2-11-2015</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 Company, Inc.</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201501120000281</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1-12-15</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 Company, Inc.</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201412040008721</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12-4-2014</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 Company, Inc.</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201404280002761</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4-28-2014</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Scotts Company, Inc.</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Dept. of Job &amp; Family Services</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 – Union County</w:t>
            </w:r>
          </w:p>
        </w:tc>
        <w:tc>
          <w:tcPr>
            <w:tcW w:w="2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OR955 PG393 384835</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3-03-2012</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18" w:right="319" w:bottom="1440" w:gutter="0" w:footer="0" w:header="0"/>
        </w:sectPr>
      </w:pPr>
    </w:p>
    <w:bookmarkStart w:id="169" w:name="page170"/>
    <w:bookmarkEnd w:id="16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6.04</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Existing Investments, Loans and Advances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8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Entity</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Fund</w:t>
            </w:r>
          </w:p>
        </w:tc>
        <w:tc>
          <w:tcPr>
            <w:tcW w:w="28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Fund Size</w:t>
            </w:r>
          </w:p>
        </w:tc>
        <w:tc>
          <w:tcPr>
            <w:tcW w:w="28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 (as of 9/30/2025)</w:t>
            </w:r>
          </w:p>
        </w:tc>
      </w:tr>
      <w:tr>
        <w:trPr>
          <w:trHeight w:val="217"/>
        </w:trPr>
        <w:tc>
          <w:tcPr>
            <w:tcW w:w="2800" w:type="dxa"/>
            <w:vAlign w:val="bottom"/>
            <w:tcBorders>
              <w:left w:val="single" w:sz="8" w:color="auto"/>
              <w:right w:val="single" w:sz="8" w:color="auto"/>
            </w:tcBorders>
          </w:tcPr>
          <w:p>
            <w:pPr>
              <w:ind w:left="40"/>
              <w:spacing w:after="0" w:line="217" w:lineRule="exact"/>
              <w:rPr>
                <w:sz w:val="20"/>
                <w:szCs w:val="20"/>
                <w:color w:val="auto"/>
              </w:rPr>
            </w:pPr>
            <w:r>
              <w:rPr>
                <w:rFonts w:ascii="Times New Roman" w:cs="Times New Roman" w:eastAsia="Times New Roman" w:hAnsi="Times New Roman"/>
                <w:sz w:val="20"/>
                <w:szCs w:val="20"/>
                <w:color w:val="auto"/>
              </w:rPr>
              <w:t>The Scotts Company</w:t>
            </w:r>
          </w:p>
        </w:tc>
        <w:tc>
          <w:tcPr>
            <w:tcW w:w="2780" w:type="dxa"/>
            <w:vAlign w:val="bottom"/>
            <w:tcBorders>
              <w:right w:val="single" w:sz="8" w:color="auto"/>
            </w:tcBorders>
          </w:tcPr>
          <w:p>
            <w:pPr>
              <w:spacing w:after="0" w:line="217" w:lineRule="exact"/>
              <w:rPr>
                <w:sz w:val="20"/>
                <w:szCs w:val="20"/>
                <w:color w:val="auto"/>
              </w:rPr>
            </w:pPr>
            <w:r>
              <w:rPr>
                <w:rFonts w:ascii="Times New Roman" w:cs="Times New Roman" w:eastAsia="Times New Roman" w:hAnsi="Times New Roman"/>
                <w:sz w:val="20"/>
                <w:szCs w:val="20"/>
                <w:color w:val="auto"/>
              </w:rPr>
              <w:t>Invesco Govt &amp; Agency Port-</w:t>
            </w:r>
          </w:p>
        </w:tc>
        <w:tc>
          <w:tcPr>
            <w:tcW w:w="2800" w:type="dxa"/>
            <w:vAlign w:val="bottom"/>
            <w:tcBorders>
              <w:right w:val="single" w:sz="8" w:color="auto"/>
            </w:tcBorders>
          </w:tcPr>
          <w:p>
            <w:pPr>
              <w:ind w:left="20"/>
              <w:spacing w:after="0" w:line="217" w:lineRule="exact"/>
              <w:rPr>
                <w:sz w:val="20"/>
                <w:szCs w:val="20"/>
                <w:color w:val="auto"/>
              </w:rPr>
            </w:pPr>
            <w:r>
              <w:rPr>
                <w:rFonts w:ascii="Times New Roman" w:cs="Times New Roman" w:eastAsia="Times New Roman" w:hAnsi="Times New Roman"/>
                <w:sz w:val="20"/>
                <w:szCs w:val="20"/>
                <w:color w:val="auto"/>
              </w:rPr>
              <w:t>USD 72B</w:t>
            </w:r>
          </w:p>
        </w:tc>
        <w:tc>
          <w:tcPr>
            <w:tcW w:w="2800" w:type="dxa"/>
            <w:vAlign w:val="bottom"/>
            <w:tcBorders>
              <w:right w:val="single" w:sz="8" w:color="auto"/>
            </w:tcBorders>
          </w:tcPr>
          <w:p>
            <w:pPr>
              <w:ind w:left="20"/>
              <w:spacing w:after="0" w:line="217" w:lineRule="exact"/>
              <w:rPr>
                <w:sz w:val="20"/>
                <w:szCs w:val="20"/>
                <w:color w:val="auto"/>
              </w:rPr>
            </w:pPr>
            <w:r>
              <w:rPr>
                <w:rFonts w:ascii="Times New Roman" w:cs="Times New Roman" w:eastAsia="Times New Roman" w:hAnsi="Times New Roman"/>
                <w:sz w:val="20"/>
                <w:szCs w:val="20"/>
                <w:color w:val="auto"/>
              </w:rPr>
              <w:t>1,000,000</w:t>
            </w:r>
          </w:p>
        </w:tc>
      </w:tr>
      <w:tr>
        <w:trPr>
          <w:trHeight w:val="258"/>
        </w:trPr>
        <w:tc>
          <w:tcPr>
            <w:tcW w:w="2800" w:type="dxa"/>
            <w:vAlign w:val="bottom"/>
            <w:tcBorders>
              <w:left w:val="single" w:sz="8" w:color="auto"/>
              <w:right w:val="single" w:sz="8" w:color="auto"/>
            </w:tcBorders>
          </w:tcPr>
          <w:p>
            <w:pPr>
              <w:spacing w:after="0"/>
              <w:rPr>
                <w:sz w:val="22"/>
                <w:szCs w:val="22"/>
                <w:color w:val="auto"/>
              </w:rPr>
            </w:pP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(AGPXX)- BOA</w:t>
            </w:r>
          </w:p>
        </w:tc>
        <w:tc>
          <w:tcPr>
            <w:tcW w:w="28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r>
      <w:tr>
        <w:trPr>
          <w:trHeight w:val="21"/>
        </w:trPr>
        <w:tc>
          <w:tcPr>
            <w:tcW w:w="2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2800" w:type="dxa"/>
            <w:vAlign w:val="bottom"/>
            <w:tcBorders>
              <w:left w:val="single" w:sz="8" w:color="auto"/>
              <w:right w:val="single" w:sz="8" w:color="auto"/>
            </w:tcBorders>
          </w:tcPr>
          <w:p>
            <w:pPr>
              <w:ind w:left="40"/>
              <w:spacing w:after="0" w:line="213" w:lineRule="exact"/>
              <w:rPr>
                <w:sz w:val="20"/>
                <w:szCs w:val="20"/>
                <w:color w:val="auto"/>
              </w:rPr>
            </w:pPr>
            <w:r>
              <w:rPr>
                <w:rFonts w:ascii="Times New Roman" w:cs="Times New Roman" w:eastAsia="Times New Roman" w:hAnsi="Times New Roman"/>
                <w:sz w:val="20"/>
                <w:szCs w:val="20"/>
                <w:color w:val="auto"/>
              </w:rPr>
              <w:t>The Scotts Company</w:t>
            </w:r>
          </w:p>
        </w:tc>
        <w:tc>
          <w:tcPr>
            <w:tcW w:w="2780" w:type="dxa"/>
            <w:vAlign w:val="bottom"/>
            <w:tcBorders>
              <w:right w:val="single" w:sz="8" w:color="auto"/>
            </w:tcBorders>
          </w:tcPr>
          <w:p>
            <w:pPr>
              <w:spacing w:after="0" w:line="213" w:lineRule="exact"/>
              <w:rPr>
                <w:sz w:val="20"/>
                <w:szCs w:val="20"/>
                <w:color w:val="auto"/>
              </w:rPr>
            </w:pPr>
            <w:r>
              <w:rPr>
                <w:rFonts w:ascii="Times New Roman" w:cs="Times New Roman" w:eastAsia="Times New Roman" w:hAnsi="Times New Roman"/>
                <w:sz w:val="20"/>
                <w:szCs w:val="20"/>
                <w:color w:val="auto"/>
              </w:rPr>
              <w:t>MS Inst Liquid Funds Govt-</w:t>
            </w:r>
          </w:p>
        </w:tc>
        <w:tc>
          <w:tcPr>
            <w:tcW w:w="2800" w:type="dxa"/>
            <w:vAlign w:val="bottom"/>
            <w:tcBorders>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USD 166.6B</w:t>
            </w:r>
          </w:p>
        </w:tc>
        <w:tc>
          <w:tcPr>
            <w:tcW w:w="2800" w:type="dxa"/>
            <w:vAlign w:val="bottom"/>
            <w:tcBorders>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1,000,000</w:t>
            </w:r>
          </w:p>
        </w:tc>
      </w:tr>
      <w:tr>
        <w:trPr>
          <w:trHeight w:val="258"/>
        </w:trPr>
        <w:tc>
          <w:tcPr>
            <w:tcW w:w="2800" w:type="dxa"/>
            <w:vAlign w:val="bottom"/>
            <w:tcBorders>
              <w:left w:val="single" w:sz="8" w:color="auto"/>
              <w:right w:val="single" w:sz="8" w:color="auto"/>
            </w:tcBorders>
          </w:tcPr>
          <w:p>
            <w:pPr>
              <w:spacing w:after="0"/>
              <w:rPr>
                <w:sz w:val="22"/>
                <w:szCs w:val="22"/>
                <w:color w:val="auto"/>
              </w:rPr>
            </w:pP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(MVRXX)</w:t>
            </w:r>
          </w:p>
        </w:tc>
        <w:tc>
          <w:tcPr>
            <w:tcW w:w="28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r>
      <w:tr>
        <w:trPr>
          <w:trHeight w:val="21"/>
        </w:trPr>
        <w:tc>
          <w:tcPr>
            <w:tcW w:w="2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6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 Scotts Company</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Citizens Bank</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10,000,000</w:t>
            </w:r>
          </w:p>
        </w:tc>
      </w:tr>
      <w:tr>
        <w:trPr>
          <w:trHeight w:val="217"/>
        </w:trPr>
        <w:tc>
          <w:tcPr>
            <w:tcW w:w="2800" w:type="dxa"/>
            <w:vAlign w:val="bottom"/>
            <w:tcBorders>
              <w:left w:val="single" w:sz="8" w:color="auto"/>
              <w:right w:val="single" w:sz="8" w:color="auto"/>
            </w:tcBorders>
          </w:tcPr>
          <w:p>
            <w:pPr>
              <w:ind w:left="40"/>
              <w:spacing w:after="0" w:line="217" w:lineRule="exact"/>
              <w:rPr>
                <w:sz w:val="20"/>
                <w:szCs w:val="20"/>
                <w:color w:val="auto"/>
              </w:rPr>
            </w:pPr>
            <w:r>
              <w:rPr>
                <w:rFonts w:ascii="Times New Roman" w:cs="Times New Roman" w:eastAsia="Times New Roman" w:hAnsi="Times New Roman"/>
                <w:sz w:val="20"/>
                <w:szCs w:val="20"/>
                <w:color w:val="auto"/>
              </w:rPr>
              <w:t>The Scotts Company</w:t>
            </w:r>
          </w:p>
        </w:tc>
        <w:tc>
          <w:tcPr>
            <w:tcW w:w="2780" w:type="dxa"/>
            <w:vAlign w:val="bottom"/>
            <w:tcBorders>
              <w:right w:val="single" w:sz="8" w:color="auto"/>
            </w:tcBorders>
          </w:tcPr>
          <w:p>
            <w:pPr>
              <w:spacing w:after="0" w:line="217" w:lineRule="exact"/>
              <w:rPr>
                <w:sz w:val="20"/>
                <w:szCs w:val="20"/>
                <w:color w:val="auto"/>
              </w:rPr>
            </w:pPr>
            <w:r>
              <w:rPr>
                <w:rFonts w:ascii="Times New Roman" w:cs="Times New Roman" w:eastAsia="Times New Roman" w:hAnsi="Times New Roman"/>
                <w:sz w:val="20"/>
                <w:szCs w:val="20"/>
                <w:color w:val="auto"/>
              </w:rPr>
              <w:t>Sumitomo Mitsui Banking</w:t>
            </w:r>
          </w:p>
        </w:tc>
        <w:tc>
          <w:tcPr>
            <w:tcW w:w="2800" w:type="dxa"/>
            <w:vAlign w:val="bottom"/>
            <w:tcBorders>
              <w:right w:val="single" w:sz="8" w:color="auto"/>
            </w:tcBorders>
          </w:tcPr>
          <w:p>
            <w:pPr>
              <w:ind w:left="20"/>
              <w:spacing w:after="0" w:line="217" w:lineRule="exact"/>
              <w:rPr>
                <w:sz w:val="20"/>
                <w:szCs w:val="20"/>
                <w:color w:val="auto"/>
              </w:rPr>
            </w:pPr>
            <w:r>
              <w:rPr>
                <w:rFonts w:ascii="Times New Roman" w:cs="Times New Roman" w:eastAsia="Times New Roman" w:hAnsi="Times New Roman"/>
                <w:sz w:val="20"/>
                <w:szCs w:val="20"/>
                <w:color w:val="auto"/>
              </w:rPr>
              <w:t>N/A</w:t>
            </w:r>
          </w:p>
        </w:tc>
        <w:tc>
          <w:tcPr>
            <w:tcW w:w="2800" w:type="dxa"/>
            <w:vAlign w:val="bottom"/>
            <w:tcBorders>
              <w:right w:val="single" w:sz="8" w:color="auto"/>
            </w:tcBorders>
          </w:tcPr>
          <w:p>
            <w:pPr>
              <w:ind w:left="20"/>
              <w:spacing w:after="0" w:line="217" w:lineRule="exact"/>
              <w:rPr>
                <w:sz w:val="20"/>
                <w:szCs w:val="20"/>
                <w:color w:val="auto"/>
              </w:rPr>
            </w:pPr>
            <w:r>
              <w:rPr>
                <w:rFonts w:ascii="Times New Roman" w:cs="Times New Roman" w:eastAsia="Times New Roman" w:hAnsi="Times New Roman"/>
                <w:sz w:val="20"/>
                <w:szCs w:val="20"/>
                <w:color w:val="auto"/>
              </w:rPr>
              <w:t>3,300,000</w:t>
            </w:r>
          </w:p>
        </w:tc>
      </w:tr>
      <w:tr>
        <w:trPr>
          <w:trHeight w:val="258"/>
        </w:trPr>
        <w:tc>
          <w:tcPr>
            <w:tcW w:w="2800" w:type="dxa"/>
            <w:vAlign w:val="bottom"/>
            <w:tcBorders>
              <w:left w:val="single" w:sz="8" w:color="auto"/>
              <w:right w:val="single" w:sz="8" w:color="auto"/>
            </w:tcBorders>
          </w:tcPr>
          <w:p>
            <w:pPr>
              <w:spacing w:after="0"/>
              <w:rPr>
                <w:sz w:val="22"/>
                <w:szCs w:val="22"/>
                <w:color w:val="auto"/>
              </w:rPr>
            </w:pP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Corporation</w:t>
            </w:r>
          </w:p>
        </w:tc>
        <w:tc>
          <w:tcPr>
            <w:tcW w:w="28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r>
      <w:tr>
        <w:trPr>
          <w:trHeight w:val="21"/>
        </w:trPr>
        <w:tc>
          <w:tcPr>
            <w:tcW w:w="2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260"/>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 Scotts Company</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PNC Bank, N.A.</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10,000,000</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 in US JVs</w:t>
      </w: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JV</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Ownership</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Joint Owner</w:t>
            </w:r>
          </w:p>
        </w:tc>
      </w:tr>
      <w:tr>
        <w:trPr>
          <w:trHeight w:val="223"/>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Bonnie Plants, LLC</w:t>
            </w:r>
          </w:p>
        </w:tc>
        <w:tc>
          <w:tcPr>
            <w:tcW w:w="2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Alabama Farmers Cooperative Inc.</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 in Non-US JVs</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JV</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Ownership</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Joint Owner</w:t>
            </w:r>
          </w:p>
        </w:tc>
      </w:tr>
      <w:tr>
        <w:trPr>
          <w:trHeight w:val="234"/>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Scotts Canada Ltd.</w:t>
            </w: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Laketon Peat Moss Inc.</w:t>
            </w:r>
          </w:p>
        </w:tc>
        <w:tc>
          <w:tcPr>
            <w:tcW w:w="2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w:t>
            </w: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Jiffy Products (N.B.) Ltd.</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Loans, Notes, and Other Extensions of Credit</w:t>
      </w: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Hawthorne Gardening II B.V.</w:t>
            </w:r>
          </w:p>
        </w:tc>
        <w:tc>
          <w:tcPr>
            <w:tcW w:w="27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AgriLight Solutions B.V.</w:t>
            </w:r>
          </w:p>
        </w:tc>
        <w:tc>
          <w:tcPr>
            <w:tcW w:w="27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30-Sep-2025</w:t>
            </w:r>
          </w:p>
        </w:tc>
        <w:tc>
          <w:tcPr>
            <w:tcW w:w="30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EUR 7,226,000</w:t>
            </w:r>
          </w:p>
        </w:tc>
      </w:tr>
    </w:tbl>
    <w:p>
      <w:pPr>
        <w:sectPr>
          <w:pgSz w:w="11900" w:h="16838" w:orient="portrait"/>
          <w:cols w:equalWidth="0" w:num="1">
            <w:col w:w="11260"/>
          </w:cols>
          <w:pgMar w:left="320" w:top="1418" w:right="319" w:bottom="1440" w:gutter="0" w:footer="0" w:header="0"/>
        </w:sectPr>
      </w:pPr>
    </w:p>
    <w:bookmarkStart w:id="170" w:name="page171"/>
    <w:bookmarkEnd w:id="170"/>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Schedule 6.05</w:t>
      </w:r>
    </w:p>
    <w:p>
      <w:pPr>
        <w:spacing w:after="0" w:line="2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Existing Indebtedness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Borrowings Outside of Credit Agreement</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Indebtedness</w:t>
            </w:r>
          </w:p>
        </w:tc>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Indebtedness</w:t>
            </w:r>
          </w:p>
        </w:tc>
        <w:tc>
          <w:tcPr>
            <w:tcW w:w="270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Property</w:t>
            </w: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w w:val="97"/>
              </w:rPr>
              <w:t>Amount of Indebtedness</w:t>
            </w:r>
          </w:p>
        </w:tc>
        <w:tc>
          <w:tcPr>
            <w:tcW w:w="0" w:type="dxa"/>
            <w:vAlign w:val="bottom"/>
          </w:tcPr>
          <w:p>
            <w:pPr>
              <w:spacing w:after="0"/>
              <w:rPr>
                <w:sz w:val="1"/>
                <w:szCs w:val="1"/>
                <w:color w:val="auto"/>
              </w:rPr>
            </w:pPr>
          </w:p>
        </w:tc>
      </w:tr>
      <w:tr>
        <w:trPr>
          <w:trHeight w:val="216"/>
        </w:trPr>
        <w:tc>
          <w:tcPr>
            <w:tcW w:w="2780" w:type="dxa"/>
            <w:vAlign w:val="bottom"/>
            <w:gridSpan w:val="2"/>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2700" w:type="dxa"/>
            <w:vAlign w:val="bottom"/>
            <w:gridSpan w:val="3"/>
          </w:tcPr>
          <w:p>
            <w:pPr>
              <w:ind w:left="360"/>
              <w:spacing w:after="0" w:line="216" w:lineRule="exact"/>
              <w:rPr>
                <w:sz w:val="20"/>
                <w:szCs w:val="20"/>
                <w:color w:val="auto"/>
              </w:rPr>
            </w:pPr>
            <w:r>
              <w:rPr>
                <w:rFonts w:ascii="Times New Roman" w:cs="Times New Roman" w:eastAsia="Times New Roman" w:hAnsi="Times New Roman"/>
                <w:sz w:val="22"/>
                <w:szCs w:val="22"/>
                <w:b w:val="1"/>
                <w:bCs w:val="1"/>
                <w:color w:val="auto"/>
              </w:rPr>
              <w:t>Encumbered</w:t>
            </w:r>
          </w:p>
        </w:tc>
        <w:tc>
          <w:tcPr>
            <w:tcW w:w="2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w w:val="96"/>
              </w:rPr>
              <w:t>Incurred By</w:t>
            </w:r>
          </w:p>
        </w:tc>
        <w:tc>
          <w:tcPr>
            <w:tcW w:w="1640" w:type="dxa"/>
            <w:vAlign w:val="bottom"/>
          </w:tcPr>
          <w:p>
            <w:pPr>
              <w:spacing w:after="0"/>
              <w:rPr>
                <w:sz w:val="19"/>
                <w:szCs w:val="19"/>
                <w:color w:val="auto"/>
              </w:rPr>
            </w:pPr>
          </w:p>
        </w:tc>
        <w:tc>
          <w:tcPr>
            <w:tcW w:w="84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w w:val="95"/>
              </w:rPr>
              <w:t>Owed To</w:t>
            </w:r>
          </w:p>
        </w:tc>
        <w:tc>
          <w:tcPr>
            <w:tcW w:w="1620" w:type="dxa"/>
            <w:vAlign w:val="bottom"/>
          </w:tcPr>
          <w:p>
            <w:pPr>
              <w:spacing w:after="0"/>
              <w:rPr>
                <w:sz w:val="19"/>
                <w:szCs w:val="19"/>
                <w:color w:val="auto"/>
              </w:rPr>
            </w:pPr>
          </w:p>
        </w:tc>
        <w:tc>
          <w:tcPr>
            <w:tcW w:w="2700" w:type="dxa"/>
            <w:vAlign w:val="bottom"/>
            <w:gridSpan w:val="3"/>
          </w:tcPr>
          <w:p>
            <w:pPr>
              <w:ind w:left="360"/>
              <w:spacing w:after="0" w:line="229" w:lineRule="exact"/>
              <w:rPr>
                <w:sz w:val="20"/>
                <w:szCs w:val="20"/>
                <w:color w:val="auto"/>
              </w:rPr>
            </w:pPr>
            <w:r>
              <w:rPr>
                <w:rFonts w:ascii="Times New Roman" w:cs="Times New Roman" w:eastAsia="Times New Roman" w:hAnsi="Times New Roman"/>
                <w:sz w:val="22"/>
                <w:szCs w:val="22"/>
                <w:b w:val="1"/>
                <w:bCs w:val="1"/>
                <w:color w:val="auto"/>
              </w:rPr>
              <w:t>(If Any)</w:t>
            </w:r>
          </w:p>
        </w:tc>
        <w:tc>
          <w:tcPr>
            <w:tcW w:w="2260" w:type="dxa"/>
            <w:vAlign w:val="bottom"/>
            <w:gridSpan w:val="3"/>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and Maturity</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16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4.000% Senior Notes</w:t>
            </w: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4"/>
                <w:szCs w:val="24"/>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USD 500,000,000</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 2031</w:t>
            </w:r>
          </w:p>
        </w:tc>
        <w:tc>
          <w:tcPr>
            <w:tcW w:w="0" w:type="dxa"/>
            <w:vAlign w:val="bottom"/>
          </w:tcPr>
          <w:p>
            <w:pPr>
              <w:spacing w:after="0"/>
              <w:rPr>
                <w:sz w:val="1"/>
                <w:szCs w:val="1"/>
                <w:color w:val="auto"/>
              </w:rPr>
            </w:pPr>
          </w:p>
        </w:tc>
      </w:tr>
      <w:tr>
        <w:trPr>
          <w:trHeight w:val="211"/>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Borrower</w:t>
            </w:r>
          </w:p>
        </w:tc>
        <w:tc>
          <w:tcPr>
            <w:tcW w:w="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USD 250,000,000</w:t>
            </w:r>
          </w:p>
        </w:tc>
        <w:tc>
          <w:tcPr>
            <w:tcW w:w="0" w:type="dxa"/>
            <w:vAlign w:val="bottom"/>
          </w:tcPr>
          <w:p>
            <w:pPr>
              <w:spacing w:after="0"/>
              <w:rPr>
                <w:sz w:val="1"/>
                <w:szCs w:val="1"/>
                <w:color w:val="auto"/>
              </w:rPr>
            </w:pPr>
          </w:p>
        </w:tc>
      </w:tr>
      <w:tr>
        <w:trPr>
          <w:trHeight w:val="234"/>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Borrower</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5.250% Senior Notes</w:t>
            </w:r>
          </w:p>
        </w:tc>
        <w:tc>
          <w:tcPr>
            <w:tcW w:w="10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15, 2026</w:t>
            </w:r>
          </w:p>
        </w:tc>
        <w:tc>
          <w:tcPr>
            <w:tcW w:w="0" w:type="dxa"/>
            <w:vAlign w:val="bottom"/>
          </w:tcPr>
          <w:p>
            <w:pPr>
              <w:spacing w:after="0"/>
              <w:rPr>
                <w:sz w:val="1"/>
                <w:szCs w:val="1"/>
                <w:color w:val="auto"/>
              </w:rPr>
            </w:pPr>
          </w:p>
        </w:tc>
      </w:tr>
      <w:tr>
        <w:trPr>
          <w:trHeight w:val="234"/>
        </w:trPr>
        <w:tc>
          <w:tcPr>
            <w:tcW w:w="278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US 400,000,000</w:t>
            </w:r>
          </w:p>
        </w:tc>
        <w:tc>
          <w:tcPr>
            <w:tcW w:w="0" w:type="dxa"/>
            <w:vAlign w:val="bottom"/>
          </w:tcPr>
          <w:p>
            <w:pPr>
              <w:spacing w:after="0"/>
              <w:rPr>
                <w:sz w:val="1"/>
                <w:szCs w:val="1"/>
                <w:color w:val="auto"/>
              </w:rPr>
            </w:pPr>
          </w:p>
        </w:tc>
      </w:tr>
      <w:tr>
        <w:trPr>
          <w:trHeight w:val="266"/>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Borrower</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4.375% Senior Notes</w:t>
            </w:r>
          </w:p>
        </w:tc>
        <w:tc>
          <w:tcPr>
            <w:tcW w:w="10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3"/>
                <w:szCs w:val="23"/>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February 1, 2032</w:t>
            </w:r>
          </w:p>
        </w:tc>
        <w:tc>
          <w:tcPr>
            <w:tcW w:w="0" w:type="dxa"/>
            <w:vAlign w:val="bottom"/>
          </w:tcPr>
          <w:p>
            <w:pPr>
              <w:spacing w:after="0"/>
              <w:rPr>
                <w:sz w:val="1"/>
                <w:szCs w:val="1"/>
                <w:color w:val="auto"/>
              </w:rPr>
            </w:pPr>
          </w:p>
        </w:tc>
      </w:tr>
      <w:tr>
        <w:trPr>
          <w:trHeight w:val="234"/>
        </w:trPr>
        <w:tc>
          <w:tcPr>
            <w:tcW w:w="278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US 450,000,000</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4.500% Senior Notes</w:t>
            </w: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October 15, 2029</w:t>
            </w:r>
          </w:p>
        </w:tc>
        <w:tc>
          <w:tcPr>
            <w:tcW w:w="0" w:type="dxa"/>
            <w:vAlign w:val="bottom"/>
          </w:tcPr>
          <w:p>
            <w:pPr>
              <w:spacing w:after="0"/>
              <w:rPr>
                <w:sz w:val="1"/>
                <w:szCs w:val="1"/>
                <w:color w:val="auto"/>
              </w:rPr>
            </w:pPr>
          </w:p>
        </w:tc>
      </w:tr>
      <w:tr>
        <w:trPr>
          <w:trHeight w:val="25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Scotts Canada Ltd.</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Toronto Dominion Bank</w:t>
            </w:r>
          </w:p>
        </w:tc>
        <w:tc>
          <w:tcPr>
            <w:tcW w:w="2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Collateral provisions of the</w:t>
            </w:r>
          </w:p>
        </w:tc>
        <w:tc>
          <w:tcPr>
            <w:tcW w:w="2260" w:type="dxa"/>
            <w:vAlign w:val="bottom"/>
            <w:gridSpan w:val="3"/>
          </w:tcPr>
          <w:p>
            <w:pPr>
              <w:spacing w:after="0"/>
              <w:rPr>
                <w:sz w:val="20"/>
                <w:szCs w:val="20"/>
                <w:color w:val="auto"/>
              </w:rPr>
            </w:pPr>
            <w:r>
              <w:rPr>
                <w:rFonts w:ascii="Times New Roman" w:cs="Times New Roman" w:eastAsia="Times New Roman" w:hAnsi="Times New Roman"/>
                <w:sz w:val="20"/>
                <w:szCs w:val="20"/>
                <w:i w:val="1"/>
                <w:iCs w:val="1"/>
                <w:color w:val="auto"/>
              </w:rPr>
              <w:t>Local Revolving Facility</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00" w:type="dxa"/>
            <w:vAlign w:val="bottom"/>
            <w:gridSpan w:val="3"/>
          </w:tcPr>
          <w:p>
            <w:pPr>
              <w:ind w:left="360"/>
              <w:spacing w:after="0" w:line="169" w:lineRule="exact"/>
              <w:rPr>
                <w:sz w:val="20"/>
                <w:szCs w:val="20"/>
                <w:color w:val="auto"/>
              </w:rPr>
            </w:pPr>
            <w:r>
              <w:rPr>
                <w:rFonts w:ascii="Times New Roman" w:cs="Times New Roman" w:eastAsia="Times New Roman" w:hAnsi="Times New Roman"/>
                <w:sz w:val="18"/>
                <w:szCs w:val="18"/>
                <w:color w:val="auto"/>
              </w:rPr>
              <w:t>Agreement pertaining to Lender</w:t>
            </w:r>
          </w:p>
        </w:tc>
        <w:tc>
          <w:tcPr>
            <w:tcW w:w="19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9"/>
                <w:szCs w:val="19"/>
                <w:color w:val="auto"/>
              </w:rPr>
              <w:t>CAD 15,000,000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Cash Management Agreements</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1418" w:right="135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6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Indebtedness (Other than Borrowings) Outside of Credit Agreement</w:t>
            </w:r>
          </w:p>
        </w:tc>
        <w:tc>
          <w:tcPr>
            <w:tcW w:w="1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tcBorders>
              <w:lef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Indebtedness</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Indebtedness</w:t>
            </w:r>
          </w:p>
        </w:tc>
        <w:tc>
          <w:tcPr>
            <w:tcW w:w="276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Property</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w w:val="97"/>
              </w:rPr>
              <w:t>Amount of Indebtedness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760" w:type="dxa"/>
            <w:vAlign w:val="bottom"/>
            <w:gridSpan w:val="3"/>
          </w:tcPr>
          <w:p>
            <w:pPr>
              <w:ind w:left="420"/>
              <w:spacing w:after="0" w:line="216" w:lineRule="exact"/>
              <w:rPr>
                <w:sz w:val="20"/>
                <w:szCs w:val="20"/>
                <w:color w:val="auto"/>
              </w:rPr>
            </w:pPr>
            <w:r>
              <w:rPr>
                <w:rFonts w:ascii="Times New Roman" w:cs="Times New Roman" w:eastAsia="Times New Roman" w:hAnsi="Times New Roman"/>
                <w:sz w:val="22"/>
                <w:szCs w:val="22"/>
                <w:b w:val="1"/>
                <w:bCs w:val="1"/>
                <w:color w:val="auto"/>
              </w:rPr>
              <w:t>Encumbered</w:t>
            </w:r>
          </w:p>
        </w:tc>
        <w:tc>
          <w:tcPr>
            <w:tcW w:w="2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w w:val="96"/>
              </w:rPr>
              <w:t>Incurred By</w:t>
            </w:r>
          </w:p>
        </w:tc>
        <w:tc>
          <w:tcPr>
            <w:tcW w:w="1640" w:type="dxa"/>
            <w:vAlign w:val="bottom"/>
          </w:tcPr>
          <w:p>
            <w:pPr>
              <w:spacing w:after="0"/>
              <w:rPr>
                <w:sz w:val="19"/>
                <w:szCs w:val="19"/>
                <w:color w:val="auto"/>
              </w:rPr>
            </w:pPr>
          </w:p>
        </w:tc>
        <w:tc>
          <w:tcPr>
            <w:tcW w:w="84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w w:val="95"/>
              </w:rPr>
              <w:t>Owed To</w:t>
            </w:r>
          </w:p>
        </w:tc>
        <w:tc>
          <w:tcPr>
            <w:tcW w:w="1560" w:type="dxa"/>
            <w:vAlign w:val="bottom"/>
          </w:tcPr>
          <w:p>
            <w:pPr>
              <w:spacing w:after="0"/>
              <w:rPr>
                <w:sz w:val="19"/>
                <w:szCs w:val="19"/>
                <w:color w:val="auto"/>
              </w:rPr>
            </w:pPr>
          </w:p>
        </w:tc>
        <w:tc>
          <w:tcPr>
            <w:tcW w:w="2760" w:type="dxa"/>
            <w:vAlign w:val="bottom"/>
            <w:gridSpan w:val="3"/>
          </w:tcPr>
          <w:p>
            <w:pPr>
              <w:ind w:left="420"/>
              <w:spacing w:after="0" w:line="229" w:lineRule="exact"/>
              <w:rPr>
                <w:sz w:val="20"/>
                <w:szCs w:val="20"/>
                <w:color w:val="auto"/>
              </w:rPr>
            </w:pPr>
            <w:r>
              <w:rPr>
                <w:rFonts w:ascii="Times New Roman" w:cs="Times New Roman" w:eastAsia="Times New Roman" w:hAnsi="Times New Roman"/>
                <w:sz w:val="22"/>
                <w:szCs w:val="22"/>
                <w:b w:val="1"/>
                <w:bCs w:val="1"/>
                <w:color w:val="auto"/>
              </w:rPr>
              <w:t>(If Any)</w:t>
            </w:r>
          </w:p>
        </w:tc>
        <w:tc>
          <w:tcPr>
            <w:tcW w:w="226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and Maturity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SMG Gardening (UK) Ltd</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Caprev Doncaster Limited</w:t>
            </w:r>
          </w:p>
        </w:tc>
        <w:tc>
          <w:tcPr>
            <w:tcW w:w="27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Guarantee of real estate lessee</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GBP 3,073,519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760" w:type="dxa"/>
            <w:vAlign w:val="bottom"/>
            <w:gridSpan w:val="3"/>
          </w:tcPr>
          <w:p>
            <w:pPr>
              <w:ind w:left="420"/>
              <w:spacing w:after="0" w:line="184" w:lineRule="exact"/>
              <w:rPr>
                <w:sz w:val="20"/>
                <w:szCs w:val="20"/>
                <w:color w:val="auto"/>
              </w:rPr>
            </w:pPr>
            <w:r>
              <w:rPr>
                <w:rFonts w:ascii="Times New Roman" w:cs="Times New Roman" w:eastAsia="Times New Roman" w:hAnsi="Times New Roman"/>
                <w:sz w:val="18"/>
                <w:szCs w:val="18"/>
                <w:color w:val="auto"/>
              </w:rPr>
              <w:t>obligations of Evergreen</w:t>
            </w:r>
          </w:p>
        </w:tc>
        <w:tc>
          <w:tcPr>
            <w:tcW w:w="22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Garden Care UK Ltd</w:t>
            </w: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Hyponex Corporation</w:t>
            </w:r>
          </w:p>
        </w:tc>
        <w:tc>
          <w:tcPr>
            <w:tcW w:w="24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12273 Brown Avenue LLC</w:t>
            </w:r>
          </w:p>
        </w:tc>
        <w:tc>
          <w:tcPr>
            <w:tcW w:w="2760" w:type="dxa"/>
            <w:vAlign w:val="bottom"/>
            <w:gridSpan w:val="3"/>
          </w:tcPr>
          <w:p>
            <w:pPr>
              <w:ind w:left="420"/>
              <w:spacing w:after="0" w:line="181" w:lineRule="exact"/>
              <w:rPr>
                <w:sz w:val="20"/>
                <w:szCs w:val="20"/>
                <w:color w:val="auto"/>
              </w:rPr>
            </w:pPr>
            <w:r>
              <w:rPr>
                <w:rFonts w:ascii="Times New Roman" w:cs="Times New Roman" w:eastAsia="Times New Roman" w:hAnsi="Times New Roman"/>
                <w:sz w:val="18"/>
                <w:szCs w:val="18"/>
                <w:color w:val="auto"/>
              </w:rPr>
              <w:t>12273 Brown Avenue,</w:t>
            </w:r>
          </w:p>
        </w:tc>
        <w:tc>
          <w:tcPr>
            <w:tcW w:w="22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USD 14,733,442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Riverside, CA 92509</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27, 2034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Finance Lease Obligations</w:t>
      </w:r>
    </w:p>
    <w:p>
      <w:pPr>
        <w:spacing w:after="0" w:line="233" w:lineRule="exact"/>
        <w:rPr>
          <w:sz w:val="20"/>
          <w:szCs w:val="20"/>
          <w:color w:val="auto"/>
        </w:rPr>
      </w:pPr>
    </w:p>
    <w:p>
      <w:pPr>
        <w:ind w:left="660" w:hanging="328"/>
        <w:spacing w:after="0" w:line="261" w:lineRule="auto"/>
        <w:tabs>
          <w:tab w:leader="none" w:pos="6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Finance Lease Obligations as set forth in (i) the UCC filings described in the lien searches dated October 23, 2025 provided to the Administrative Agent by CogencyGlobal or (ii) the PPSA filings described in the lien searches dated October 30, 2025 and November 10, 2025 provided to the Administrative Agent.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Scotiabank Bilateral LCs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2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Applicant</w:t>
            </w:r>
          </w:p>
        </w:tc>
        <w:tc>
          <w:tcPr>
            <w:tcW w:w="17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Issuing Bank</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Beneficiary</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Expiry</w:t>
            </w:r>
          </w:p>
        </w:tc>
        <w:tc>
          <w:tcPr>
            <w:tcW w:w="12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LC Currency</w:t>
            </w:r>
          </w:p>
        </w:tc>
        <w:tc>
          <w:tcPr>
            <w:tcW w:w="1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Face Amount in</w:t>
            </w:r>
          </w:p>
        </w:tc>
        <w:tc>
          <w:tcPr>
            <w:tcW w:w="1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right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Date</w:t>
            </w:r>
          </w:p>
        </w:tc>
        <w:tc>
          <w:tcPr>
            <w:tcW w:w="12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LC Currency</w:t>
            </w:r>
          </w:p>
        </w:tc>
        <w:tc>
          <w:tcPr>
            <w:tcW w:w="15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Amount in LC</w:t>
            </w:r>
          </w:p>
        </w:tc>
        <w:tc>
          <w:tcPr>
            <w:tcW w:w="148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Amount in USD</w:t>
            </w:r>
          </w:p>
        </w:tc>
        <w:tc>
          <w:tcPr>
            <w:tcW w:w="0" w:type="dxa"/>
            <w:vAlign w:val="bottom"/>
          </w:tcPr>
          <w:p>
            <w:pPr>
              <w:spacing w:after="0"/>
              <w:rPr>
                <w:sz w:val="1"/>
                <w:szCs w:val="1"/>
                <w:color w:val="auto"/>
              </w:rPr>
            </w:pPr>
          </w:p>
        </w:tc>
      </w:tr>
      <w:tr>
        <w:trPr>
          <w:trHeight w:val="238"/>
        </w:trPr>
        <w:tc>
          <w:tcPr>
            <w:tcW w:w="12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The Scotts</w:t>
            </w:r>
          </w:p>
        </w:tc>
        <w:tc>
          <w:tcPr>
            <w:tcW w:w="17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ACE American</w:t>
            </w: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19-May-</w:t>
            </w:r>
          </w:p>
        </w:tc>
        <w:tc>
          <w:tcPr>
            <w:tcW w:w="12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2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Miracle-Gro</w:t>
            </w:r>
          </w:p>
        </w:tc>
        <w:tc>
          <w:tcPr>
            <w:tcW w:w="17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OSB77431NYA</w:t>
            </w:r>
          </w:p>
        </w:tc>
        <w:tc>
          <w:tcPr>
            <w:tcW w:w="13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Insurance</w:t>
            </w:r>
          </w:p>
        </w:tc>
        <w:tc>
          <w:tcPr>
            <w:tcW w:w="9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USD</w:t>
            </w:r>
          </w:p>
        </w:tc>
        <w:tc>
          <w:tcPr>
            <w:tcW w:w="1460" w:type="dxa"/>
            <w:vAlign w:val="bottom"/>
            <w:tcBorders>
              <w:right w:val="single" w:sz="8" w:color="auto"/>
            </w:tcBorders>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799,984.00</w:t>
            </w:r>
          </w:p>
        </w:tc>
        <w:tc>
          <w:tcPr>
            <w:tcW w:w="1500" w:type="dxa"/>
            <w:vAlign w:val="bottom"/>
            <w:tcBorders>
              <w:right w:val="single" w:sz="8" w:color="auto"/>
            </w:tcBorders>
            <w:vMerge w:val="restart"/>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799,984.00</w:t>
            </w:r>
          </w:p>
        </w:tc>
        <w:tc>
          <w:tcPr>
            <w:tcW w:w="1480" w:type="dxa"/>
            <w:vAlign w:val="bottom"/>
            <w:tcBorders>
              <w:right w:val="single" w:sz="8" w:color="auto"/>
            </w:tcBorders>
            <w:vMerge w:val="restart"/>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799,984.00</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17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92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The Scotts</w:t>
            </w:r>
          </w:p>
        </w:tc>
        <w:tc>
          <w:tcPr>
            <w:tcW w:w="17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National Union</w:t>
            </w: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15-Nov-</w:t>
            </w:r>
          </w:p>
        </w:tc>
        <w:tc>
          <w:tcPr>
            <w:tcW w:w="12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2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Miracle-Gro</w:t>
            </w:r>
          </w:p>
        </w:tc>
        <w:tc>
          <w:tcPr>
            <w:tcW w:w="17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OSB78888NYA</w:t>
            </w:r>
          </w:p>
        </w:tc>
        <w:tc>
          <w:tcPr>
            <w:tcW w:w="13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USD</w:t>
            </w:r>
          </w:p>
        </w:tc>
        <w:tc>
          <w:tcPr>
            <w:tcW w:w="1460" w:type="dxa"/>
            <w:vAlign w:val="bottom"/>
            <w:tcBorders>
              <w:right w:val="single" w:sz="8" w:color="auto"/>
            </w:tcBorders>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9,312,000.00</w:t>
            </w:r>
          </w:p>
        </w:tc>
        <w:tc>
          <w:tcPr>
            <w:tcW w:w="1500" w:type="dxa"/>
            <w:vAlign w:val="bottom"/>
            <w:tcBorders>
              <w:right w:val="single" w:sz="8" w:color="auto"/>
            </w:tcBorders>
            <w:vMerge w:val="restart"/>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9,312,000.00</w:t>
            </w:r>
          </w:p>
        </w:tc>
        <w:tc>
          <w:tcPr>
            <w:tcW w:w="1480" w:type="dxa"/>
            <w:vAlign w:val="bottom"/>
            <w:tcBorders>
              <w:right w:val="single" w:sz="8" w:color="auto"/>
            </w:tcBorders>
            <w:vMerge w:val="restart"/>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9,312,000.00</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Fire Insurance</w:t>
            </w: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17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1399" w:right="619" w:bottom="1440" w:gutter="0" w:footer="0" w:header="0"/>
        </w:sectPr>
      </w:pPr>
    </w:p>
    <w:bookmarkStart w:id="172" w:name="page173"/>
    <w:bookmarkEnd w:id="172"/>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6.09</w:t>
      </w:r>
    </w:p>
    <w:p>
      <w:pPr>
        <w:spacing w:after="0" w:line="247"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22"/>
          <w:szCs w:val="22"/>
          <w:b w:val="1"/>
          <w:bCs w:val="1"/>
          <w:color w:val="auto"/>
        </w:rPr>
        <w:t>Sale and Leaseback</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39"/>
          </w:cols>
          <w:pgMar w:left="320" w:top="1418"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This Assignment and Assumption (the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Assumption</w:t>
      </w:r>
      <w:r>
        <w:rPr>
          <w:rFonts w:ascii="Times New Roman" w:cs="Times New Roman" w:eastAsia="Times New Roman" w:hAnsi="Times New Roman"/>
          <w:sz w:val="20"/>
          <w:szCs w:val="20"/>
          <w:color w:val="auto"/>
        </w:rPr>
        <w:t>”) is dated as of the Effective Date set forth below and is entered into by and between [</w:t>
      </w:r>
      <w:r>
        <w:rPr>
          <w:rFonts w:ascii="Times New Roman" w:cs="Times New Roman" w:eastAsia="Times New Roman" w:hAnsi="Times New Roman"/>
          <w:sz w:val="20"/>
          <w:szCs w:val="20"/>
          <w:i w:val="1"/>
          <w:iCs w:val="1"/>
          <w:color w:val="auto"/>
        </w:rPr>
        <w:t>Insert name of Assignor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Insert name of Assignee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Capitalized terms used but not defined herein shall have the meanings given to them in the Credit Agreement identified below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20"/>
          <w:szCs w:val="20"/>
          <w:u w:val="single" w:color="auto"/>
          <w:color w:val="auto"/>
        </w:rPr>
        <w:t>Assigned Loan Interest</w:t>
      </w:r>
      <w:r>
        <w:rPr>
          <w:rFonts w:ascii="Times New Roman" w:cs="Times New Roman" w:eastAsia="Times New Roman" w:hAnsi="Times New Roman"/>
          <w:sz w:val="20"/>
          <w:szCs w:val="20"/>
          <w:color w:val="auto"/>
        </w:rPr>
        <w:t>”). Such sale and assignment is without recourse to the Assignor and, except as expressly provided in this Assignment and Assumption, without representation or warranty by the Assignor.</w:t>
      </w:r>
    </w:p>
    <w:p>
      <w:pPr>
        <w:spacing w:after="0" w:line="220" w:lineRule="exact"/>
        <w:rPr>
          <w:sz w:val="20"/>
          <w:szCs w:val="20"/>
          <w:color w:val="auto"/>
        </w:rPr>
      </w:pPr>
    </w:p>
    <w:p>
      <w:pPr>
        <w:ind w:left="880" w:hanging="854"/>
        <w:spacing w:after="0"/>
        <w:tabs>
          <w:tab w:leader="none" w:pos="8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Assignor:</w:t>
      </w:r>
    </w:p>
    <w:p>
      <w:pPr>
        <w:spacing w:after="0" w:line="175" w:lineRule="exact"/>
        <w:rPr>
          <w:rFonts w:ascii="Times New Roman" w:cs="Times New Roman" w:eastAsia="Times New Roman" w:hAnsi="Times New Roman"/>
          <w:sz w:val="20"/>
          <w:szCs w:val="20"/>
          <w:color w:val="auto"/>
        </w:rPr>
      </w:pPr>
    </w:p>
    <w:p>
      <w:pPr>
        <w:ind w:left="880" w:hanging="854"/>
        <w:spacing w:after="0"/>
        <w:tabs>
          <w:tab w:leader="none" w:pos="8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22860</wp:posOffset>
            </wp:positionV>
            <wp:extent cx="4989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-233680</wp:posOffset>
            </wp:positionV>
            <wp:extent cx="4989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[and is an Affiliate/Approved Fund of [identify Lender]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3"/>
              </w:rPr>
              <w:t>3.</w:t>
            </w:r>
          </w:p>
        </w:tc>
        <w:tc>
          <w:tcPr>
            <w:tcW w:w="2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Borrower(s):</w:t>
            </w:r>
          </w:p>
        </w:tc>
        <w:tc>
          <w:tcPr>
            <w:tcW w:w="5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w w:val="98"/>
              </w:rPr>
              <w:t>The Scotts Miracle-Gro Company and certain Subsidiary Borrowers</w:t>
            </w:r>
          </w:p>
        </w:tc>
        <w:tc>
          <w:tcPr>
            <w:tcW w:w="2320" w:type="dxa"/>
            <w:vAlign w:val="bottom"/>
          </w:tcPr>
          <w:p>
            <w:pPr>
              <w:spacing w:after="0"/>
              <w:rPr>
                <w:sz w:val="19"/>
                <w:szCs w:val="19"/>
                <w:color w:val="auto"/>
              </w:rPr>
            </w:pPr>
          </w:p>
        </w:tc>
      </w:tr>
      <w:tr>
        <w:trPr>
          <w:trHeight w:val="432"/>
        </w:trPr>
        <w:tc>
          <w:tcPr>
            <w:tcW w:w="5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3"/>
              </w:rPr>
              <w:t>4.</w:t>
            </w:r>
          </w:p>
        </w:tc>
        <w:tc>
          <w:tcPr>
            <w:tcW w:w="2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Administrative Agent:</w:t>
            </w:r>
          </w:p>
        </w:tc>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JPMorgan Chase Bank, N.A., as the administrative agent under the Credit Agreement</w:t>
            </w:r>
          </w:p>
        </w:tc>
      </w:tr>
      <w:tr>
        <w:trPr>
          <w:trHeight w:val="349"/>
        </w:trPr>
        <w:tc>
          <w:tcPr>
            <w:tcW w:w="5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3"/>
              </w:rPr>
              <w:t>5.</w:t>
            </w:r>
          </w:p>
        </w:tc>
        <w:tc>
          <w:tcPr>
            <w:tcW w:w="2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Credit Agreement:</w:t>
            </w:r>
          </w:p>
        </w:tc>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Seventh Amended and Restated Credit Agreement dated as of November 21, 2025 among</w:t>
            </w:r>
          </w:p>
        </w:tc>
      </w:tr>
      <w:tr>
        <w:trPr>
          <w:trHeight w:val="225"/>
        </w:trPr>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8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w w:val="99"/>
              </w:rPr>
              <w:t>The Scotts Miracle-Gro Company, the Subsidiary Borrowers from time to time parties thereto, the</w:t>
            </w:r>
          </w:p>
        </w:tc>
      </w:tr>
    </w:tbl>
    <w:p>
      <w:pPr>
        <w:ind w:left="3400" w:right="20"/>
        <w:spacing w:after="0" w:line="221" w:lineRule="auto"/>
        <w:rPr>
          <w:sz w:val="20"/>
          <w:szCs w:val="20"/>
          <w:color w:val="auto"/>
        </w:rPr>
      </w:pPr>
      <w:r>
        <w:rPr>
          <w:rFonts w:ascii="Times New Roman" w:cs="Times New Roman" w:eastAsia="Times New Roman" w:hAnsi="Times New Roman"/>
          <w:sz w:val="20"/>
          <w:szCs w:val="20"/>
          <w:color w:val="auto"/>
        </w:rPr>
        <w:t>Lenders parties thereto, JPMorgan Chase Bank, N.A., as Administrative Agent, and the other agents parties thereto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ind w:left="120" w:hanging="112"/>
        <w:spacing w:after="0" w:line="217" w:lineRule="auto"/>
        <w:tabs>
          <w:tab w:leader="none" w:pos="120" w:val="left"/>
        </w:tabs>
        <w:numPr>
          <w:ilvl w:val="0"/>
          <w:numId w:val="18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Select as applicable.</w:t>
      </w:r>
    </w:p>
    <w:p>
      <w:pPr>
        <w:sectPr>
          <w:pgSz w:w="11900" w:h="16838" w:orient="portrait"/>
          <w:cols w:equalWidth="0" w:num="1">
            <w:col w:w="11240"/>
          </w:cols>
          <w:pgMar w:left="320" w:top="1413" w:right="339" w:bottom="1440" w:gutter="0" w:footer="0" w:header="0"/>
        </w:sectPr>
      </w:pPr>
    </w:p>
    <w:bookmarkStart w:id="174" w:name="page175"/>
    <w:bookmarkEnd w:id="174"/>
    <w:p>
      <w:pPr>
        <w:spacing w:after="0" w:line="14" w:lineRule="exact"/>
        <w:rPr>
          <w:sz w:val="20"/>
          <w:szCs w:val="20"/>
          <w:color w:val="auto"/>
        </w:rPr>
      </w:pPr>
    </w:p>
    <w:p>
      <w:pPr>
        <w:ind w:left="880" w:hanging="854"/>
        <w:spacing w:after="0"/>
        <w:tabs>
          <w:tab w:leader="none" w:pos="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Assigned Loan Interest:</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tcBorders>
              <w:top w:val="single" w:sz="8" w:color="00000A"/>
              <w:left w:val="single" w:sz="8" w:color="00000A"/>
              <w:right w:val="single" w:sz="8" w:color="00000A"/>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Facility Assigned</w:t>
            </w:r>
            <w:r>
              <w:rPr>
                <w:rFonts w:ascii="Times New Roman" w:cs="Times New Roman" w:eastAsia="Times New Roman" w:hAnsi="Times New Roman"/>
                <w:sz w:val="23"/>
                <w:szCs w:val="23"/>
                <w:color w:val="auto"/>
                <w:vertAlign w:val="superscript"/>
              </w:rPr>
              <w:t>2</w:t>
            </w:r>
          </w:p>
        </w:tc>
        <w:tc>
          <w:tcPr>
            <w:tcW w:w="2800" w:type="dxa"/>
            <w:vAlign w:val="bottom"/>
            <w:tcBorders>
              <w:top w:val="single" w:sz="8" w:color="00000A"/>
              <w:right w:val="single" w:sz="8" w:color="00000A"/>
            </w:tcBorders>
          </w:tcPr>
          <w:p>
            <w:pPr>
              <w:spacing w:after="0" w:line="207" w:lineRule="exact"/>
              <w:rPr>
                <w:sz w:val="20"/>
                <w:szCs w:val="20"/>
                <w:color w:val="auto"/>
              </w:rPr>
            </w:pPr>
            <w:r>
              <w:rPr>
                <w:rFonts w:ascii="Times New Roman" w:cs="Times New Roman" w:eastAsia="Times New Roman" w:hAnsi="Times New Roman"/>
                <w:sz w:val="20"/>
                <w:szCs w:val="20"/>
                <w:color w:val="auto"/>
              </w:rPr>
              <w:t>Aggregate Amount of</w:t>
            </w:r>
          </w:p>
        </w:tc>
        <w:tc>
          <w:tcPr>
            <w:tcW w:w="2820" w:type="dxa"/>
            <w:vAlign w:val="bottom"/>
            <w:tcBorders>
              <w:top w:val="single" w:sz="8" w:color="00000A"/>
              <w:right w:val="single" w:sz="8" w:color="00000A"/>
            </w:tcBorders>
          </w:tcPr>
          <w:p>
            <w:pPr>
              <w:jc w:val="right"/>
              <w:ind w:right="81"/>
              <w:spacing w:after="0" w:line="207" w:lineRule="exact"/>
              <w:rPr>
                <w:sz w:val="20"/>
                <w:szCs w:val="20"/>
                <w:color w:val="auto"/>
              </w:rPr>
            </w:pPr>
            <w:r>
              <w:rPr>
                <w:rFonts w:ascii="Times New Roman" w:cs="Times New Roman" w:eastAsia="Times New Roman" w:hAnsi="Times New Roman"/>
                <w:sz w:val="20"/>
                <w:szCs w:val="20"/>
                <w:color w:val="auto"/>
              </w:rPr>
              <w:t>Amount of Commitment/Loans</w:t>
            </w:r>
          </w:p>
        </w:tc>
        <w:tc>
          <w:tcPr>
            <w:tcW w:w="2800" w:type="dxa"/>
            <w:vAlign w:val="bottom"/>
            <w:tcBorders>
              <w:top w:val="single" w:sz="8" w:color="00000A"/>
              <w:right w:val="single" w:sz="8" w:color="00000A"/>
            </w:tcBorders>
          </w:tcPr>
          <w:p>
            <w:pPr>
              <w:jc w:val="right"/>
              <w:ind w:right="383"/>
              <w:spacing w:after="0" w:line="207" w:lineRule="exact"/>
              <w:rPr>
                <w:sz w:val="20"/>
                <w:szCs w:val="20"/>
                <w:color w:val="auto"/>
              </w:rPr>
            </w:pPr>
            <w:r>
              <w:rPr>
                <w:rFonts w:ascii="Times New Roman" w:cs="Times New Roman" w:eastAsia="Times New Roman" w:hAnsi="Times New Roman"/>
                <w:sz w:val="20"/>
                <w:szCs w:val="20"/>
                <w:color w:val="auto"/>
              </w:rPr>
              <w:t>Percentage Assigned of</w:t>
            </w:r>
          </w:p>
        </w:tc>
      </w:tr>
      <w:tr>
        <w:trPr>
          <w:trHeight w:val="203"/>
        </w:trPr>
        <w:tc>
          <w:tcPr>
            <w:tcW w:w="2840" w:type="dxa"/>
            <w:vAlign w:val="bottom"/>
            <w:tcBorders>
              <w:left w:val="single" w:sz="8" w:color="00000A"/>
              <w:right w:val="single" w:sz="8" w:color="00000A"/>
            </w:tcBorders>
          </w:tcPr>
          <w:p>
            <w:pPr>
              <w:spacing w:after="0"/>
              <w:rPr>
                <w:sz w:val="17"/>
                <w:szCs w:val="17"/>
                <w:color w:val="auto"/>
              </w:rPr>
            </w:pPr>
          </w:p>
        </w:tc>
        <w:tc>
          <w:tcPr>
            <w:tcW w:w="2800" w:type="dxa"/>
            <w:vAlign w:val="bottom"/>
            <w:tcBorders>
              <w:right w:val="single" w:sz="8" w:color="00000A"/>
            </w:tcBorders>
          </w:tcPr>
          <w:p>
            <w:pPr>
              <w:spacing w:after="0" w:line="203" w:lineRule="exact"/>
              <w:rPr>
                <w:sz w:val="20"/>
                <w:szCs w:val="20"/>
                <w:color w:val="auto"/>
              </w:rPr>
            </w:pPr>
            <w:r>
              <w:rPr>
                <w:rFonts w:ascii="Times New Roman" w:cs="Times New Roman" w:eastAsia="Times New Roman" w:hAnsi="Times New Roman"/>
                <w:sz w:val="20"/>
                <w:szCs w:val="20"/>
                <w:color w:val="auto"/>
              </w:rPr>
              <w:t>Commitment/Loans for all</w:t>
            </w:r>
          </w:p>
        </w:tc>
        <w:tc>
          <w:tcPr>
            <w:tcW w:w="2820" w:type="dxa"/>
            <w:vAlign w:val="bottom"/>
            <w:tcBorders>
              <w:right w:val="single" w:sz="8" w:color="00000A"/>
            </w:tcBorders>
          </w:tcPr>
          <w:p>
            <w:pPr>
              <w:jc w:val="right"/>
              <w:ind w:right="961"/>
              <w:spacing w:after="0" w:line="203" w:lineRule="exact"/>
              <w:rPr>
                <w:sz w:val="20"/>
                <w:szCs w:val="20"/>
                <w:color w:val="auto"/>
              </w:rPr>
            </w:pPr>
            <w:r>
              <w:rPr>
                <w:rFonts w:ascii="Times New Roman" w:cs="Times New Roman" w:eastAsia="Times New Roman" w:hAnsi="Times New Roman"/>
                <w:sz w:val="20"/>
                <w:szCs w:val="20"/>
                <w:color w:val="auto"/>
              </w:rPr>
              <w:t>Assigned</w:t>
            </w:r>
          </w:p>
        </w:tc>
        <w:tc>
          <w:tcPr>
            <w:tcW w:w="2800" w:type="dxa"/>
            <w:vAlign w:val="bottom"/>
            <w:tcBorders>
              <w:right w:val="single" w:sz="8" w:color="00000A"/>
            </w:tcBorders>
          </w:tcPr>
          <w:p>
            <w:pPr>
              <w:jc w:val="right"/>
              <w:ind w:right="503"/>
              <w:spacing w:after="0" w:line="202" w:lineRule="exact"/>
              <w:rPr>
                <w:sz w:val="20"/>
                <w:szCs w:val="20"/>
                <w:color w:val="auto"/>
              </w:rPr>
            </w:pPr>
            <w:r>
              <w:rPr>
                <w:rFonts w:ascii="Times New Roman" w:cs="Times New Roman" w:eastAsia="Times New Roman" w:hAnsi="Times New Roman"/>
                <w:sz w:val="18"/>
                <w:szCs w:val="18"/>
                <w:color w:val="auto"/>
              </w:rPr>
              <w:t>Commitment/Loans</w:t>
            </w:r>
            <w:r>
              <w:rPr>
                <w:rFonts w:ascii="Times New Roman" w:cs="Times New Roman" w:eastAsia="Times New Roman" w:hAnsi="Times New Roman"/>
                <w:sz w:val="23"/>
                <w:szCs w:val="23"/>
                <w:color w:val="auto"/>
                <w:vertAlign w:val="superscript"/>
              </w:rPr>
              <w:t>3</w:t>
            </w:r>
          </w:p>
        </w:tc>
      </w:tr>
      <w:tr>
        <w:trPr>
          <w:trHeight w:val="252"/>
        </w:trPr>
        <w:tc>
          <w:tcPr>
            <w:tcW w:w="2840" w:type="dxa"/>
            <w:vAlign w:val="bottom"/>
            <w:tcBorders>
              <w:left w:val="single" w:sz="8" w:color="00000A"/>
              <w:bottom w:val="single" w:sz="8" w:color="00000A"/>
              <w:right w:val="single" w:sz="8" w:color="00000A"/>
            </w:tcBorders>
          </w:tcPr>
          <w:p>
            <w:pPr>
              <w:spacing w:after="0"/>
              <w:rPr>
                <w:sz w:val="21"/>
                <w:szCs w:val="21"/>
                <w:color w:val="auto"/>
              </w:rPr>
            </w:pPr>
          </w:p>
        </w:tc>
        <w:tc>
          <w:tcPr>
            <w:tcW w:w="280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Lenders</w:t>
            </w:r>
          </w:p>
        </w:tc>
        <w:tc>
          <w:tcPr>
            <w:tcW w:w="2820" w:type="dxa"/>
            <w:vAlign w:val="bottom"/>
            <w:tcBorders>
              <w:bottom w:val="single" w:sz="8" w:color="00000A"/>
              <w:right w:val="single" w:sz="8" w:color="00000A"/>
            </w:tcBorders>
          </w:tcPr>
          <w:p>
            <w:pPr>
              <w:spacing w:after="0"/>
              <w:rPr>
                <w:sz w:val="21"/>
                <w:szCs w:val="21"/>
                <w:color w:val="auto"/>
              </w:rPr>
            </w:pPr>
          </w:p>
        </w:tc>
        <w:tc>
          <w:tcPr>
            <w:tcW w:w="2800" w:type="dxa"/>
            <w:vAlign w:val="bottom"/>
            <w:tcBorders>
              <w:bottom w:val="single" w:sz="8" w:color="00000A"/>
              <w:right w:val="single" w:sz="8" w:color="00000A"/>
            </w:tcBorders>
          </w:tcPr>
          <w:p>
            <w:pPr>
              <w:spacing w:after="0"/>
              <w:rPr>
                <w:sz w:val="21"/>
                <w:szCs w:val="21"/>
                <w:color w:val="auto"/>
              </w:rPr>
            </w:pPr>
          </w:p>
        </w:tc>
      </w:tr>
      <w:tr>
        <w:trPr>
          <w:trHeight w:val="250"/>
        </w:trPr>
        <w:tc>
          <w:tcPr>
            <w:tcW w:w="2840" w:type="dxa"/>
            <w:vAlign w:val="bottom"/>
            <w:tcBorders>
              <w:left w:val="single" w:sz="8" w:color="00000A"/>
              <w:bottom w:val="single" w:sz="8" w:color="00000A"/>
              <w:right w:val="single" w:sz="8" w:color="00000A"/>
            </w:tcBorders>
          </w:tcPr>
          <w:p>
            <w:pPr>
              <w:spacing w:after="0"/>
              <w:rPr>
                <w:sz w:val="21"/>
                <w:szCs w:val="21"/>
                <w:color w:val="auto"/>
              </w:rPr>
            </w:pPr>
          </w:p>
        </w:tc>
        <w:tc>
          <w:tcPr>
            <w:tcW w:w="280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Borders>
              <w:bottom w:val="single" w:sz="8" w:color="00000A"/>
              <w:right w:val="single" w:sz="8" w:color="00000A"/>
            </w:tcBorders>
          </w:tcPr>
          <w:p>
            <w:pPr>
              <w:jc w:val="right"/>
              <w:ind w:right="2601"/>
              <w:spacing w:after="0"/>
              <w:rPr>
                <w:sz w:val="20"/>
                <w:szCs w:val="20"/>
                <w:color w:val="auto"/>
              </w:rPr>
            </w:pPr>
            <w:r>
              <w:rPr>
                <w:rFonts w:ascii="Times New Roman" w:cs="Times New Roman" w:eastAsia="Times New Roman" w:hAnsi="Times New Roman"/>
                <w:sz w:val="20"/>
                <w:szCs w:val="20"/>
                <w:color w:val="auto"/>
                <w:w w:val="99"/>
              </w:rPr>
              <w:t>$</w:t>
            </w:r>
          </w:p>
        </w:tc>
        <w:tc>
          <w:tcPr>
            <w:tcW w:w="2800" w:type="dxa"/>
            <w:vAlign w:val="bottom"/>
            <w:tcBorders>
              <w:bottom w:val="single" w:sz="8" w:color="00000A"/>
              <w:right w:val="single" w:sz="8" w:color="00000A"/>
            </w:tcBorders>
          </w:tcPr>
          <w:p>
            <w:pPr>
              <w:jc w:val="right"/>
              <w:ind w:right="2543"/>
              <w:spacing w:after="0"/>
              <w:rPr>
                <w:sz w:val="20"/>
                <w:szCs w:val="20"/>
                <w:color w:val="auto"/>
              </w:rPr>
            </w:pPr>
            <w:r>
              <w:rPr>
                <w:rFonts w:ascii="Times New Roman" w:cs="Times New Roman" w:eastAsia="Times New Roman" w:hAnsi="Times New Roman"/>
                <w:sz w:val="20"/>
                <w:szCs w:val="20"/>
                <w:color w:val="auto"/>
                <w:w w:val="83"/>
              </w:rPr>
              <w:t>%</w:t>
            </w:r>
          </w:p>
        </w:tc>
      </w:tr>
      <w:tr>
        <w:trPr>
          <w:trHeight w:val="250"/>
        </w:trPr>
        <w:tc>
          <w:tcPr>
            <w:tcW w:w="2840" w:type="dxa"/>
            <w:vAlign w:val="bottom"/>
            <w:tcBorders>
              <w:left w:val="single" w:sz="8" w:color="00000A"/>
              <w:bottom w:val="single" w:sz="8" w:color="00000A"/>
              <w:right w:val="single" w:sz="8" w:color="00000A"/>
            </w:tcBorders>
          </w:tcPr>
          <w:p>
            <w:pPr>
              <w:spacing w:after="0"/>
              <w:rPr>
                <w:sz w:val="21"/>
                <w:szCs w:val="21"/>
                <w:color w:val="auto"/>
              </w:rPr>
            </w:pPr>
          </w:p>
        </w:tc>
        <w:tc>
          <w:tcPr>
            <w:tcW w:w="280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Borders>
              <w:bottom w:val="single" w:sz="8" w:color="00000A"/>
              <w:right w:val="single" w:sz="8" w:color="00000A"/>
            </w:tcBorders>
          </w:tcPr>
          <w:p>
            <w:pPr>
              <w:jc w:val="right"/>
              <w:ind w:right="2601"/>
              <w:spacing w:after="0"/>
              <w:rPr>
                <w:sz w:val="20"/>
                <w:szCs w:val="20"/>
                <w:color w:val="auto"/>
              </w:rPr>
            </w:pPr>
            <w:r>
              <w:rPr>
                <w:rFonts w:ascii="Times New Roman" w:cs="Times New Roman" w:eastAsia="Times New Roman" w:hAnsi="Times New Roman"/>
                <w:sz w:val="20"/>
                <w:szCs w:val="20"/>
                <w:color w:val="auto"/>
                <w:w w:val="99"/>
              </w:rPr>
              <w:t>$</w:t>
            </w:r>
          </w:p>
        </w:tc>
        <w:tc>
          <w:tcPr>
            <w:tcW w:w="2800" w:type="dxa"/>
            <w:vAlign w:val="bottom"/>
            <w:tcBorders>
              <w:bottom w:val="single" w:sz="8" w:color="00000A"/>
              <w:right w:val="single" w:sz="8" w:color="00000A"/>
            </w:tcBorders>
          </w:tcPr>
          <w:p>
            <w:pPr>
              <w:jc w:val="right"/>
              <w:ind w:right="2543"/>
              <w:spacing w:after="0"/>
              <w:rPr>
                <w:sz w:val="20"/>
                <w:szCs w:val="20"/>
                <w:color w:val="auto"/>
              </w:rPr>
            </w:pPr>
            <w:r>
              <w:rPr>
                <w:rFonts w:ascii="Times New Roman" w:cs="Times New Roman" w:eastAsia="Times New Roman" w:hAnsi="Times New Roman"/>
                <w:sz w:val="20"/>
                <w:szCs w:val="20"/>
                <w:color w:val="auto"/>
                <w:w w:val="83"/>
              </w:rPr>
              <w:t>%</w:t>
            </w:r>
          </w:p>
        </w:tc>
      </w:tr>
      <w:tr>
        <w:trPr>
          <w:trHeight w:val="250"/>
        </w:trPr>
        <w:tc>
          <w:tcPr>
            <w:tcW w:w="2840" w:type="dxa"/>
            <w:vAlign w:val="bottom"/>
            <w:tcBorders>
              <w:left w:val="single" w:sz="8" w:color="00000A"/>
              <w:bottom w:val="single" w:sz="8" w:color="00000A"/>
              <w:right w:val="single" w:sz="8" w:color="00000A"/>
            </w:tcBorders>
          </w:tcPr>
          <w:p>
            <w:pPr>
              <w:spacing w:after="0"/>
              <w:rPr>
                <w:sz w:val="21"/>
                <w:szCs w:val="21"/>
                <w:color w:val="auto"/>
              </w:rPr>
            </w:pPr>
          </w:p>
        </w:tc>
        <w:tc>
          <w:tcPr>
            <w:tcW w:w="280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Borders>
              <w:bottom w:val="single" w:sz="8" w:color="00000A"/>
              <w:right w:val="single" w:sz="8" w:color="00000A"/>
            </w:tcBorders>
          </w:tcPr>
          <w:p>
            <w:pPr>
              <w:jc w:val="right"/>
              <w:ind w:right="2601"/>
              <w:spacing w:after="0"/>
              <w:rPr>
                <w:sz w:val="20"/>
                <w:szCs w:val="20"/>
                <w:color w:val="auto"/>
              </w:rPr>
            </w:pPr>
            <w:r>
              <w:rPr>
                <w:rFonts w:ascii="Times New Roman" w:cs="Times New Roman" w:eastAsia="Times New Roman" w:hAnsi="Times New Roman"/>
                <w:sz w:val="20"/>
                <w:szCs w:val="20"/>
                <w:color w:val="auto"/>
                <w:w w:val="99"/>
              </w:rPr>
              <w:t>$</w:t>
            </w:r>
          </w:p>
        </w:tc>
        <w:tc>
          <w:tcPr>
            <w:tcW w:w="2800" w:type="dxa"/>
            <w:vAlign w:val="bottom"/>
            <w:tcBorders>
              <w:bottom w:val="single" w:sz="8" w:color="00000A"/>
              <w:right w:val="single" w:sz="8" w:color="00000A"/>
            </w:tcBorders>
          </w:tcPr>
          <w:p>
            <w:pPr>
              <w:jc w:val="right"/>
              <w:ind w:right="2543"/>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 _____________ ___, 20___ [TO BE INSERTED BY ADMINISTRATIVE AGENT AND WHICH SHALL BE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 OF RECORDATION OF TRANSFER IN THE REGISTER THEREFOR.]</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Borrowers and their Related Parties or their respective securities) will be made available and who may receive such information in accordance with the Assignee’s compliance procedures and applicable laws, including federal and state securities 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terms set forth in this Assignment and Assumption are hereby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u w:val="single" w:color="auto"/>
          <w:color w:val="auto"/>
        </w:rPr>
        <w:t>ASSIGNOR</w:t>
      </w:r>
    </w:p>
    <w:p>
      <w:pPr>
        <w:spacing w:after="0" w:line="16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color w:val="auto"/>
        </w:rPr>
        <w:t>[NAME OF ASSIGNOR]</w:t>
      </w:r>
    </w:p>
    <w:p>
      <w:pPr>
        <w:spacing w:after="0" w:line="14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color w:val="auto"/>
        </w:rPr>
        <w:t>By:</w:t>
      </w:r>
    </w:p>
    <w:p>
      <w:pPr>
        <w:ind w:left="7280"/>
        <w:spacing w:after="0" w:line="211" w:lineRule="auto"/>
        <w:rPr>
          <w:sz w:val="20"/>
          <w:szCs w:val="20"/>
          <w:color w:val="auto"/>
        </w:rPr>
      </w:pPr>
      <w:r>
        <w:rPr>
          <w:rFonts w:ascii="Times New Roman" w:cs="Times New Roman" w:eastAsia="Times New Roman" w:hAnsi="Times New Roman"/>
          <w:sz w:val="20"/>
          <w:szCs w:val="20"/>
          <w:u w:val="single" w:color="auto"/>
          <w:color w:val="auto"/>
        </w:rPr>
        <w:t>_______________________________________</w:t>
      </w:r>
    </w:p>
    <w:p>
      <w:pPr>
        <w:ind w:left="7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u w:val="single" w:color="auto"/>
          <w:color w:val="auto"/>
        </w:rPr>
        <w:t>ASSIGNEE</w:t>
      </w:r>
    </w:p>
    <w:p>
      <w:pPr>
        <w:spacing w:after="0" w:line="16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color w:val="auto"/>
        </w:rPr>
        <w:t>[NAME OF ASSIGNOR]</w:t>
      </w:r>
    </w:p>
    <w:p>
      <w:pPr>
        <w:spacing w:after="0" w:line="14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color w:val="auto"/>
        </w:rPr>
        <w:t>By:</w:t>
      </w:r>
    </w:p>
    <w:p>
      <w:pPr>
        <w:ind w:left="7280"/>
        <w:spacing w:after="0" w:line="211" w:lineRule="auto"/>
        <w:rPr>
          <w:sz w:val="20"/>
          <w:szCs w:val="20"/>
          <w:color w:val="auto"/>
        </w:rPr>
      </w:pPr>
      <w:r>
        <w:rPr>
          <w:rFonts w:ascii="Times New Roman" w:cs="Times New Roman" w:eastAsia="Times New Roman" w:hAnsi="Times New Roman"/>
          <w:sz w:val="20"/>
          <w:szCs w:val="20"/>
          <w:u w:val="single" w:color="auto"/>
          <w:color w:val="auto"/>
        </w:rPr>
        <w:t>_______________________________________</w:t>
      </w:r>
    </w:p>
    <w:p>
      <w:pPr>
        <w:ind w:left="74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24" w:lineRule="exact"/>
        <w:rPr>
          <w:sz w:val="20"/>
          <w:szCs w:val="20"/>
          <w:color w:val="auto"/>
        </w:rPr>
      </w:pPr>
    </w:p>
    <w:p>
      <w:pPr>
        <w:ind w:right="20" w:firstLine="8"/>
        <w:spacing w:after="0" w:line="219" w:lineRule="auto"/>
        <w:tabs>
          <w:tab w:leader="none" w:pos="120" w:val="left"/>
        </w:tabs>
        <w:numPr>
          <w:ilvl w:val="0"/>
          <w:numId w:val="1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Fill in the appropriate terminology for the types of facilities under the Credit Agreement that are being assigned under this Assignment (e.g., “Global Tranche Commitment”, “US Tranche Commitment”, “Term Loan Commitment”, etc.).</w:t>
      </w:r>
    </w:p>
    <w:p>
      <w:pPr>
        <w:spacing w:after="0" w:line="19"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xml:space="preserve"> Set forth, to at least 9 decimals, as a percentage of the Commitment/Loans of all Lenders thereunder.</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60"/>
          </w:cols>
          <w:pgMar w:left="320" w:top="1440" w:right="319" w:bottom="1440" w:gutter="0" w:footer="0" w:header="0"/>
          <w:type w:val="continuous"/>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Consented to and Accepted:</w:t>
      </w: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JPMORGAN CHASE BANK, N.A., as</w:t>
      </w:r>
    </w:p>
    <w:p>
      <w:pPr>
        <w:ind w:left="20"/>
        <w:spacing w:after="0"/>
        <w:rPr>
          <w:sz w:val="20"/>
          <w:szCs w:val="20"/>
          <w:color w:val="auto"/>
        </w:rPr>
      </w:pPr>
      <w:r>
        <w:rPr>
          <w:rFonts w:ascii="Times New Roman" w:cs="Times New Roman" w:eastAsia="Times New Roman" w:hAnsi="Times New Roman"/>
          <w:sz w:val="20"/>
          <w:szCs w:val="20"/>
          <w:color w:val="auto"/>
        </w:rPr>
        <w:t>Administrative Agent [and an Issuing Bank and Swingline Lender]</w:t>
      </w:r>
      <w:r>
        <w:rPr>
          <w:rFonts w:ascii="Times New Roman" w:cs="Times New Roman" w:eastAsia="Times New Roman" w:hAnsi="Times New Roman"/>
          <w:sz w:val="25"/>
          <w:szCs w:val="25"/>
          <w:color w:val="auto"/>
          <w:vertAlign w:val="superscript"/>
        </w:rPr>
        <w:t>4</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_________________________________________________</w:t>
      </w: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 as an Issuing Bank]</w:t>
      </w:r>
      <w:r>
        <w:rPr>
          <w:rFonts w:ascii="Times New Roman" w:cs="Times New Roman" w:eastAsia="Times New Roman" w:hAnsi="Times New Roman"/>
          <w:sz w:val="25"/>
          <w:szCs w:val="25"/>
          <w:color w:val="auto"/>
          <w:vertAlign w:val="superscript"/>
        </w:rPr>
        <w:t>5</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_________________________________________________</w:t>
      </w: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[Consented to:]</w:t>
      </w:r>
      <w:r>
        <w:rPr>
          <w:rFonts w:ascii="Times New Roman" w:cs="Times New Roman" w:eastAsia="Times New Roman" w:hAnsi="Times New Roman"/>
          <w:sz w:val="25"/>
          <w:szCs w:val="25"/>
          <w:color w:val="auto"/>
          <w:vertAlign w:val="superscript"/>
        </w:rPr>
        <w:t>6</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_________________________________________________</w:t>
      </w: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ind w:left="120" w:hanging="112"/>
        <w:spacing w:after="0" w:line="238" w:lineRule="auto"/>
        <w:tabs>
          <w:tab w:leader="none" w:pos="120" w:val="left"/>
        </w:tabs>
        <w:numPr>
          <w:ilvl w:val="0"/>
          <w:numId w:val="19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added only if the consent of the Issuing Banks and the Swingline Lender is required by the terms of the Credit Agreement.</w:t>
      </w:r>
    </w:p>
    <w:p>
      <w:pPr>
        <w:spacing w:after="0" w:line="29" w:lineRule="exact"/>
        <w:rPr>
          <w:rFonts w:ascii="Times New Roman" w:cs="Times New Roman" w:eastAsia="Times New Roman" w:hAnsi="Times New Roman"/>
          <w:sz w:val="22"/>
          <w:szCs w:val="22"/>
          <w:color w:val="auto"/>
          <w:vertAlign w:val="superscript"/>
        </w:rPr>
      </w:pPr>
    </w:p>
    <w:p>
      <w:pPr>
        <w:ind w:right="2659"/>
        <w:spacing w:after="0" w:line="351"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To be added only if the consent of the Issuing Banks is required by the terms of the Credit Agreement. </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7"/>
          <w:szCs w:val="17"/>
          <w:color w:val="auto"/>
        </w:rPr>
        <w:t xml:space="preserve"> To be added only if the consent of the Company is required by the terms of the Credit Agreement.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39"/>
          </w:cols>
          <w:pgMar w:left="320" w:top="1440" w:right="1440" w:bottom="1440" w:gutter="0" w:footer="0" w:header="0"/>
          <w:type w:val="continuous"/>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STANDARD TERMS AND CONDITIONS FOR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16" w:lineRule="exact"/>
        <w:rPr>
          <w:sz w:val="20"/>
          <w:szCs w:val="20"/>
          <w:color w:val="auto"/>
        </w:rPr>
      </w:pPr>
    </w:p>
    <w:p>
      <w:pPr>
        <w:ind w:left="1500" w:hanging="196"/>
        <w:spacing w:after="0"/>
        <w:tabs>
          <w:tab w:leader="none" w:pos="15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The Assignor (a) represents and warrants that (i) it is the legal and beneficial owner of the Assigned Loan Interest, (ii) the Assigned Loan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any Loan Document.</w:t>
      </w:r>
    </w:p>
    <w:p>
      <w:pPr>
        <w:spacing w:after="0" w:line="19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Loan Interest and become a Lender, (iii) from and after the Effective Date, it shall be bound by the provisions of the Credit Agreement as a Lender thereunder and, to the extent of the Assigned Loan Interest, shall have the obligations of a Lender thereunder, (iv) it is sophisticated with respect to decisions to acquire assets of the type represented by the Assigned Loan Interest and either it, or the Person exercising discretion in making its decision to acquire the Assigned Loan Interest, is experienced in acquiring assets of such type, (v)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Loan Interest on the basis of which it has made such analysis and decision independently and without reliance on the Administrative Agent, any arranger of the credit facilities evidenced by the Credit Agreement or any other Lender and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of the credit facilities evidenced by the Credit Agreement, the Assignor or any other Lender and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Without limiting the foregoing, the Assignee represents and warrants, and agrees to, each of the matters set forth in Section 8.06 of the Credit Agreement, including that the Loan Documents set out the terms of a commercial lending facility.</w:t>
      </w:r>
    </w:p>
    <w:p>
      <w:pPr>
        <w:spacing w:after="0" w:line="196" w:lineRule="exact"/>
        <w:rPr>
          <w:sz w:val="20"/>
          <w:szCs w:val="20"/>
          <w:color w:val="auto"/>
        </w:rPr>
      </w:pPr>
    </w:p>
    <w:p>
      <w:pPr>
        <w:ind w:right="20" w:firstLine="1304"/>
        <w:spacing w:after="0" w:line="269" w:lineRule="auto"/>
        <w:tabs>
          <w:tab w:leader="none" w:pos="149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From and after the Effective Date, the Administrative Agent shall make all payments in respect of the Assigned Loan Interest (including payments of principal, interest, fees and</w:t>
      </w:r>
    </w:p>
    <w:p>
      <w:pPr>
        <w:sectPr>
          <w:pgSz w:w="11900" w:h="16838" w:orient="portrait"/>
          <w:cols w:equalWidth="0" w:num="1">
            <w:col w:w="11240"/>
          </w:cols>
          <w:pgMar w:left="320" w:top="603" w:right="339" w:bottom="1440" w:gutter="0" w:footer="0" w:header="0"/>
        </w:sectPr>
      </w:pPr>
    </w:p>
    <w:bookmarkStart w:id="177" w:name="page178"/>
    <w:bookmarkEnd w:id="177"/>
    <w:p>
      <w:pPr>
        <w:spacing w:after="0" w:line="283" w:lineRule="auto"/>
        <w:rPr>
          <w:sz w:val="20"/>
          <w:szCs w:val="20"/>
          <w:color w:val="auto"/>
        </w:rPr>
      </w:pPr>
      <w:r>
        <w:rPr>
          <w:rFonts w:ascii="Times New Roman" w:cs="Times New Roman" w:eastAsia="Times New Roman" w:hAnsi="Times New Roman"/>
          <w:sz w:val="20"/>
          <w:szCs w:val="20"/>
          <w:color w:val="auto"/>
        </w:rPr>
        <w:t>other amounts) to the Assignor for amounts which have accrued to but excluding the Effective Date and to the Assignee for amounts which have accrued from and after the Effective Date.</w:t>
      </w:r>
    </w:p>
    <w:p>
      <w:pPr>
        <w:spacing w:after="0" w:line="146" w:lineRule="exact"/>
        <w:rPr>
          <w:sz w:val="20"/>
          <w:szCs w:val="20"/>
          <w:color w:val="auto"/>
        </w:rPr>
      </w:pPr>
    </w:p>
    <w:p>
      <w:pPr>
        <w:jc w:val="both"/>
        <w:ind w:firstLine="1304"/>
        <w:spacing w:after="0" w:line="253" w:lineRule="auto"/>
        <w:tabs>
          <w:tab w:leader="none" w:pos="149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51" w:right="33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20"/>
          <w:szCs w:val="20"/>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LIST OF CLOSING DOCUMENTS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SCOTTS MIRACLE-GRO COMPANY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CERTAIN SUBSIDIARY BORROWERS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CREDIT FACILITIES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November 21, 2025</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LIST OF CLOSING DOCUMENTS</w:t>
      </w:r>
      <w:r>
        <w:rPr>
          <w:rFonts w:ascii="Times New Roman" w:cs="Times New Roman" w:eastAsia="Times New Roman" w:hAnsi="Times New Roman"/>
          <w:sz w:val="25"/>
          <w:szCs w:val="25"/>
          <w:color w:val="auto"/>
          <w:vertAlign w:val="superscript"/>
        </w:rPr>
        <w:t>1</w:t>
      </w:r>
    </w:p>
    <w:p>
      <w:pPr>
        <w:spacing w:after="0" w:line="165" w:lineRule="exact"/>
        <w:rPr>
          <w:sz w:val="20"/>
          <w:szCs w:val="20"/>
          <w:color w:val="auto"/>
        </w:rPr>
      </w:pPr>
    </w:p>
    <w:p>
      <w:pPr>
        <w:ind w:left="3400" w:hanging="395"/>
        <w:spacing w:after="0"/>
        <w:tabs>
          <w:tab w:leader="none" w:pos="340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DOCUMENTS</w:t>
      </w:r>
    </w:p>
    <w:p>
      <w:pPr>
        <w:spacing w:after="0" w:line="233" w:lineRule="exact"/>
        <w:rPr>
          <w:rFonts w:ascii="Times New Roman" w:cs="Times New Roman" w:eastAsia="Times New Roman" w:hAnsi="Times New Roman"/>
          <w:sz w:val="20"/>
          <w:szCs w:val="20"/>
          <w:color w:val="auto"/>
        </w:rPr>
      </w:pPr>
    </w:p>
    <w:p>
      <w:pPr>
        <w:ind w:left="660" w:hanging="652"/>
        <w:spacing w:after="0" w:line="253" w:lineRule="auto"/>
        <w:tabs>
          <w:tab w:leader="none" w:pos="393"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Seventh Amended and Restated Credit Agreement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The Scotts Miracle-Gro Company, an Ohio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from time to time parties thereto (collectively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institutions from time to time parties thereto as Lenders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JPMorgan Chase Bank, N.A., in its capacity as Administrative Agent for itself and the other Lenders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evidencing a revolving credit facility to the Borrowers from the Revolving Lenders in an aggregate principal amount of $1,500,000,000 and a term loan facility to the Company from the Term Lenders in an aggregate principal amount of $500,000,000.</w:t>
      </w:r>
    </w:p>
    <w:p>
      <w:pPr>
        <w:spacing w:after="0" w:line="179"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1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4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SCHEDULES</w:t>
            </w:r>
          </w:p>
        </w:tc>
      </w:tr>
      <w:tr>
        <w:trPr>
          <w:trHeight w:val="498"/>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Schedule 1.01A</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Non-Guarantor Domestic Subsidiaries</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Schedule 1.01B</w:t>
            </w:r>
          </w:p>
        </w:tc>
        <w:tc>
          <w:tcPr>
            <w:tcW w:w="4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   Subsidiaries Whose Capital Stock is Not Pledged</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Schedule 2.01A</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Commitments</w:t>
            </w:r>
          </w:p>
        </w:tc>
      </w:tr>
      <w:tr>
        <w:trPr>
          <w:trHeight w:val="253"/>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Schedule 2.01B</w:t>
            </w:r>
          </w:p>
        </w:tc>
        <w:tc>
          <w:tcPr>
            <w:tcW w:w="4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   Letter of Credit Commitments</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2.06</w:t>
            </w:r>
          </w:p>
        </w:tc>
        <w:tc>
          <w:tcPr>
            <w:tcW w:w="478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   Existing Letters of Credit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3.05</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3.08</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Subsidiaries</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3.17</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Environmental Matters</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3.19(ii)</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Certain Filings</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3.19(iii)</w:t>
            </w:r>
          </w:p>
        </w:tc>
        <w:tc>
          <w:tcPr>
            <w:tcW w:w="478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   Perfection of Foreign Stock Pledges</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5.13</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Foreign Pledge Agreements</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6.01</w:t>
            </w:r>
          </w:p>
        </w:tc>
        <w:tc>
          <w:tcPr>
            <w:tcW w:w="478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   Existing Liens and Encumbrances</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6.04</w:t>
            </w:r>
          </w:p>
        </w:tc>
        <w:tc>
          <w:tcPr>
            <w:tcW w:w="4780" w:type="dxa"/>
            <w:vAlign w:val="bottom"/>
            <w:gridSpan w:val="2"/>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   Existing Investments, Loans and Advances</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6.05</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Existing Indebtedness</w:t>
            </w:r>
          </w:p>
        </w:tc>
      </w:tr>
      <w:tr>
        <w:trPr>
          <w:trHeight w:val="262"/>
        </w:trPr>
        <w:tc>
          <w:tcPr>
            <w:tcW w:w="19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6.09</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Sale and Leaseback</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4" w:lineRule="exact"/>
        <w:rPr>
          <w:sz w:val="20"/>
          <w:szCs w:val="20"/>
          <w:color w:val="auto"/>
        </w:rPr>
      </w:pPr>
    </w:p>
    <w:p>
      <w:pPr>
        <w:ind w:right="400" w:firstLine="8"/>
        <w:spacing w:after="0" w:line="213" w:lineRule="auto"/>
        <w:tabs>
          <w:tab w:leader="none" w:pos="96" w:val="left"/>
        </w:tabs>
        <w:numPr>
          <w:ilvl w:val="0"/>
          <w:numId w:val="19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Each capitalized term used herein and not defined herein shall have the meaning assigned to such term in the above-defined Credit Agreement. Items appearing in </w:t>
      </w:r>
      <w:r>
        <w:rPr>
          <w:rFonts w:ascii="Times New Roman" w:cs="Times New Roman" w:eastAsia="Times New Roman" w:hAnsi="Times New Roman"/>
          <w:sz w:val="18"/>
          <w:szCs w:val="18"/>
          <w:b w:val="1"/>
          <w:bCs w:val="1"/>
          <w:color w:val="auto"/>
        </w:rPr>
        <w:t>bold</w:t>
      </w:r>
      <w:r>
        <w:rPr>
          <w:rFonts w:ascii="Times New Roman" w:cs="Times New Roman" w:eastAsia="Times New Roman" w:hAnsi="Times New Roman"/>
          <w:sz w:val="18"/>
          <w:szCs w:val="18"/>
          <w:color w:val="auto"/>
        </w:rPr>
        <w:t xml:space="preserve"> and italics shall be prepared and/or provided by the Company and/or Company’s counsel.</w:t>
      </w:r>
    </w:p>
    <w:p>
      <w:pPr>
        <w:sectPr>
          <w:pgSz w:w="11900" w:h="16838" w:orient="portrait"/>
          <w:cols w:equalWidth="0" w:num="1">
            <w:col w:w="11240"/>
          </w:cols>
          <w:pgMar w:left="320" w:top="1413" w:right="339" w:bottom="1440" w:gutter="0" w:footer="0" w:header="0"/>
        </w:sectPr>
      </w:pPr>
    </w:p>
    <w:bookmarkStart w:id="179" w:name="page180"/>
    <w:bookmarkEnd w:id="179"/>
    <w:p>
      <w:pPr>
        <w:jc w:val="center"/>
        <w:ind w:right="-11"/>
        <w:spacing w:after="0"/>
        <w:rPr>
          <w:sz w:val="20"/>
          <w:szCs w:val="20"/>
          <w:color w:val="auto"/>
        </w:rPr>
      </w:pPr>
      <w:r>
        <w:rPr>
          <w:rFonts w:ascii="Times New Roman" w:cs="Times New Roman" w:eastAsia="Times New Roman" w:hAnsi="Times New Roman"/>
          <w:sz w:val="19"/>
          <w:szCs w:val="19"/>
          <w:color w:val="auto"/>
        </w:rPr>
        <w:t>EXHIBITS</w:t>
      </w:r>
    </w:p>
    <w:p>
      <w:pPr>
        <w:sectPr>
          <w:pgSz w:w="11900" w:h="16838" w:orient="portrait"/>
          <w:cols w:equalWidth="0" w:num="1">
            <w:col w:w="11232"/>
          </w:cols>
          <w:pgMar w:left="328" w:top="1413" w:right="339" w:bottom="1440" w:gutter="0" w:footer="0" w:header="0"/>
        </w:sectPr>
      </w:pPr>
    </w:p>
    <w:p>
      <w:pPr>
        <w:spacing w:after="0" w:line="28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Exhibit A</w:t>
      </w:r>
    </w:p>
    <w:p>
      <w:pPr>
        <w:spacing w:after="0" w:line="2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Exhibit B</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Exhibit C-1</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Exhibit C-2</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9"/>
          <w:szCs w:val="19"/>
          <w:color w:val="auto"/>
        </w:rPr>
        <w:t>Exhibit D-1</w:t>
      </w:r>
    </w:p>
    <w:p>
      <w:pPr>
        <w:spacing w:after="0" w:line="3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9"/>
          <w:szCs w:val="19"/>
          <w:color w:val="auto"/>
        </w:rPr>
        <w:t>Exhibit D-2</w:t>
      </w:r>
    </w:p>
    <w:p>
      <w:pPr>
        <w:spacing w:after="0" w:line="3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9"/>
          <w:szCs w:val="19"/>
          <w:color w:val="auto"/>
        </w:rPr>
        <w:t>Exhibit D-3</w:t>
      </w:r>
    </w:p>
    <w:p>
      <w:pPr>
        <w:spacing w:after="0" w:line="3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9"/>
          <w:szCs w:val="19"/>
          <w:color w:val="auto"/>
        </w:rPr>
        <w:t>Exhibit D-4</w:t>
      </w:r>
    </w:p>
    <w:p>
      <w:pPr>
        <w:spacing w:after="0" w:line="3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Exhibit E</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Exhibit F</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Form of Assignment and Assumption</w:t>
      </w:r>
    </w:p>
    <w:p>
      <w:pPr>
        <w:spacing w:after="0" w:line="2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List of Closing Documents</w:t>
      </w:r>
    </w:p>
    <w:p>
      <w:pPr>
        <w:spacing w:after="0" w:line="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Form of Subsidiary Borrower Agreement</w:t>
      </w:r>
    </w:p>
    <w:p>
      <w:pPr>
        <w:spacing w:after="0" w:line="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Form of Subsidiary Borrower Termination</w:t>
      </w:r>
    </w:p>
    <w:p>
      <w:pPr>
        <w:spacing w:after="0" w:line="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Form of U.S. Tax Certificate (Foreign Lenders That Are Not Partnerships)</w:t>
      </w:r>
    </w:p>
    <w:p>
      <w:pPr>
        <w:spacing w:after="0" w:line="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9"/>
          <w:szCs w:val="19"/>
          <w:color w:val="auto"/>
        </w:rPr>
        <w:t>--</w:t>
        <w:tab/>
        <w:t>Form of U.S. Tax Certificate (Foreign Participants That Are Not Partnerships)</w:t>
      </w:r>
    </w:p>
    <w:p>
      <w:pPr>
        <w:spacing w:after="0" w:line="3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Form of U.S. Tax Certificate (Foreign Participants That Are Partnerships)</w:t>
      </w:r>
    </w:p>
    <w:p>
      <w:pPr>
        <w:spacing w:after="0" w:line="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Form of U.S. Tax Certificate (Foreign Lenders That Are Partnerships)</w:t>
      </w:r>
    </w:p>
    <w:p>
      <w:pPr>
        <w:spacing w:after="0" w:line="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Form of Guarantee and Collateral Agreement</w:t>
      </w:r>
    </w:p>
    <w:p>
      <w:pPr>
        <w:spacing w:after="0" w:line="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tab/>
        <w:t>Form of New Domestic Subsidiary Certificate</w:t>
      </w:r>
    </w:p>
    <w:p>
      <w:pPr>
        <w:spacing w:after="0" w:line="200" w:lineRule="exact"/>
        <w:rPr>
          <w:sz w:val="20"/>
          <w:szCs w:val="20"/>
          <w:color w:val="auto"/>
        </w:rPr>
      </w:pPr>
    </w:p>
    <w:p>
      <w:pPr>
        <w:sectPr>
          <w:pgSz w:w="11900" w:h="16838" w:orient="portrait"/>
          <w:cols w:equalWidth="0" w:num="2">
            <w:col w:w="2452" w:space="720"/>
            <w:col w:w="8060"/>
          </w:cols>
          <w:pgMar w:left="328" w:top="1413" w:right="339" w:bottom="1440" w:gutter="0" w:footer="0" w:header="0"/>
          <w:type w:val="continuous"/>
        </w:sectPr>
      </w:pPr>
    </w:p>
    <w:p>
      <w:pPr>
        <w:spacing w:after="0" w:line="135" w:lineRule="exact"/>
        <w:rPr>
          <w:sz w:val="20"/>
          <w:szCs w:val="20"/>
          <w:color w:val="auto"/>
        </w:rPr>
      </w:pPr>
    </w:p>
    <w:p>
      <w:pPr>
        <w:ind w:left="652" w:hanging="652"/>
        <w:spacing w:after="0" w:line="283" w:lineRule="auto"/>
        <w:tabs>
          <w:tab w:leader="none" w:pos="3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executed by the initial Borrowers in favor of each of the Lenders, if any, which has requested a note pursuant to Section 2.10(e) of the Credit Agreement.</w:t>
      </w:r>
    </w:p>
    <w:p>
      <w:pPr>
        <w:spacing w:after="0" w:line="146" w:lineRule="exact"/>
        <w:rPr>
          <w:rFonts w:ascii="Times New Roman" w:cs="Times New Roman" w:eastAsia="Times New Roman" w:hAnsi="Times New Roman"/>
          <w:sz w:val="20"/>
          <w:szCs w:val="20"/>
          <w:color w:val="auto"/>
        </w:rPr>
      </w:pPr>
    </w:p>
    <w:p>
      <w:pPr>
        <w:ind w:left="652" w:right="20" w:hanging="652"/>
        <w:spacing w:after="0" w:line="283" w:lineRule="auto"/>
        <w:tabs>
          <w:tab w:leader="none" w:pos="438"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Seventh Amended and Restated Guarantee and Collateral Agreement by and among the Company, each of the Domestic Subsidiary Borrowers, each of the Subsidiary Guarantors and the Administrative Agent.</w:t>
      </w:r>
    </w:p>
    <w:p>
      <w:pPr>
        <w:spacing w:after="0" w:line="160" w:lineRule="exact"/>
        <w:rPr>
          <w:sz w:val="20"/>
          <w:szCs w:val="20"/>
          <w:color w:val="auto"/>
        </w:rPr>
      </w:pPr>
    </w:p>
    <w:tbl>
      <w:tblPr>
        <w:tblLayout w:type="fixed"/>
        <w:tblInd w:w="752" w:type="dxa"/>
        <w:tblCellMar>
          <w:top w:w="0" w:type="dxa"/>
          <w:left w:w="0" w:type="dxa"/>
          <w:bottom w:w="0" w:type="dxa"/>
          <w:right w:w="0" w:type="dxa"/>
        </w:tblCellMar>
      </w:tblPr>
      <w:tr>
        <w:trPr>
          <w:trHeight w:val="258"/>
        </w:trPr>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8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SCHEDULES</w:t>
            </w:r>
          </w:p>
        </w:tc>
      </w:tr>
      <w:tr>
        <w:trPr>
          <w:trHeight w:val="480"/>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1</w:t>
            </w:r>
          </w:p>
        </w:tc>
        <w:tc>
          <w:tcPr>
            <w:tcW w:w="510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   Notice Addresses of Guarantors</w:t>
            </w: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2</w:t>
            </w:r>
          </w:p>
        </w:tc>
        <w:tc>
          <w:tcPr>
            <w:tcW w:w="510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   Description of Pledged Stock</w:t>
            </w: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3</w:t>
            </w:r>
          </w:p>
        </w:tc>
        <w:tc>
          <w:tcPr>
            <w:tcW w:w="1020" w:type="dxa"/>
            <w:vAlign w:val="bottom"/>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Jurisdiction of Incorporation</w:t>
            </w: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4</w:t>
            </w:r>
          </w:p>
        </w:tc>
        <w:tc>
          <w:tcPr>
            <w:tcW w:w="1020" w:type="dxa"/>
            <w:vAlign w:val="bottom"/>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Domestic Subsidiaries</w:t>
            </w: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5</w:t>
            </w:r>
          </w:p>
        </w:tc>
        <w:tc>
          <w:tcPr>
            <w:tcW w:w="5100" w:type="dxa"/>
            <w:vAlign w:val="bottom"/>
            <w:gridSpan w:val="2"/>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   Subsidiaries Whose Capital Stock is not Pledged</w:t>
            </w: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6</w:t>
            </w:r>
          </w:p>
        </w:tc>
        <w:tc>
          <w:tcPr>
            <w:tcW w:w="1020" w:type="dxa"/>
            <w:vAlign w:val="bottom"/>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w:t>
            </w: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7</w:t>
            </w:r>
          </w:p>
        </w:tc>
        <w:tc>
          <w:tcPr>
            <w:tcW w:w="1020" w:type="dxa"/>
            <w:vAlign w:val="bottom"/>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[Intentionally Omitted]</w:t>
            </w: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8</w:t>
            </w:r>
          </w:p>
        </w:tc>
        <w:tc>
          <w:tcPr>
            <w:tcW w:w="1020" w:type="dxa"/>
            <w:vAlign w:val="bottom"/>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Specified Excluded IP</w:t>
            </w:r>
          </w:p>
        </w:tc>
      </w:tr>
      <w:tr>
        <w:trPr>
          <w:trHeight w:val="262"/>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 9</w:t>
            </w:r>
          </w:p>
        </w:tc>
        <w:tc>
          <w:tcPr>
            <w:tcW w:w="1020" w:type="dxa"/>
            <w:vAlign w:val="bottom"/>
          </w:tcPr>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40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Pledged Note</w:t>
            </w:r>
          </w:p>
        </w:tc>
      </w:tr>
    </w:tbl>
    <w:p>
      <w:pPr>
        <w:spacing w:after="0" w:line="200" w:lineRule="exact"/>
        <w:rPr>
          <w:sz w:val="20"/>
          <w:szCs w:val="20"/>
          <w:color w:val="auto"/>
        </w:rPr>
      </w:pPr>
    </w:p>
    <w:p>
      <w:pPr>
        <w:spacing w:after="0" w:line="334" w:lineRule="exact"/>
        <w:rPr>
          <w:sz w:val="20"/>
          <w:szCs w:val="20"/>
          <w:color w:val="auto"/>
        </w:rPr>
      </w:pPr>
    </w:p>
    <w:p>
      <w:pPr>
        <w:ind w:left="4932" w:hanging="388"/>
        <w:spacing w:after="0"/>
        <w:tabs>
          <w:tab w:leader="none" w:pos="4932"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UCC DOCUMENTS</w:t>
      </w:r>
    </w:p>
    <w:p>
      <w:pPr>
        <w:spacing w:after="0" w:line="21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tax lien and name variation search reports naming each Loan Party from the appropriate offices in relevant jurisdictions.</w:t>
      </w:r>
    </w:p>
    <w:p>
      <w:pPr>
        <w:spacing w:after="0" w:line="229" w:lineRule="exact"/>
        <w:rPr>
          <w:rFonts w:ascii="Times New Roman" w:cs="Times New Roman" w:eastAsia="Times New Roman" w:hAnsi="Times New Roman"/>
          <w:sz w:val="20"/>
          <w:szCs w:val="20"/>
          <w:color w:val="auto"/>
        </w:rPr>
      </w:pPr>
    </w:p>
    <w:p>
      <w:pPr>
        <w:ind w:left="652" w:hanging="652"/>
        <w:spacing w:after="0" w:line="283" w:lineRule="auto"/>
        <w:tabs>
          <w:tab w:leader="none" w:pos="359"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statements naming each Loan Party as debtor and the Administrative Agent as secured party as filed with the appropriate offices in applicable jurisdictions.</w:t>
      </w:r>
    </w:p>
    <w:p>
      <w:pPr>
        <w:sectPr>
          <w:pgSz w:w="11900" w:h="16838" w:orient="portrait"/>
          <w:cols w:equalWidth="0" w:num="1">
            <w:col w:w="11232"/>
          </w:cols>
          <w:pgMar w:left="328" w:top="1413" w:right="339" w:bottom="1440" w:gutter="0" w:footer="0" w:header="0"/>
          <w:type w:val="continuous"/>
        </w:sectPr>
      </w:pPr>
    </w:p>
    <w:bookmarkStart w:id="180" w:name="page181"/>
    <w:bookmarkEnd w:id="180"/>
    <w:p>
      <w:pPr>
        <w:ind w:left="4612" w:hanging="577"/>
        <w:spacing w:after="0"/>
        <w:tabs>
          <w:tab w:leader="none" w:pos="4612"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CORPORATE DOCUMENTS</w:t>
      </w:r>
    </w:p>
    <w:p>
      <w:pPr>
        <w:spacing w:after="0" w:line="229" w:lineRule="exact"/>
        <w:rPr>
          <w:rFonts w:ascii="Times New Roman" w:cs="Times New Roman" w:eastAsia="Times New Roman" w:hAnsi="Times New Roman"/>
          <w:sz w:val="20"/>
          <w:szCs w:val="20"/>
          <w:color w:val="auto"/>
        </w:rPr>
      </w:pPr>
    </w:p>
    <w:p>
      <w:pPr>
        <w:ind w:left="652" w:hanging="652"/>
        <w:spacing w:after="0" w:line="250" w:lineRule="auto"/>
        <w:tabs>
          <w:tab w:leader="none" w:pos="45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Certificate of the Secretary or an Assistant Secretary of each Loan Party certifying (i) that there have been no changes in the Certificate of Incorporation or other charter document of such Loan Party, as attached thereto and (to the extent applicable) as certified as of a recent date by the Secretary of State (or analogous governmental entity) of the jurisdiction of its organization, since the date of the certification thereof by such governmental entity, (ii) the By-Laws or other applicable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and (iv) the names and true signatures of the incumbent officers of each Loan Party authorized to sign the Loan Documents to which it is a party, and (in the case of each Borrower) authorized to request a Borrowing or the issuance of a Letter of Credit under the Credit Agreement.</w:t>
      </w:r>
    </w:p>
    <w:p>
      <w:pPr>
        <w:spacing w:after="0" w:line="192" w:lineRule="exact"/>
        <w:rPr>
          <w:rFonts w:ascii="Times New Roman" w:cs="Times New Roman" w:eastAsia="Times New Roman" w:hAnsi="Times New Roman"/>
          <w:sz w:val="20"/>
          <w:szCs w:val="20"/>
          <w:color w:val="auto"/>
        </w:rPr>
      </w:pPr>
    </w:p>
    <w:p>
      <w:pPr>
        <w:ind w:left="652" w:hanging="652"/>
        <w:spacing w:after="0" w:line="287" w:lineRule="auto"/>
        <w:tabs>
          <w:tab w:leader="none" w:pos="35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Good Standing Certificate (or analogous documentation if applicable) for each Loan Party from the Secretary of State (or analogous governmental entity) of the jurisdiction of its organization, to the extent generally available in such jurisdiction.</w:t>
      </w:r>
    </w:p>
    <w:p>
      <w:pPr>
        <w:spacing w:after="0" w:line="138" w:lineRule="exact"/>
        <w:rPr>
          <w:rFonts w:ascii="Times New Roman" w:cs="Times New Roman" w:eastAsia="Times New Roman" w:hAnsi="Times New Roman"/>
          <w:sz w:val="20"/>
          <w:szCs w:val="20"/>
          <w:color w:val="auto"/>
        </w:rPr>
      </w:pPr>
    </w:p>
    <w:p>
      <w:pPr>
        <w:ind w:left="5312" w:hanging="380"/>
        <w:spacing w:after="0"/>
        <w:tabs>
          <w:tab w:leader="none" w:pos="5312" w:val="left"/>
        </w:tabs>
        <w:numPr>
          <w:ilvl w:val="3"/>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OPINIONS</w:t>
      </w:r>
    </w:p>
    <w:p>
      <w:pPr>
        <w:spacing w:after="0" w:line="2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Opinion of Hunton Andrews Kurth LLP, special US counsel for the Loan Parties.</w:t>
      </w:r>
    </w:p>
    <w:p>
      <w:pPr>
        <w:spacing w:after="0" w:line="215"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Opinion of Vorys, Sater, Seymour and Pease LLP, special Ohio counsel for the Loan Parties.</w:t>
      </w:r>
    </w:p>
    <w:p>
      <w:pPr>
        <w:spacing w:after="0" w:line="229" w:lineRule="exact"/>
        <w:rPr>
          <w:rFonts w:ascii="Times New Roman" w:cs="Times New Roman" w:eastAsia="Times New Roman" w:hAnsi="Times New Roman"/>
          <w:sz w:val="20"/>
          <w:szCs w:val="20"/>
          <w:color w:val="auto"/>
        </w:rPr>
      </w:pPr>
    </w:p>
    <w:p>
      <w:pPr>
        <w:ind w:left="452" w:hanging="452"/>
        <w:spacing w:after="0"/>
        <w:tabs>
          <w:tab w:leader="none" w:pos="45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Opinion of Brownstein Hyatt Farber Schreck, LLP, special Nevada counsel for the Loan Parties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432" w:hanging="432"/>
        <w:spacing w:after="0"/>
        <w:tabs>
          <w:tab w:leader="none" w:pos="43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Opinion of Borden Ladner Gervais LLP, special Canadian counsel for the Loan Parties.</w:t>
      </w:r>
    </w:p>
    <w:p>
      <w:pPr>
        <w:spacing w:after="0" w:line="229" w:lineRule="exact"/>
        <w:rPr>
          <w:rFonts w:ascii="Times New Roman" w:cs="Times New Roman" w:eastAsia="Times New Roman" w:hAnsi="Times New Roman"/>
          <w:sz w:val="20"/>
          <w:szCs w:val="20"/>
          <w:color w:val="auto"/>
        </w:rPr>
      </w:pPr>
    </w:p>
    <w:p>
      <w:pPr>
        <w:ind w:left="3452" w:hanging="365"/>
        <w:spacing w:after="0"/>
        <w:tabs>
          <w:tab w:leader="none" w:pos="3452"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CLOSING CERTIFICATES AND MISCELLANEOUS</w:t>
      </w:r>
    </w:p>
    <w:p>
      <w:pPr>
        <w:spacing w:after="0" w:line="229" w:lineRule="exact"/>
        <w:rPr>
          <w:rFonts w:ascii="Times New Roman" w:cs="Times New Roman" w:eastAsia="Times New Roman" w:hAnsi="Times New Roman"/>
          <w:sz w:val="20"/>
          <w:szCs w:val="20"/>
          <w:color w:val="auto"/>
        </w:rPr>
      </w:pPr>
    </w:p>
    <w:p>
      <w:pPr>
        <w:ind w:left="652" w:hanging="652"/>
        <w:spacing w:after="0" w:line="255" w:lineRule="auto"/>
        <w:tabs>
          <w:tab w:leader="none" w:pos="463"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 Certificate signed by the President, a Vice President or a Responsible Officer of the Company certifying the following: (i) that all of the representations and warranties contained in </w:t>
      </w:r>
      <w:r>
        <w:rPr>
          <w:rFonts w:ascii="Times New Roman" w:cs="Times New Roman" w:eastAsia="Times New Roman" w:hAnsi="Times New Roman"/>
          <w:sz w:val="20"/>
          <w:szCs w:val="20"/>
          <w:b w:val="1"/>
          <w:bCs w:val="1"/>
          <w:i w:val="1"/>
          <w:iCs w:val="1"/>
          <w:u w:val="single" w:color="auto"/>
          <w:color w:val="auto"/>
        </w:rPr>
        <w:t>Article III</w:t>
      </w:r>
      <w:r>
        <w:rPr>
          <w:rFonts w:ascii="Times New Roman" w:cs="Times New Roman" w:eastAsia="Times New Roman" w:hAnsi="Times New Roman"/>
          <w:sz w:val="20"/>
          <w:szCs w:val="20"/>
          <w:b w:val="1"/>
          <w:bCs w:val="1"/>
          <w:i w:val="1"/>
          <w:iCs w:val="1"/>
          <w:color w:val="auto"/>
        </w:rPr>
        <w:t xml:space="preserve"> of the Credit Agreement are true and correct in all material respects (or, in the case of any representation or warranty qualified by materiality or Material Adverse Effect, in all respects) and (ii) that no Default or Event of Default has occurred and is then continuing.</w:t>
      </w:r>
    </w:p>
    <w:p>
      <w:pPr>
        <w:sectPr>
          <w:pgSz w:w="11900" w:h="16838" w:orient="portrait"/>
          <w:cols w:equalWidth="0" w:num="1">
            <w:col w:w="11232"/>
          </w:cols>
          <w:pgMar w:left="328" w:top="1409"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0"/>
          <w:szCs w:val="20"/>
          <w:color w:val="auto"/>
        </w:rPr>
        <w:t>EXHIBIT C-1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SUBSIDIARY BORROWER AGREEMENT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SUBSIDIARY BORROWER AGREEMENT dated as of [_____], among The Scotts Miracle-Gro Company, an Ohio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[Name of Subsidiary Borrower], a [__________] (the “</w:t>
      </w:r>
      <w:r>
        <w:rPr>
          <w:rFonts w:ascii="Times New Roman" w:cs="Times New Roman" w:eastAsia="Times New Roman" w:hAnsi="Times New Roman"/>
          <w:sz w:val="20"/>
          <w:szCs w:val="20"/>
          <w:u w:val="single" w:color="auto"/>
          <w:color w:val="auto"/>
        </w:rPr>
        <w:t>New Subsidiary Borrower</w:t>
      </w:r>
      <w:r>
        <w:rPr>
          <w:rFonts w:ascii="Times New Roman" w:cs="Times New Roman" w:eastAsia="Times New Roman" w:hAnsi="Times New Roman"/>
          <w:sz w:val="20"/>
          <w:szCs w:val="20"/>
          <w:color w:val="auto"/>
        </w:rPr>
        <w:t>”), and JPMorgan 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Reference is hereby made to the Seventh Amended and Restated Credit Agreement dated as of November 21, 2025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Company, the Subsidiary Borrowers from time to time party thereto, the Lenders from time to time party thereto and JPMorgan Chase Bank, N.A. as Administrative Agent. Capitalized terms used herein but not otherwise defined herein shall have the meanings assigned to such terms in the Credit Agreement. Under the Credit Agreement, the Lenders have agreed, upon the terms and subject to the conditions therein set forth, to make Loans to certain Subsidiary Borrowers (collectively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xml:space="preserve">”), and the Company and the New Subsidiary Borrower desire that the New Subsidiary Borrower become a Subsidiary Borrower. In addition, the New Subsidiary Borrower hereby authorizes the Company to act on its behalf as and to the extent provided for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of the Credit Agreement.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Notwithstanding the preceding sentence, the New Subsidiary Borrower hereby designates the following officers as being authorized to request Borrowings under the Credit Agreement on behalf of the New Subsidiary Borrower and sign this Subsidiary Borrower Agreement and the other Loan Documents to which the New Subsidiary Borrower is, or may from time to time become, a party: [______________].</w:t>
      </w:r>
      <w:r>
        <w:rPr>
          <w:rFonts w:ascii="Times New Roman" w:cs="Times New Roman" w:eastAsia="Times New Roman" w:hAnsi="Times New Roman"/>
          <w:sz w:val="20"/>
          <w:szCs w:val="20"/>
          <w:b w:val="1"/>
          <w:bCs w:val="1"/>
          <w:color w:val="auto"/>
        </w:rPr>
        <w:t>]</w:t>
      </w:r>
    </w:p>
    <w:p>
      <w:pPr>
        <w:spacing w:after="0" w:line="18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auto"/>
        </w:rPr>
        <w:t>Each of the Company and the New Subsidiary Borrower represents and warrants that the representations and warranties of the Company in the Credit Agreement relating to the New Subsidiary Borrower and this Agreement are true and correct in all material respects (or, in the case of any representation or warranty qualified by materiality or Material Adverse Effect, in all respects) on and as of the date hereof, other than representations given as of a particular date, in which case they shall be true and correct in all material respects (or, in the case of any representation or warranty qualified by materiality or Material Adverse Effect, in all respects) as of that date. [The Company and the New Subsidiary Borrower further represent and warrant that the execution, delivery and performance by the New Subsidiary Borrower of the transactions contemplated under this Agreement and the use of any of the proceeds raised in connection with this Agreement will not contravene or conflict with, or otherwise constitute unlawful financial assistance under, Sections 677 to 683 (inclusive) of the United Kingdom Companies Act 2006 of England and Wales (as amended).]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[INSERT OTHER PROVISIONS REASONABLY REQUESTED BY ADMINISTRATIVE AGENT OR ITS COUNSELS] The Company agrees that the Guarantee of the Company contained in the Guarantee and Collateral Agreement will apply to the Obligations of the New Subsidiary Borrower. Upon execution of this Agreement by each of the Company, the New Subsidiary Borrower and the Administrative Agent, the New Subsidiary Borrower shall be a party to the Credit Agreement and shall constitute a “Subsidiary Borrower” for all purposes thereof, and the New Subsidiary Borrower hereby agrees to be bound by all provisions of the Credit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ind w:left="120" w:hanging="112"/>
        <w:spacing w:after="0" w:line="195" w:lineRule="auto"/>
        <w:tabs>
          <w:tab w:leader="none" w:pos="120" w:val="left"/>
        </w:tabs>
        <w:numPr>
          <w:ilvl w:val="0"/>
          <w:numId w:val="20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To be included only if a New Subsidiary Borrower will be a Borrower organized under the laws of England and Wales.</w:t>
      </w:r>
    </w:p>
    <w:p>
      <w:pPr>
        <w:sectPr>
          <w:pgSz w:w="11900" w:h="16838" w:orient="portrait"/>
          <w:cols w:equalWidth="0" w:num="1">
            <w:col w:w="11240"/>
          </w:cols>
          <w:pgMar w:left="320" w:top="1413" w:right="339" w:bottom="1440" w:gutter="0" w:footer="0" w:header="0"/>
        </w:sectPr>
      </w:pPr>
    </w:p>
    <w:bookmarkStart w:id="182" w:name="page183"/>
    <w:bookmarkEnd w:id="182"/>
    <w:p>
      <w:pPr>
        <w:spacing w:after="0" w:line="200" w:lineRule="exact"/>
        <w:rPr>
          <w:sz w:val="20"/>
          <w:szCs w:val="20"/>
          <w:color w:val="auto"/>
        </w:rPr>
      </w:pPr>
    </w:p>
    <w:p>
      <w:pPr>
        <w:spacing w:after="0" w:line="232" w:lineRule="exact"/>
        <w:rPr>
          <w:sz w:val="20"/>
          <w:szCs w:val="20"/>
          <w:color w:val="auto"/>
        </w:rPr>
      </w:pPr>
    </w:p>
    <w:p>
      <w:pPr>
        <w:jc w:val="center"/>
        <w:ind w:left="180" w:right="379"/>
        <w:spacing w:after="0" w:line="283"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New York.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019"/>
          </w:cols>
          <w:pgMar w:left="1440" w:top="1440" w:right="1440" w:bottom="1440" w:gutter="0" w:footer="0" w:header="0"/>
        </w:sectPr>
      </w:pPr>
    </w:p>
    <w:bookmarkStart w:id="183" w:name="page184"/>
    <w:bookmarkEnd w:id="183"/>
    <w:p>
      <w:pPr>
        <w:spacing w:after="0" w:line="200" w:lineRule="exact"/>
        <w:rPr>
          <w:sz w:val="20"/>
          <w:szCs w:val="20"/>
          <w:color w:val="auto"/>
        </w:rPr>
      </w:pPr>
    </w:p>
    <w:p>
      <w:pPr>
        <w:spacing w:after="0" w:line="232"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authorized officers as of the date first appearing above.</w:t>
      </w:r>
    </w:p>
    <w:p>
      <w:pPr>
        <w:spacing w:after="0" w:line="18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39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20"/>
          <w:szCs w:val="20"/>
          <w:color w:val="auto"/>
        </w:rPr>
        <w:t>By: _________________________________</w:t>
      </w:r>
    </w:p>
    <w:p>
      <w:pPr>
        <w:ind w:left="7540"/>
        <w:spacing w:after="0" w:line="197" w:lineRule="auto"/>
        <w:rPr>
          <w:sz w:val="20"/>
          <w:szCs w:val="20"/>
          <w:color w:val="auto"/>
        </w:rPr>
      </w:pPr>
      <w:r>
        <w:rPr>
          <w:rFonts w:ascii="Times New Roman" w:cs="Times New Roman" w:eastAsia="Times New Roman" w:hAnsi="Times New Roman"/>
          <w:sz w:val="20"/>
          <w:szCs w:val="20"/>
          <w:color w:val="auto"/>
        </w:rPr>
        <w:t>Name:</w:t>
      </w:r>
    </w:p>
    <w:p>
      <w:pPr>
        <w:ind w:left="7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[NAME OF NEW SUBSIDIARY BORROWER]</w:t>
      </w:r>
    </w:p>
    <w:p>
      <w:pPr>
        <w:spacing w:after="0" w:line="39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20"/>
          <w:szCs w:val="20"/>
          <w:color w:val="auto"/>
        </w:rPr>
        <w:t>By: _________________________________</w:t>
      </w:r>
    </w:p>
    <w:p>
      <w:pPr>
        <w:ind w:left="7540"/>
        <w:spacing w:after="0" w:line="197" w:lineRule="auto"/>
        <w:rPr>
          <w:sz w:val="20"/>
          <w:szCs w:val="20"/>
          <w:color w:val="auto"/>
        </w:rPr>
      </w:pPr>
      <w:r>
        <w:rPr>
          <w:rFonts w:ascii="Times New Roman" w:cs="Times New Roman" w:eastAsia="Times New Roman" w:hAnsi="Times New Roman"/>
          <w:sz w:val="20"/>
          <w:szCs w:val="20"/>
          <w:color w:val="auto"/>
        </w:rPr>
        <w:t>Name:</w:t>
      </w:r>
    </w:p>
    <w:p>
      <w:pPr>
        <w:ind w:left="7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JPMORGAN CHASE BANK, N.A., as</w:t>
      </w:r>
    </w:p>
    <w:p>
      <w:pPr>
        <w:ind w:left="712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36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By: _________________________________</w:t>
      </w:r>
    </w:p>
    <w:p>
      <w:pPr>
        <w:ind w:left="7120"/>
        <w:spacing w:after="0" w:line="211" w:lineRule="auto"/>
        <w:rPr>
          <w:sz w:val="20"/>
          <w:szCs w:val="20"/>
          <w:color w:val="auto"/>
        </w:rPr>
      </w:pPr>
      <w:r>
        <w:rPr>
          <w:rFonts w:ascii="Times New Roman" w:cs="Times New Roman" w:eastAsia="Times New Roman" w:hAnsi="Times New Roman"/>
          <w:sz w:val="20"/>
          <w:szCs w:val="20"/>
          <w:color w:val="auto"/>
        </w:rPr>
        <w:t>Name:</w:t>
      </w:r>
    </w:p>
    <w:p>
      <w:pPr>
        <w:ind w:left="71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0"/>
          <w:szCs w:val="20"/>
          <w:color w:val="auto"/>
        </w:rPr>
        <w:t>EXHIBIT C-2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SUBSIDIARY BORROWER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Lenders referred to below</w:t>
      </w:r>
    </w:p>
    <w:p>
      <w:pPr>
        <w:spacing w:after="0" w:line="208" w:lineRule="auto"/>
        <w:rPr>
          <w:sz w:val="20"/>
          <w:szCs w:val="20"/>
          <w:color w:val="auto"/>
        </w:rPr>
      </w:pPr>
      <w:r>
        <w:rPr>
          <w:rFonts w:ascii="Times New Roman" w:cs="Times New Roman" w:eastAsia="Times New Roman" w:hAnsi="Times New Roman"/>
          <w:sz w:val="20"/>
          <w:szCs w:val="20"/>
          <w:color w:val="auto"/>
        </w:rPr>
        <w:t>[500 Stanton Christiana Road, Ops Building 2,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Newark, Delaware 19713-2107]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[__________]</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undersigned, The Scotts Miracle-Gro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refers to the Seventh Amended and Restated Credit Agreement dated as of November 21, 2025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Company, the Subsidiary Borrowers from time to time party thereto and JPMorgan Chase Bank, N.A., as Administrative Agent. Capitalized terms used and not otherwise defined herein shall have the meanings assigned to such terms in the Credit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Company hereby terminates the status of [______________] (the “</w:t>
      </w:r>
      <w:r>
        <w:rPr>
          <w:rFonts w:ascii="Times New Roman" w:cs="Times New Roman" w:eastAsia="Times New Roman" w:hAnsi="Times New Roman"/>
          <w:sz w:val="20"/>
          <w:szCs w:val="20"/>
          <w:u w:val="single" w:color="auto"/>
          <w:color w:val="auto"/>
        </w:rPr>
        <w:t>Terminated Subsidiary Borrower</w:t>
      </w:r>
      <w:r>
        <w:rPr>
          <w:rFonts w:ascii="Times New Roman" w:cs="Times New Roman" w:eastAsia="Times New Roman" w:hAnsi="Times New Roman"/>
          <w:sz w:val="20"/>
          <w:szCs w:val="20"/>
          <w:color w:val="auto"/>
        </w:rPr>
        <w:t>”) as a Subsidiary</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Borrower under the Credit Agreement. [The Company represents and warrants that no Loans made to the Terminated Subsidiary Borrower are outstanding as of the date hereof and that all amounts payable by the Terminated Subsidiary Borrower in respect of interest and/or fees (and, to the extent notified by the Administrative Agent or any Lender, any other amounts payable under the Credit Agreement) pursuant to the Credit Agreement have been paid in full on or prior to the date hereof.] [The Company acknowledges that the Terminated Subsidiary Borrower shall continue to be a Borrower until such time as all Loans made to the Terminated Subsidiary Borrower shall have been prepaid and all amounts payable by the Terminated Subsidiary Borrower in respect of interest and/or fees (and, to the extent notified by the Administrative Agent or any Lender, any other amounts payable under the Credit Agreement) pursuant to the Credit Agreement shall have been paid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Terminated Subsidiary Borrower shall not have the right to make further Borrowings under the Credit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13"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20"/>
          <w:szCs w:val="20"/>
          <w:color w:val="auto"/>
        </w:rPr>
        <w:t>This instrument shall be construed in accordance with and governed by the laws of the State of New York.</w:t>
      </w:r>
    </w:p>
    <w:p>
      <w:pPr>
        <w:spacing w:after="0" w:line="27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9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9"/>
          <w:szCs w:val="19"/>
          <w:color w:val="auto"/>
        </w:rPr>
        <w:t>THE SCOTTS MIRACLE-GRO COMPANY</w:t>
      </w:r>
    </w:p>
    <w:p>
      <w:pPr>
        <w:spacing w:after="0" w:line="200" w:lineRule="exact"/>
        <w:rPr>
          <w:sz w:val="20"/>
          <w:szCs w:val="20"/>
          <w:color w:val="auto"/>
        </w:rPr>
      </w:pPr>
    </w:p>
    <w:p>
      <w:pPr>
        <w:spacing w:after="0" w:line="2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9"/>
          <w:szCs w:val="19"/>
          <w:color w:val="auto"/>
        </w:rPr>
        <w:t>By: _________________________________</w:t>
      </w:r>
    </w:p>
    <w:p>
      <w:pPr>
        <w:ind w:left="7540"/>
        <w:spacing w:after="0" w:line="20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Copy to: JPMorgan Chase Bank, N.A.</w:t>
      </w:r>
    </w:p>
    <w:p>
      <w:pPr>
        <w:spacing w:after="0" w:line="2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[__________]</w:t>
      </w:r>
    </w:p>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760"/>
          </w:cols>
          <w:pgMar w:left="320" w:top="1413" w:right="819" w:bottom="1440" w:gutter="0" w:footer="0" w:header="0"/>
        </w:sectPr>
      </w:pPr>
    </w:p>
    <w:bookmarkStart w:id="186" w:name="page187"/>
    <w:bookmarkEnd w:id="186"/>
    <w:p>
      <w:pPr>
        <w:spacing w:after="0" w:line="6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EXHIBIT D-1</w:t>
      </w:r>
    </w:p>
    <w:p>
      <w:pPr>
        <w:spacing w:after="0" w:line="9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[FORM OF]</w:t>
      </w:r>
    </w:p>
    <w:p>
      <w:pPr>
        <w:spacing w:after="0" w:line="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Foreign Lenders That Are Not Partnerships For U.S. Federal Income Tax Purposes)</w:t>
      </w:r>
    </w:p>
    <w:p>
      <w:pPr>
        <w:spacing w:after="0" w:line="1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Seventh Amended and Restated Credit Agreement dated as of November 21, 2025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Scotts Miracle-Gro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from time to time party thereto (collectively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Lenders from time to time party thereto and JPMorgan Chase Bank, N.A., as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5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5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Borrowers with a certificate of its non-U.S. Person status on IRS Form W-8BEN or IRS Form W-8BEN-E, as applicable.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5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OF LENDER]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__________, 20[__]</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6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EXHIBIT D-2</w:t>
      </w:r>
    </w:p>
    <w:p>
      <w:pPr>
        <w:spacing w:after="0" w:line="9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[FORM OF]</w:t>
      </w:r>
    </w:p>
    <w:p>
      <w:pPr>
        <w:spacing w:after="0" w:line="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Foreign Participants That Are Not Partnerships For U.S. Federal Income Tax Purposes)</w:t>
      </w:r>
    </w:p>
    <w:p>
      <w:pPr>
        <w:spacing w:after="0" w:line="1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Seventh Amended and Restated Credit Agreement dated as of November 21, 2025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Scotts Miracle-Gro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from time to time party thereto (collectively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Lenders from time to time party thereto and JPMorgan Chase Bank, N.A., as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5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5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5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________ __, 20[__]</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6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EXHIBIT D-3</w:t>
      </w:r>
    </w:p>
    <w:p>
      <w:pPr>
        <w:spacing w:after="0" w:line="9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[FORM OF]</w:t>
      </w:r>
    </w:p>
    <w:p>
      <w:pPr>
        <w:spacing w:after="0" w:line="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Foreign Participants That Are Partnerships For U.S. Federal Income Tax Purposes)</w:t>
      </w:r>
    </w:p>
    <w:p>
      <w:pPr>
        <w:spacing w:after="0" w:line="1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Seventh Amended and Restated Credit Agreement dated as of November 21, 2025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Scotts Miracle-Gro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from time to time party thereto (collectively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Lenders from time to time party thereto and JPMorgan Chase Bank, N.A., as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5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5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________ __, 20[__]</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6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EXHIBIT D-4</w:t>
      </w:r>
    </w:p>
    <w:p>
      <w:pPr>
        <w:spacing w:after="0" w:line="9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[FORM OF]</w:t>
      </w:r>
    </w:p>
    <w:p>
      <w:pPr>
        <w:spacing w:after="0" w:line="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Foreign Lenders That Are Partnerships For U.S. Federal Income Tax Purposes)</w:t>
      </w:r>
    </w:p>
    <w:p>
      <w:pPr>
        <w:spacing w:after="0" w:line="1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Seventh Amended and Restated Credit Agreement dated as of November 21, 2025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Scotts Miracle-Gro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from time to time party thereto (collectively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Lenders from time to time party thereto and JPMorgan Chase Bank, N.A., as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5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7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Borrowers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6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OF LENDER]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________ __, 20[__]</w:t>
      </w:r>
    </w:p>
    <w:p>
      <w:pPr>
        <w:sectPr>
          <w:pgSz w:w="11900" w:h="16838" w:orient="portrait"/>
          <w:cols w:equalWidth="0" w:num="1">
            <w:col w:w="11240"/>
          </w:cols>
          <w:pgMar w:left="320" w:top="1440" w:right="3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20"/>
          <w:szCs w:val="20"/>
          <w:color w:val="auto"/>
        </w:rPr>
        <w:t>EXHIBIT E</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FORM OF GUARANTEE AND COLLATERAL AGREEMENT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13" w:right="1440"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SEVENTH AMENDED AND RESTATED GUARANTEE AND COLLATERAL AGREEMENT</w:t>
      </w: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made by</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EACH DOMESTIC SUBSIDIARY BORROWER</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and certain of their Domestic Subsidiaries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in favor of</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Dated as of November 21, 2025</w:t>
      </w:r>
    </w:p>
    <w:p>
      <w:pPr>
        <w:sectPr>
          <w:pgSz w:w="11900" w:h="16838" w:orient="portrait"/>
          <w:cols w:equalWidth="0" w:num="1">
            <w:col w:w="9019"/>
          </w:cols>
          <w:pgMar w:left="1440" w:top="1440" w:right="1440" w:bottom="1440" w:gutter="0" w:footer="0" w:header="0"/>
        </w:sectPr>
      </w:pPr>
    </w:p>
    <w:bookmarkStart w:id="192" w:name="page193"/>
    <w:bookmarkEnd w:id="192"/>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0" w:type="dxa"/>
            <w:vAlign w:val="bottom"/>
          </w:tcPr>
          <w:p>
            <w:pPr>
              <w:spacing w:after="0"/>
              <w:rPr>
                <w:sz w:val="22"/>
                <w:szCs w:val="22"/>
                <w:color w:val="auto"/>
              </w:rPr>
            </w:pPr>
          </w:p>
        </w:tc>
        <w:tc>
          <w:tcPr>
            <w:tcW w:w="8960" w:type="dxa"/>
            <w:vAlign w:val="bottom"/>
          </w:tcPr>
          <w:p>
            <w:pPr>
              <w:ind w:left="26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2"/>
              </w:rPr>
              <w:t>Page</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w:t>
            </w:r>
          </w:p>
        </w:tc>
        <w:tc>
          <w:tcPr>
            <w:tcW w:w="89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DEFINED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525"/>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1.1.</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Definitions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8"/>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 Definitional Provisions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526"/>
        </w:trPr>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SECTION 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BORROWER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525"/>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2.1.</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Company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Subrogation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2.3.</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Amendments, Etc. with respect to the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2.4.</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Guarantee Absolute and Unconditional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2.5.</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Reinstatement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2.6.</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Payments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8"/>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2.7.</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Keepwell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52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3.</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DOMESTIC SUBSIDIARY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525"/>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3.1.</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Domestic Subsidiary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Right of Contribution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3.3.</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Subrogation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3.4.</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Amendments, Etc. with respect to the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3.5.</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Guarantees Absolute and Unconditional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3.6.</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Reinstatement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3.7.</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Payments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8"/>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3.8.</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Keepwell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527"/>
        </w:trPr>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SECTION 4.</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GRANT OF SECURITY INTEREST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526"/>
        </w:trPr>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SECTION 5.</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525"/>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5.1.</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 No Other Liens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Perfected First Priority Liens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5.3.</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Jurisdiction of Organization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5.4.</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Domestic Subsidiaries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5.5.</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Pledged Stock</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5.6.</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Receivables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5.7.</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Intellectual Property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8"/>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5.8.</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Pledged Note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526"/>
        </w:trPr>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SECTION 6.</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bl>
    <w:p>
      <w:pPr>
        <w:sectPr>
          <w:pgSz w:w="11900" w:h="16838" w:orient="portrait"/>
          <w:cols w:equalWidth="0" w:num="1">
            <w:col w:w="10940"/>
          </w:cols>
          <w:pgMar w:left="600" w:top="1440" w:right="359" w:bottom="1440" w:gutter="0" w:footer="0" w:header="0"/>
        </w:sectPr>
      </w:pPr>
    </w:p>
    <w:bookmarkStart w:id="193" w:name="page194"/>
    <w:bookmarkEnd w:id="19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Delivery of Certificated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Maintenance of Insurance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6.3.</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Payment of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6.4.</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Maintenance of Perfected Security Interest; Further Documentation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6.5.</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6.6.</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Pledged 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6.7.</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Receivables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14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6.8.</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Intellectual Property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14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6.9.</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Pledged Note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527"/>
        </w:trPr>
        <w:tc>
          <w:tcPr>
            <w:tcW w:w="14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5"/>
              </w:rPr>
              <w:t>SECTION 7.</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REMEDIAL PROVISIONS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525"/>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Certain Matters Relating to Receivables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Communications with Obligors; Grantors Remain Liable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7.3.</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Pledged 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7.4.</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Proceeds to be Turned Over to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7.5.</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Application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7.6.</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Code and Other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7.7.</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Registration Rights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8"/>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7.8.</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Deficiency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526"/>
        </w:trPr>
        <w:tc>
          <w:tcPr>
            <w:tcW w:w="14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5"/>
              </w:rPr>
              <w:t>SECTION 8.</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THE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525"/>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8.1.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Administrative Agent’s Appointment as Attorney-in-Fact, Etc.</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8.2.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Duty of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8.3.</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Execution of Financing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8.4.</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Further Assurances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8"/>
        </w:trPr>
        <w:tc>
          <w:tcPr>
            <w:tcW w:w="14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8.5.</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Authority of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526"/>
        </w:trPr>
        <w:tc>
          <w:tcPr>
            <w:tcW w:w="14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5"/>
              </w:rPr>
              <w:t>SECTION 9.</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525"/>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Amendments in Writing</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9.3.</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 Waiver by Course of Conduct; Cumulative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9.4.</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Expenses; Indemnity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9.5.</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9.6.</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Right of Set-Off</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9.7.</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Counterparts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9.8.</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9.9.</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Headings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3"/>
        </w:trPr>
        <w:tc>
          <w:tcPr>
            <w:tcW w:w="1460" w:type="dxa"/>
            <w:vAlign w:val="bottom"/>
          </w:tcPr>
          <w:p>
            <w:pPr>
              <w:jc w:val="center"/>
              <w:ind w:left="321"/>
              <w:spacing w:after="0"/>
              <w:rPr>
                <w:sz w:val="20"/>
                <w:szCs w:val="20"/>
                <w:color w:val="auto"/>
              </w:rPr>
            </w:pPr>
            <w:r>
              <w:rPr>
                <w:rFonts w:ascii="Times New Roman" w:cs="Times New Roman" w:eastAsia="Times New Roman" w:hAnsi="Times New Roman"/>
                <w:sz w:val="20"/>
                <w:szCs w:val="20"/>
                <w:color w:val="auto"/>
                <w:w w:val="99"/>
              </w:rPr>
              <w:t>9.10.</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Integration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0"/>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4"/>
              </w:rPr>
              <w:t>9.11.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GOVERNING LAW</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8"/>
        </w:trPr>
        <w:tc>
          <w:tcPr>
            <w:tcW w:w="1460" w:type="dxa"/>
            <w:vAlign w:val="bottom"/>
          </w:tcPr>
          <w:p>
            <w:pPr>
              <w:jc w:val="center"/>
              <w:ind w:left="321"/>
              <w:spacing w:after="0"/>
              <w:rPr>
                <w:sz w:val="20"/>
                <w:szCs w:val="20"/>
                <w:color w:val="auto"/>
              </w:rPr>
            </w:pPr>
            <w:r>
              <w:rPr>
                <w:rFonts w:ascii="Times New Roman" w:cs="Times New Roman" w:eastAsia="Times New Roman" w:hAnsi="Times New Roman"/>
                <w:sz w:val="20"/>
                <w:szCs w:val="20"/>
                <w:color w:val="auto"/>
                <w:w w:val="99"/>
              </w:rPr>
              <w:t>9.12.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Submission to Jurisdiction; Waivers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bl>
    <w:p>
      <w:pPr>
        <w:sectPr>
          <w:pgSz w:w="11900" w:h="16838" w:orient="portrait"/>
          <w:cols w:equalWidth="0" w:num="1">
            <w:col w:w="10780"/>
          </w:cols>
          <w:pgMar w:left="760" w:top="1440" w:right="359" w:bottom="1440" w:gutter="0" w:footer="0" w:header="0"/>
        </w:sectPr>
      </w:pPr>
    </w:p>
    <w:bookmarkStart w:id="194" w:name="page195"/>
    <w:bookmarkEnd w:id="194"/>
    <w:p>
      <w:pPr>
        <w:spacing w:after="0" w:line="14" w:lineRule="exact"/>
        <w:rPr>
          <w:sz w:val="20"/>
          <w:szCs w:val="20"/>
          <w:color w:val="auto"/>
        </w:rPr>
      </w:pPr>
    </w:p>
    <w:tbl>
      <w:tblPr>
        <w:tblLayout w:type="fixed"/>
        <w:tblInd w:w="1020" w:type="dxa"/>
        <w:tblCellMar>
          <w:top w:w="0" w:type="dxa"/>
          <w:left w:w="0" w:type="dxa"/>
          <w:bottom w:w="0" w:type="dxa"/>
          <w:right w:w="0" w:type="dxa"/>
        </w:tblCellMar>
      </w:tblPr>
      <w:tr>
        <w:trPr>
          <w:trHeight w:val="256"/>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9.13.</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Acknowledgments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9.14.</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Additional Guarantors and Grantors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9.15.</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Releases; Reinstatement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3"/>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9.16.</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Conflict of Laws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61"/>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9.17.</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WAIVER OF JURY TRIAL</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8"/>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9.18.</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Amendment and Restatement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SCHEDULES</w:t>
            </w:r>
          </w:p>
        </w:tc>
        <w:tc>
          <w:tcPr>
            <w:tcW w:w="46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389"/>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1</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Notice Addresses of Guarantors</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2</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Description of Pledged Stock</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3</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Jurisdiction of Incorporation</w:t>
            </w:r>
          </w:p>
        </w:tc>
      </w:tr>
      <w:tr>
        <w:trPr>
          <w:trHeight w:val="25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4</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Domestic Subsidiaries</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5</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8"/>
              </w:rPr>
              <w:t>Subsidiaries Whose Capital Stock is not Pledged</w:t>
            </w:r>
          </w:p>
        </w:tc>
      </w:tr>
      <w:tr>
        <w:trPr>
          <w:trHeight w:val="25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6</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7</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[Reserved]</w:t>
            </w:r>
          </w:p>
        </w:tc>
      </w:tr>
      <w:tr>
        <w:trPr>
          <w:trHeight w:val="25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8</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Specified Excluded IP</w:t>
            </w:r>
          </w:p>
        </w:tc>
      </w:tr>
      <w:tr>
        <w:trPr>
          <w:trHeight w:val="258"/>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9</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Pledged Note</w:t>
            </w:r>
          </w:p>
        </w:tc>
      </w:tr>
      <w:tr>
        <w:trPr>
          <w:trHeight w:val="52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ANNEXES</w:t>
            </w:r>
          </w:p>
        </w:tc>
        <w:tc>
          <w:tcPr>
            <w:tcW w:w="4320" w:type="dxa"/>
            <w:vAlign w:val="bottom"/>
          </w:tcPr>
          <w:p>
            <w:pPr>
              <w:spacing w:after="0"/>
              <w:rPr>
                <w:sz w:val="24"/>
                <w:szCs w:val="24"/>
                <w:color w:val="auto"/>
              </w:rPr>
            </w:pPr>
          </w:p>
        </w:tc>
      </w:tr>
      <w:tr>
        <w:trPr>
          <w:trHeight w:val="525"/>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 1</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Assumption Agreement</w:t>
            </w:r>
          </w:p>
        </w:tc>
      </w:tr>
      <w:tr>
        <w:trPr>
          <w:trHeight w:val="25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 2</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Copyright Security Agreement</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 3</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Patent Security Agreement</w:t>
            </w:r>
          </w:p>
        </w:tc>
      </w:tr>
      <w:tr>
        <w:trPr>
          <w:trHeight w:val="258"/>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 4</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Trademark Security Agreement</w:t>
            </w:r>
          </w:p>
        </w:tc>
      </w:tr>
    </w:tbl>
    <w:p>
      <w:pPr>
        <w:sectPr>
          <w:pgSz w:w="11900" w:h="16838" w:orient="portrait"/>
          <w:cols w:equalWidth="0" w:num="1">
            <w:col w:w="11040"/>
          </w:cols>
          <w:pgMar w:left="500" w:top="1440" w:right="359" w:bottom="1440" w:gutter="0" w:footer="0" w:header="0"/>
        </w:sectPr>
      </w:pPr>
    </w:p>
    <w:bookmarkStart w:id="195" w:name="page196"/>
    <w:bookmarkEnd w:id="195"/>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THIS SEVENTH AMENDED AND RESTATED GUARANTEE AND COLLATERAL AGREEMENT, dated as of November 21, 2025 made by each of the signatories hereto (together with any other entity that may become a party hereto as provided herein, the “</w:t>
      </w:r>
      <w:r>
        <w:rPr>
          <w:rFonts w:ascii="Times New Roman" w:cs="Times New Roman" w:eastAsia="Times New Roman" w:hAnsi="Times New Roman"/>
          <w:sz w:val="20"/>
          <w:szCs w:val="20"/>
          <w:u w:val="single" w:color="auto"/>
          <w:color w:val="auto"/>
        </w:rPr>
        <w:t>Grantors</w:t>
      </w:r>
      <w:r>
        <w:rPr>
          <w:rFonts w:ascii="Times New Roman" w:cs="Times New Roman" w:eastAsia="Times New Roman" w:hAnsi="Times New Roman"/>
          <w:sz w:val="20"/>
          <w:szCs w:val="20"/>
          <w:color w:val="auto"/>
        </w:rPr>
        <w:t>”), in favor of JPMORGAN CHASE BANK,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banks and other financial institutions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from time to time parties to the Seventh Amended and Restated Credit Agreement, dated as of November 21, 2025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SCOTTS MIRACLE-GRO COMPANY, an Ohio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(as defined in the Credit Agreement) from time to time parties to the Credit Agreement, the Co-Syndication Agents and the Co-Documentation Agents named therein and the Administrative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WHEREAS, pursuant to the Credit Agreement, the Lenders have severally agreed to make extensions of credit to the Company and the Subsidiary Borrowers upon the terms and subject to the conditions set forth therein;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WHEREAS, the Company and each Subsidiary Borrower is a member of an affiliated group of companies that includes each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Grantor;</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the proceeds of the extensions of credit under the Credit Agreement will be used in part to enable the Company and each Subsidiary Borrower to make valuable transfers to one or more of the other Grantors in connection with the operation of their respective businesses;</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the Company, each Subsidiary Borrower and the other Grantors are engaged in related businesses, and each Grantor will derive substantial direct and indirect benefit from the making of the extensions of credit under the Credit Agreement;</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it is a condition precedent to the obligation of the Lenders to make their respective extensions of credit to the Company and any Subsidiary Borrower under the Credit Agreement that the Grantors shall have executed and delivered this Agreement to the Administrative Agent for the ratable benefit of the Secured Parties; and</w:t>
      </w:r>
    </w:p>
    <w:p>
      <w:pPr>
        <w:spacing w:after="0" w:line="16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WHEREAS, it is acknowledged and agreed by each party hereto that (i) this Agreement hereby amends and restates in all respects that certain Sixth Amended and Restated Guarantee and Collateral Agreement (the “</w:t>
      </w:r>
      <w:r>
        <w:rPr>
          <w:rFonts w:ascii="Times New Roman" w:cs="Times New Roman" w:eastAsia="Times New Roman" w:hAnsi="Times New Roman"/>
          <w:sz w:val="19"/>
          <w:szCs w:val="19"/>
          <w:u w:val="single" w:color="auto"/>
          <w:color w:val="auto"/>
        </w:rPr>
        <w:t>Existing Guarantee and Collateral Agreement</w:t>
      </w:r>
      <w:r>
        <w:rPr>
          <w:rFonts w:ascii="Times New Roman" w:cs="Times New Roman" w:eastAsia="Times New Roman" w:hAnsi="Times New Roman"/>
          <w:sz w:val="19"/>
          <w:szCs w:val="19"/>
          <w:color w:val="auto"/>
        </w:rPr>
        <w:t>”) dated as of April 8, 2022, among the Company, the Grantors party thereto, the several banks and other financial institutions parties thereto and the Administrative Agent, in accordance with the terms and conditions set forth in this Agreement, (ii) from and after the date hereof, each reference to the “Agreement” or other reference originally applicable to the Existing Guarantee and Collateral Agreement contained in any Loan Document shall be a reference to this Agreement, as amended, supplemented, restated or otherwise modified from time to time and</w:t>
      </w:r>
    </w:p>
    <w:p>
      <w:pPr>
        <w:spacing w:after="0" w:line="4" w:lineRule="exact"/>
        <w:rPr>
          <w:sz w:val="20"/>
          <w:szCs w:val="20"/>
          <w:color w:val="auto"/>
        </w:rPr>
      </w:pPr>
    </w:p>
    <w:p>
      <w:pPr>
        <w:jc w:val="both"/>
        <w:ind w:firstLine="8"/>
        <w:spacing w:after="0" w:line="250" w:lineRule="auto"/>
        <w:tabs>
          <w:tab w:leader="none" w:pos="35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intent of the parties hereto that this Agreement not constitute a novation of the obligations and liabilities of the parties under the Existing Guarantee and Collateral Agreement nor impair the liens and security interests created thereunder, but that this Agreement amend and restate in its entirety the Existing Guarantee and Collateral Agreement and re-evidence the obligations and liabilities of each Grantor outstanding thereunder and that such obligations and liabilities shall remain in full force and effect and to the fullest extent permitted by applicable law this Agreement shall not adversely affect the liens and security interests created under the Original Security Agreement or the priority thereof.</w:t>
      </w:r>
    </w:p>
    <w:p>
      <w:pPr>
        <w:sectPr>
          <w:pgSz w:w="11900" w:h="16838" w:orient="portrait"/>
          <w:cols w:equalWidth="0" w:num="1">
            <w:col w:w="11240"/>
          </w:cols>
          <w:pgMar w:left="320" w:top="1413" w:right="339" w:bottom="1440" w:gutter="0" w:footer="0" w:header="0"/>
        </w:sectPr>
      </w:pPr>
    </w:p>
    <w:bookmarkStart w:id="196" w:name="page197"/>
    <w:bookmarkEnd w:id="196"/>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premises and to induce the Administrative Agent and the Lenders to enter into the Credit Agreement and to induce the Lenders to make their respective extensions of credit to the Company and each Subsidiary Borrower thereunder, each Grantor hereby agrees with the Administrative Agent, for the ratable benefit of the Secured Parties, as follows:</w:t>
      </w:r>
    </w:p>
    <w:p>
      <w:pPr>
        <w:spacing w:after="0" w:line="18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1.</w:t>
      </w:r>
      <w:r>
        <w:rPr>
          <w:sz w:val="20"/>
          <w:szCs w:val="20"/>
          <w:color w:val="auto"/>
        </w:rPr>
        <w:tab/>
      </w:r>
      <w:r>
        <w:rPr>
          <w:rFonts w:ascii="Times New Roman" w:cs="Times New Roman" w:eastAsia="Times New Roman" w:hAnsi="Times New Roman"/>
          <w:sz w:val="19"/>
          <w:szCs w:val="19"/>
          <w:color w:val="auto"/>
        </w:rPr>
        <w:t>DEFINED TERMS</w:t>
      </w:r>
    </w:p>
    <w:p>
      <w:pPr>
        <w:spacing w:after="0" w:line="21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Definitions</w:t>
      </w:r>
    </w:p>
    <w:p>
      <w:pPr>
        <w:spacing w:after="0" w:line="229" w:lineRule="exact"/>
        <w:rPr>
          <w:sz w:val="20"/>
          <w:szCs w:val="20"/>
          <w:color w:val="auto"/>
        </w:rPr>
      </w:pPr>
    </w:p>
    <w:p>
      <w:pPr>
        <w:jc w:val="both"/>
        <w:ind w:firstLine="1304"/>
        <w:spacing w:after="0" w:line="261" w:lineRule="auto"/>
        <w:tabs>
          <w:tab w:leader="none" w:pos="173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 and the following terms are used herein as defined in the New York UCC: Accounts, Certificated Security, Chattel Paper, Equipment, Inventory, Instruments and Supporting Obligations.</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terms shall have the following meanings: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After-Acquired Intellectual Property</w:t>
      </w:r>
      <w:r>
        <w:rPr>
          <w:rFonts w:ascii="Times New Roman" w:cs="Times New Roman" w:eastAsia="Times New Roman" w:hAnsi="Times New Roman"/>
          <w:sz w:val="20"/>
          <w:szCs w:val="20"/>
          <w:color w:val="auto"/>
        </w:rPr>
        <w:t>”: as defined in Section 6.8(b).</w:t>
      </w:r>
    </w:p>
    <w:p>
      <w:pPr>
        <w:spacing w:after="0" w:line="256" w:lineRule="exact"/>
        <w:rPr>
          <w:sz w:val="20"/>
          <w:szCs w:val="20"/>
          <w:color w:val="auto"/>
        </w:rPr>
      </w:pPr>
    </w:p>
    <w:p>
      <w:pPr>
        <w:jc w:val="both"/>
        <w:ind w:left="6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this Seventh Amended and Restated Guarantee and Collateral Agreement, as the same may be amended, supplemented or otherwise modified from time to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as defined in Section 4.</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Licenses</w:t>
      </w:r>
      <w:r>
        <w:rPr>
          <w:rFonts w:ascii="Times New Roman" w:cs="Times New Roman" w:eastAsia="Times New Roman" w:hAnsi="Times New Roman"/>
          <w:sz w:val="20"/>
          <w:szCs w:val="20"/>
          <w:color w:val="auto"/>
        </w:rPr>
        <w:t>”: all agreements, licenses and covenants providing for the grant to or from a Grantor of a license or other right to use or exploit any Copyright or otherwise providing for a covenant not to sue for infringement or other violation of any Copyright.</w:t>
      </w:r>
    </w:p>
    <w:p>
      <w:pPr>
        <w:spacing w:after="0" w:line="181"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Copyrights</w:t>
      </w:r>
      <w:r>
        <w:rPr>
          <w:rFonts w:ascii="Times New Roman" w:cs="Times New Roman" w:eastAsia="Times New Roman" w:hAnsi="Times New Roman"/>
          <w:sz w:val="19"/>
          <w:szCs w:val="19"/>
          <w:color w:val="auto"/>
        </w:rPr>
        <w:t xml:space="preserve">”: with respect to any Grantor, all of such Grantor’s right, title and interest in and to all works of authorship and all intellectual property rights therein, all copyrights (whether or not the underlying works of authorship have been published), including but not limited to copyrights in software and databases, all designs (including but not limited to all industrial designs, “Protected Designs” within the meaning of 17 U.S.C. 1301 et. Seq. and Community designs), and all “Mask Works” (as defined in 17 U.S.C. 901 of the U.S. Copyright Act), whether registered or unregistered, and with respect to any and all of the foregoing: (i) all registrations and applications for registration thereof including, without limitation, the registrations and applications in the United States Copyright Office listed on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(ii) all extensions, renewals, and restorations thereof, (iii) all rights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but excluding any Excluded IP.</w:t>
      </w:r>
    </w:p>
    <w:p>
      <w:pPr>
        <w:spacing w:after="0" w:line="16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IP</w:t>
      </w:r>
      <w:r>
        <w:rPr>
          <w:rFonts w:ascii="Times New Roman" w:cs="Times New Roman" w:eastAsia="Times New Roman" w:hAnsi="Times New Roman"/>
          <w:sz w:val="20"/>
          <w:szCs w:val="20"/>
          <w:color w:val="auto"/>
        </w:rPr>
        <w:t xml:space="preserve">”: (i) [reserved], (ii) the Intellectual Property listed on </w:t>
      </w:r>
      <w:r>
        <w:rPr>
          <w:rFonts w:ascii="Times New Roman" w:cs="Times New Roman" w:eastAsia="Times New Roman" w:hAnsi="Times New Roman"/>
          <w:sz w:val="20"/>
          <w:szCs w:val="20"/>
          <w:u w:val="single" w:color="auto"/>
          <w:color w:val="auto"/>
        </w:rPr>
        <w:t>Schedule 8</w:t>
      </w:r>
      <w:r>
        <w:rPr>
          <w:rFonts w:ascii="Times New Roman" w:cs="Times New Roman" w:eastAsia="Times New Roman" w:hAnsi="Times New Roman"/>
          <w:sz w:val="20"/>
          <w:szCs w:val="20"/>
          <w:color w:val="auto"/>
        </w:rPr>
        <w:t>, (iii) any foreign Intellectual Property, (iv) any “intent-to-use” application for registration of a Trademark filed pursuant to Section 1(b) of the Lanham Act, 15 U.S.C. § 1051, prior to the filing and acceptance of a “Statement of Use” or an “Amendment to Allege Use”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(v) any Intellectual Property</w:t>
      </w:r>
    </w:p>
    <w:p>
      <w:pPr>
        <w:sectPr>
          <w:pgSz w:w="11900" w:h="16838" w:orient="portrait"/>
          <w:cols w:equalWidth="0" w:num="1">
            <w:col w:w="11240"/>
          </w:cols>
          <w:pgMar w:left="320" w:top="1413" w:right="339" w:bottom="1440" w:gutter="0" w:footer="0" w:header="0"/>
        </w:sectPr>
      </w:pPr>
    </w:p>
    <w:bookmarkStart w:id="197" w:name="page198"/>
    <w:bookmarkEnd w:id="197"/>
    <w:p>
      <w:pPr>
        <w:jc w:val="both"/>
        <w:spacing w:after="0" w:line="283" w:lineRule="auto"/>
        <w:rPr>
          <w:sz w:val="20"/>
          <w:szCs w:val="20"/>
          <w:color w:val="auto"/>
        </w:rPr>
      </w:pPr>
      <w:r>
        <w:rPr>
          <w:rFonts w:ascii="Times New Roman" w:cs="Times New Roman" w:eastAsia="Times New Roman" w:hAnsi="Times New Roman"/>
          <w:sz w:val="20"/>
          <w:szCs w:val="20"/>
          <w:color w:val="auto"/>
        </w:rPr>
        <w:t>to the extent that, and for so long as, such Intellectual Property is excluded as Collateral pursuant to the penultimate paragraph of Section 4.</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any Subsidiary organized under the laws of any jurisdiction outside the United States of America, except for any such Subsidiary which is a “check-the-box” entity under Regulation section 301.7701-3 of the Code.</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Voting Stock</w:t>
      </w:r>
      <w:r>
        <w:rPr>
          <w:rFonts w:ascii="Times New Roman" w:cs="Times New Roman" w:eastAsia="Times New Roman" w:hAnsi="Times New Roman"/>
          <w:sz w:val="20"/>
          <w:szCs w:val="20"/>
          <w:color w:val="auto"/>
        </w:rPr>
        <w:t>”: the voting Capital Stock of any Foreign Subsidiary.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Full Security Period</w:t>
      </w:r>
      <w:r>
        <w:rPr>
          <w:rFonts w:ascii="Times New Roman" w:cs="Times New Roman" w:eastAsia="Times New Roman" w:hAnsi="Times New Roman"/>
          <w:sz w:val="20"/>
          <w:szCs w:val="20"/>
          <w:color w:val="auto"/>
        </w:rPr>
        <w:t>”: any period from and after the Effective Date other than any Unsecured Period.</w:t>
      </w:r>
    </w:p>
    <w:p>
      <w:pPr>
        <w:spacing w:after="0" w:line="22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the collective reference to each Grantor other than the Company. For the avoidance of doubt, notwithstanding any other provision of this Agreement, the parties hereto expressly agree that no Foreign Subsidiary shall be a Guarantor.</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with respect to any Grantor, the collective reference to all rights, priorities and privileges relating to intellectual property, including, without limitation, Copyrights, Copyright Licenses, Patents, Patent Licenses, Trademarks, Trademark Licenses, Trade Secrets and Trade Secret Licenses, and all rights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 but excluding any Excluded IP.</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Security Agreements</w:t>
      </w:r>
      <w:r>
        <w:rPr>
          <w:rFonts w:ascii="Times New Roman" w:cs="Times New Roman" w:eastAsia="Times New Roman" w:hAnsi="Times New Roman"/>
          <w:sz w:val="20"/>
          <w:szCs w:val="20"/>
          <w:color w:val="auto"/>
        </w:rPr>
        <w:t>”: collectively, the Copyright Security Agreements, each substantially the form of Annex 2, the Patent Security Agreements, each substantially in the form of Annex 3 and the Trademark Security Agreements, each substantially in the form of Annex 4.</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Issuers</w:t>
      </w:r>
      <w:r>
        <w:rPr>
          <w:rFonts w:ascii="Times New Roman" w:cs="Times New Roman" w:eastAsia="Times New Roman" w:hAnsi="Times New Roman"/>
          <w:sz w:val="20"/>
          <w:szCs w:val="20"/>
          <w:color w:val="auto"/>
        </w:rPr>
        <w:t>”: the collective reference to each issuer of any Pledged Stock.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has the meaning provided in the Credit Agreement.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York UCC</w:t>
      </w:r>
      <w:r>
        <w:rPr>
          <w:rFonts w:ascii="Times New Roman" w:cs="Times New Roman" w:eastAsia="Times New Roman" w:hAnsi="Times New Roman"/>
          <w:sz w:val="20"/>
          <w:szCs w:val="20"/>
          <w:color w:val="auto"/>
        </w:rPr>
        <w:t>”: the Uniform Commercial Code as from time to time in effect in the State of New York.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has the meaning provided in the Credit Agreement.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Licenses</w:t>
      </w:r>
      <w:r>
        <w:rPr>
          <w:rFonts w:ascii="Times New Roman" w:cs="Times New Roman" w:eastAsia="Times New Roman" w:hAnsi="Times New Roman"/>
          <w:sz w:val="20"/>
          <w:szCs w:val="20"/>
          <w:color w:val="auto"/>
        </w:rPr>
        <w:t>”: all agreements, licenses and covenants providing for the grant to or from a Grantor of a license or other right to use or exploit any Patent or otherwise providing for a covenant not to sue for infringement or other violation of any Patent.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xml:space="preserve">”: with respect to any Grantor, all of such Grantor’s right, title and interest in and to all patentable inventions and designs, all patents, certificates of invention, and similar industrial property rights, and applications for any of the foregoing, including, without limitation, (i) each patent and patent application in the United States Patent and Trademark Office listed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(ii) all reissues, substitutes, divisions, continuations, continuations-in-part, extensions, renewals, and reexaminations thereof, (iii) all inventions and improvements described and claimed therein, (iv) all rights to sue or otherwise recover for any past, present and future</w:t>
      </w:r>
    </w:p>
    <w:p>
      <w:pPr>
        <w:sectPr>
          <w:pgSz w:w="11900" w:h="16838" w:orient="portrait"/>
          <w:cols w:equalWidth="0" w:num="1">
            <w:col w:w="10580"/>
          </w:cols>
          <w:pgMar w:left="980" w:top="1413" w:right="339" w:bottom="1440" w:gutter="0" w:footer="0" w:header="0"/>
        </w:sectPr>
      </w:pPr>
    </w:p>
    <w:bookmarkStart w:id="198" w:name="page199"/>
    <w:bookmarkEnd w:id="198"/>
    <w:p>
      <w:pPr>
        <w:jc w:val="both"/>
        <w:spacing w:after="0" w:line="261" w:lineRule="auto"/>
        <w:rPr>
          <w:sz w:val="20"/>
          <w:szCs w:val="20"/>
          <w:color w:val="auto"/>
        </w:rPr>
      </w:pPr>
      <w:r>
        <w:rPr>
          <w:rFonts w:ascii="Times New Roman" w:cs="Times New Roman" w:eastAsia="Times New Roman" w:hAnsi="Times New Roman"/>
          <w:sz w:val="20"/>
          <w:szCs w:val="20"/>
          <w:color w:val="auto"/>
        </w:rPr>
        <w:t>infringement or other violation thereof, (v) all Proceeds of the foregoing, including, without limitation, license fees, royalties, income, payments, claims, damages, proceeds of suit and other payments now or hereafter due and/or payable with respect thereto, and (vi) all other rights accruing thereunder or pertaining thereto; but excluding any Excluded IP.</w:t>
      </w: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Note</w:t>
      </w:r>
      <w:r>
        <w:rPr>
          <w:rFonts w:ascii="Times New Roman" w:cs="Times New Roman" w:eastAsia="Times New Roman" w:hAnsi="Times New Roman"/>
          <w:sz w:val="20"/>
          <w:szCs w:val="20"/>
          <w:color w:val="auto"/>
        </w:rPr>
        <w:t xml:space="preserve">”: that certain promissory note described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and shall include, without limitation, (i) the indebtedness now or hereafter represented thereby and all rights of any Grantor to receive moneys due and to become due to it thereunder or in connection therewith, (ii) all rights of any Grantor to receive proceeds of any insurance, indemnity, warranty or guaranty with respect thereto, (iii) all rights of any Grantor to damages arising thereunder, and (iv) all rights of any Grantor to terminate and to perform, compel performance and to exercise all remedies thereunder.</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Stock</w:t>
      </w:r>
      <w:r>
        <w:rPr>
          <w:rFonts w:ascii="Times New Roman" w:cs="Times New Roman" w:eastAsia="Times New Roman" w:hAnsi="Times New Roman"/>
          <w:sz w:val="20"/>
          <w:szCs w:val="20"/>
          <w:color w:val="auto"/>
        </w:rPr>
        <w:t xml:space="preserve">”: the shares of Capital Stock listed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together with any other shares, stock certificates, options or rights of any nature whatsoever in respect of the Capital Stock of any Subsidiary of the Company (to the extent required to be pledged under Section 5.11 of the Credit Agreement) that may be issued or granted to, or held by, any Grantor while this Agreement is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“Pledged Stock” include the Capital Stock of any of the Subsidiaries listed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or more than 65% of the total outstanding Foreign Subsidiary Voting Stock of any Foreign Subsidiary be required to be pledged hereunder.</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all “proceeds” as such term is defined in Section 9-102(a)(64) of the New York UCC and, in any event, shall include, without limitation, all dividends, distributions or other income from the Pledged Stock and the Pledged Note, collections thereon or distributions or payments with respect thereto.</w:t>
      </w:r>
    </w:p>
    <w:p>
      <w:pPr>
        <w:spacing w:after="0" w:line="16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Keepwell Provider</w:t>
      </w:r>
      <w:r>
        <w:rPr>
          <w:rFonts w:ascii="Times New Roman" w:cs="Times New Roman" w:eastAsia="Times New Roman" w:hAnsi="Times New Roman"/>
          <w:sz w:val="19"/>
          <w:szCs w:val="19"/>
          <w:color w:val="auto"/>
        </w:rPr>
        <w:t>”: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pursuant to section 1a(18)(A)(v)(II) of the Commodity Exchange Act.”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Release Date</w:t>
      </w:r>
      <w:r>
        <w:rPr>
          <w:rFonts w:ascii="Times New Roman" w:cs="Times New Roman" w:eastAsia="Times New Roman" w:hAnsi="Times New Roman"/>
          <w:sz w:val="20"/>
          <w:szCs w:val="20"/>
          <w:color w:val="auto"/>
        </w:rPr>
        <w:t>”: as defined in Section 9.15(c).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w:t>
      </w:r>
      <w:r>
        <w:rPr>
          <w:rFonts w:ascii="Times New Roman" w:cs="Times New Roman" w:eastAsia="Times New Roman" w:hAnsi="Times New Roman"/>
          <w:sz w:val="20"/>
          <w:szCs w:val="20"/>
          <w:color w:val="auto"/>
        </w:rPr>
        <w:t>”: shall mean any Account and any other right to payment for goods sold or leased or for services rendered, whether or not such right is evidenced by an Instrument or Chattel Paper and whether or not it has been earned by performance, other than Sold Receivables Assets.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has the meaning provided in the Credit Agreement.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Securities Act of 1933, as amended.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Conditions</w:t>
      </w:r>
      <w:r>
        <w:rPr>
          <w:rFonts w:ascii="Times New Roman" w:cs="Times New Roman" w:eastAsia="Times New Roman" w:hAnsi="Times New Roman"/>
          <w:sz w:val="20"/>
          <w:szCs w:val="20"/>
          <w:color w:val="auto"/>
        </w:rPr>
        <w:t>” means, at any time of determination thereof, (a) no Incremental Term Loans in the form of an institutional term loan B facility have been issued and are outstanding pursuant to Section 2.20 of the Credit Agreement and (b) (i) the Company’s “corporate credit rating” from S&amp;P (or such other term as S&amp;P may from time to time use to describe the Company’s senior unsecured non-credit enhanced long term indebtedness, such</w:t>
      </w:r>
    </w:p>
    <w:p>
      <w:pPr>
        <w:sectPr>
          <w:pgSz w:w="11900" w:h="16838" w:orient="portrait"/>
          <w:cols w:equalWidth="0" w:num="1">
            <w:col w:w="10580"/>
          </w:cols>
          <w:pgMar w:left="980" w:top="1413" w:right="339" w:bottom="1440" w:gutter="0" w:footer="0" w:header="0"/>
        </w:sectPr>
      </w:pPr>
    </w:p>
    <w:bookmarkStart w:id="199" w:name="page200"/>
    <w:bookmarkEnd w:id="199"/>
    <w:p>
      <w:pPr>
        <w:jc w:val="both"/>
        <w:spacing w:after="0" w:line="253" w:lineRule="auto"/>
        <w:rPr>
          <w:sz w:val="20"/>
          <w:szCs w:val="20"/>
          <w:color w:val="auto"/>
        </w:rPr>
      </w:pPr>
      <w:r>
        <w:rPr>
          <w:rFonts w:ascii="Times New Roman" w:cs="Times New Roman" w:eastAsia="Times New Roman" w:hAnsi="Times New Roman"/>
          <w:sz w:val="20"/>
          <w:szCs w:val="20"/>
          <w:color w:val="auto"/>
        </w:rPr>
        <w:t>rating, the “</w:t>
      </w:r>
      <w:r>
        <w:rPr>
          <w:rFonts w:ascii="Times New Roman" w:cs="Times New Roman" w:eastAsia="Times New Roman" w:hAnsi="Times New Roman"/>
          <w:sz w:val="20"/>
          <w:szCs w:val="20"/>
          <w:u w:val="single" w:color="auto"/>
          <w:color w:val="auto"/>
        </w:rPr>
        <w:t>S&amp;P Rating</w:t>
      </w:r>
      <w:r>
        <w:rPr>
          <w:rFonts w:ascii="Times New Roman" w:cs="Times New Roman" w:eastAsia="Times New Roman" w:hAnsi="Times New Roman"/>
          <w:sz w:val="20"/>
          <w:szCs w:val="20"/>
          <w:color w:val="auto"/>
        </w:rPr>
        <w:t>”) shall be at least BBB- (with a stable outlook) and the Company’s “corporate family rating” from Moody’s (or such other term as Moody’s may from time to time use to describe the Company’s senior unsecured non-credit enhanced long term indebtedness, such rating, the “</w:t>
      </w:r>
      <w:r>
        <w:rPr>
          <w:rFonts w:ascii="Times New Roman" w:cs="Times New Roman" w:eastAsia="Times New Roman" w:hAnsi="Times New Roman"/>
          <w:sz w:val="20"/>
          <w:szCs w:val="20"/>
          <w:u w:val="single" w:color="auto"/>
          <w:color w:val="auto"/>
        </w:rPr>
        <w:t>Moody’s Rating</w:t>
      </w:r>
      <w:r>
        <w:rPr>
          <w:rFonts w:ascii="Times New Roman" w:cs="Times New Roman" w:eastAsia="Times New Roman" w:hAnsi="Times New Roman"/>
          <w:sz w:val="20"/>
          <w:szCs w:val="20"/>
          <w:color w:val="auto"/>
        </w:rPr>
        <w:t>”) shall be at least Baa3 (with a stable outlook) or (ii) (x) the Company’s S&amp;P Rating shall be at least BBB- (with a stable outlook) or the Company’s Moody’s Rating shall be at least Baa3 (with a stable outlook) and (y) the Leverage Ratio is less than or equal to 2.50 to 1.00.</w:t>
      </w:r>
    </w:p>
    <w:p>
      <w:pPr>
        <w:spacing w:after="0" w:line="192"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shall mean any agreement, contract or transaction that constitutes a “swap” within the meaning of section 1a(47) of the Commodity Exchange Act.</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shall mean, with respect to any Person, any obligation to pay or perform under any Swap.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Licenses</w:t>
      </w:r>
      <w:r>
        <w:rPr>
          <w:rFonts w:ascii="Times New Roman" w:cs="Times New Roman" w:eastAsia="Times New Roman" w:hAnsi="Times New Roman"/>
          <w:sz w:val="20"/>
          <w:szCs w:val="20"/>
          <w:color w:val="auto"/>
        </w:rPr>
        <w:t xml:space="preserve">”: all agreements, licenses and covenants providing for the grant to or from a Grantor of a license or other right to use or exploit any Trademark or otherwise providing for a covenant not to sue for infringement, dilution, or other violation of any Trademark or permitting co-existence with respect to a Trademark (including, without limitation, those listed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 xml:space="preserve">”: with respect to any Grantor, all of such Grantor’s right, title and interest in and to all trademarks, service marks, trade names, corporate names, company names, business names, fictitious business names, trade dress, trade styles, logos, Internet domain names, other indicia of origin or source identification, and general intangibles of a like nature, whether registered or unregistered, and, with respect to any and all of the foregoing, (i) all registrations and applications for registration thereof including, without limitation, the registrations and applications listed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(ii) all extensions and renewals thereof, (iii) all of the goodwill of the business connected with the use of and symbolized by any of the foregoing, (iv) all rights to sue or otherwise recover for any past, present and future infringement, dilution, or other violation thereof, (v) all Proceeds of the foregoing, including, without limitation, license fees, royalties, income, payments, claims, damages, proceeds of suit and other payments now or hereafter due and/or payable with respect thereto, and (vi) all other rights of any kind accruing thereunder or pertaining thereto; but excluding any Excluded IP.</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 Licenses</w:t>
      </w:r>
      <w:r>
        <w:rPr>
          <w:rFonts w:ascii="Times New Roman" w:cs="Times New Roman" w:eastAsia="Times New Roman" w:hAnsi="Times New Roman"/>
          <w:sz w:val="20"/>
          <w:szCs w:val="20"/>
          <w:color w:val="auto"/>
        </w:rPr>
        <w:t>”: all agreements, licenses and covenants providing for the grant to or from a Grantor of a license or other right to use or exploit any Trade Secret or otherwise providing for a covenant not to sue for misappropriation or other violation of a Trade Secret.</w:t>
      </w:r>
    </w:p>
    <w:p>
      <w:pPr>
        <w:spacing w:after="0" w:line="2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with respect to any Grantor, all of such Grantor’s right, title and interest in and to (i)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and with respect to any and all of the foregoing, (ii) all rights to sue or otherwise recover for any past, present and future misappropriation or other violation thereof, (iii) all Proceeds of the foregoing, including, without limitation, license fees, royalties, income, payments, claims, damages, proceeds of suit and other payments now or hereafter due and/or payable with respect thereto, and (iv) all other rights of any kind accruing thereunder or pertaining thereto; but excluding any Excluded IP.</w:t>
      </w:r>
    </w:p>
    <w:p>
      <w:pPr>
        <w:sectPr>
          <w:pgSz w:w="11900" w:h="16838" w:orient="portrait"/>
          <w:cols w:equalWidth="0" w:num="1">
            <w:col w:w="10580"/>
          </w:cols>
          <w:pgMar w:left="980" w:top="1413" w:right="339" w:bottom="1440" w:gutter="0" w:footer="0" w:header="0"/>
        </w:sectPr>
      </w:pPr>
    </w:p>
    <w:bookmarkStart w:id="200" w:name="page201"/>
    <w:bookmarkEnd w:id="200"/>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Unsecured Period</w:t>
      </w:r>
      <w:r>
        <w:rPr>
          <w:rFonts w:ascii="Times New Roman" w:cs="Times New Roman" w:eastAsia="Times New Roman" w:hAnsi="Times New Roman"/>
          <w:sz w:val="20"/>
          <w:szCs w:val="20"/>
          <w:color w:val="auto"/>
        </w:rPr>
        <w:t>”: as defined in Section 9.15(c).</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Definitional Provisions</w:t>
      </w:r>
      <w:r>
        <w:rPr>
          <w:rFonts w:ascii="Times New Roman" w:cs="Times New Roman" w:eastAsia="Times New Roman" w:hAnsi="Times New Roman"/>
          <w:sz w:val="20"/>
          <w:szCs w:val="20"/>
          <w:color w:val="auto"/>
        </w:rPr>
        <w:t xml:space="preserve">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68" w:lineRule="exact"/>
        <w:rPr>
          <w:sz w:val="20"/>
          <w:szCs w:val="20"/>
          <w:color w:val="auto"/>
        </w:rPr>
      </w:pPr>
    </w:p>
    <w:p>
      <w:pPr>
        <w:ind w:left="1780" w:hanging="476"/>
        <w:spacing w:after="0"/>
        <w:tabs>
          <w:tab w:leader="none" w:pos="17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w:t>
      </w:r>
    </w:p>
    <w:p>
      <w:pPr>
        <w:spacing w:after="0" w:line="214" w:lineRule="exact"/>
        <w:rPr>
          <w:sz w:val="20"/>
          <w:szCs w:val="20"/>
          <w:color w:val="auto"/>
        </w:rPr>
      </w:pPr>
    </w:p>
    <w:p>
      <w:pPr>
        <w:ind w:firstLine="1304"/>
        <w:spacing w:after="0" w:line="269" w:lineRule="auto"/>
        <w:tabs>
          <w:tab w:leader="none" w:pos="1723"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context requires, terms relating to the Collateral or any part thereof, when used in relation to a Grantor, shall refer to such Grantor’s Collateral or the relevant part thereof.</w:t>
      </w:r>
    </w:p>
    <w:p>
      <w:pPr>
        <w:spacing w:after="0" w:line="173"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2.</w:t>
      </w:r>
      <w:r>
        <w:rPr>
          <w:sz w:val="20"/>
          <w:szCs w:val="20"/>
          <w:color w:val="auto"/>
        </w:rPr>
        <w:tab/>
      </w:r>
      <w:r>
        <w:rPr>
          <w:rFonts w:ascii="Times New Roman" w:cs="Times New Roman" w:eastAsia="Times New Roman" w:hAnsi="Times New Roman"/>
          <w:sz w:val="19"/>
          <w:szCs w:val="19"/>
          <w:color w:val="auto"/>
        </w:rPr>
        <w:t>BORROWER GUARANTEE</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Company Guarantee</w:t>
      </w:r>
      <w:r>
        <w:rPr>
          <w:rFonts w:ascii="Times New Roman" w:cs="Times New Roman" w:eastAsia="Times New Roman" w:hAnsi="Times New Roman"/>
          <w:sz w:val="20"/>
          <w:szCs w:val="20"/>
          <w:color w:val="auto"/>
        </w:rPr>
        <w:t xml:space="preserve"> (a) The Company hereby, unconditionally and irrevocably, guarantees to the Administrative Agent, for the ratable benefit of the Secured Parties and their respective successors, indorsees, transferees and assigns, the prompt and complete payment and performance by each Subsidiary when due (whether at the stated maturity, by acceleration or otherwise) of the Obligations (other than with respect to any Guarantor any Excluded Swap Obligations of such Guarantor).</w:t>
      </w:r>
    </w:p>
    <w:p>
      <w:pPr>
        <w:spacing w:after="0" w:line="186" w:lineRule="exact"/>
        <w:rPr>
          <w:sz w:val="20"/>
          <w:szCs w:val="20"/>
          <w:color w:val="auto"/>
        </w:rPr>
      </w:pPr>
    </w:p>
    <w:p>
      <w:pPr>
        <w:jc w:val="both"/>
        <w:ind w:firstLine="1304"/>
        <w:spacing w:after="0" w:line="261" w:lineRule="auto"/>
        <w:tabs>
          <w:tab w:leader="none" w:pos="187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or in any other Loan Document to the contrary notwithstanding, the maximum liability of the Company hereunder and under the other Loan Documents shall in no event exceed the amount which can be guaranteed by the Company under applicable federal and state laws relating to the insolvency of debtors.</w:t>
      </w:r>
    </w:p>
    <w:p>
      <w:pPr>
        <w:spacing w:after="0" w:line="18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85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in this Section 2 shall remain in full force and effect until all the Obligations and the obligations of the Company under the guarantee contained in this Section 2 shall have been satisfied by payment in full, no Letter of Credit shall be outstanding and the Commitments and Loans shall be terminated, notwithstanding that from time to time during the term of the Credit Agreement each applicable Subsidiary may be free from any Obligations.</w:t>
      </w:r>
    </w:p>
    <w:p>
      <w:pPr>
        <w:spacing w:after="0" w:line="187"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4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made by any Subsidiary, any of the other Guarantors, any other guarantor or any other Person or received or collected by the Administrative Agent or any Lender from any Subsidiary, any of the other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the Company hereunder which shall, notwithstanding any such payment (other than any payment made by the Company in respect of the Obligations or any payment received or collected from the Company in respect of the Obligations), remain liable for the Obligations up to the maximum liability of the Company hereunder until the Obligations are paid in full, no Letter of Credit shall be outstanding and the Commitments and Loans are terminated.</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No Subrogation</w:t>
      </w:r>
      <w:r>
        <w:rPr>
          <w:rFonts w:ascii="Times New Roman" w:cs="Times New Roman" w:eastAsia="Times New Roman" w:hAnsi="Times New Roman"/>
          <w:sz w:val="20"/>
          <w:szCs w:val="20"/>
          <w:color w:val="auto"/>
        </w:rPr>
        <w:t>. Notwithstanding any payment or payments made by the Company hereunder, or any set-off or application of funds of the Company by the Administrative Agent or any Lender, the Company shall not be entitled to be subrogated to any of the rights of the Administrative Agent or any Lender against the applicable Subsidiary or against any collateral security or</w:t>
      </w:r>
    </w:p>
    <w:p>
      <w:pPr>
        <w:sectPr>
          <w:pgSz w:w="11900" w:h="16838" w:orient="portrait"/>
          <w:cols w:equalWidth="0" w:num="1">
            <w:col w:w="11240"/>
          </w:cols>
          <w:pgMar w:left="320" w:top="1440" w:right="339" w:bottom="1440" w:gutter="0" w:footer="0" w:header="0"/>
        </w:sectPr>
      </w:pPr>
    </w:p>
    <w:bookmarkStart w:id="201" w:name="page202"/>
    <w:bookmarkEnd w:id="201"/>
    <w:p>
      <w:pPr>
        <w:jc w:val="both"/>
        <w:spacing w:after="0" w:line="252" w:lineRule="auto"/>
        <w:rPr>
          <w:sz w:val="20"/>
          <w:szCs w:val="20"/>
          <w:color w:val="auto"/>
        </w:rPr>
      </w:pPr>
      <w:r>
        <w:rPr>
          <w:rFonts w:ascii="Times New Roman" w:cs="Times New Roman" w:eastAsia="Times New Roman" w:hAnsi="Times New Roman"/>
          <w:sz w:val="20"/>
          <w:szCs w:val="20"/>
          <w:color w:val="auto"/>
        </w:rPr>
        <w:t>guarantee or right of offset held by the Administrative Agent or any Lender for the payment of the Obligations, nor shall the Company seek or be entitled to seek any contribution or reimbursement from the Subsidiaries in respect of payments made by the Company hereunder, until all amounts owing to the Administrative Agent and the Lenders by the Subsidiaries on account of the Obligations are paid in full, no Letter of Credit shall be outstanding and the Commitments and Loans are terminated. If any amount shall be paid to the Company on account of such subrogation rights at any time when all of the Obligations shall not have been paid in full, such amount shall be held by the Company in trust for the Administrative Agent and the Lenders, segregated from other funds of the Company, and shall, forthwith upon receipt by the Company, be turned over to the Administrative Agent in the exact form received by the Company (duly indorsed by the Company to the Administrative Agent, if required), to be applied against the Obligations, whether matured or unmatured, in such order as the Administrative Agent may determine.</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Amendments, Etc. with respect to the Obligations</w:t>
      </w:r>
      <w:r>
        <w:rPr>
          <w:rFonts w:ascii="Times New Roman" w:cs="Times New Roman" w:eastAsia="Times New Roman" w:hAnsi="Times New Roman"/>
          <w:sz w:val="20"/>
          <w:szCs w:val="20"/>
          <w:color w:val="auto"/>
        </w:rPr>
        <w:t>. The Company shall remain obligated hereunder notwithstanding that, without any reservation of rights against the Company and without notice to or further assent by the Company, any demand for payment of any of the Obligations made by the Administrative Agent or any Lender may be rescinded by the Administrative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by it as security for the Obligations or for the guarantee contained in this Section 2 or any property subject thereto.</w:t>
      </w:r>
    </w:p>
    <w:p>
      <w:pPr>
        <w:spacing w:after="0" w:line="17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2.4. </w:t>
      </w:r>
      <w:r>
        <w:rPr>
          <w:rFonts w:ascii="Times New Roman" w:cs="Times New Roman" w:eastAsia="Times New Roman" w:hAnsi="Times New Roman"/>
          <w:sz w:val="19"/>
          <w:szCs w:val="19"/>
          <w:u w:val="single" w:color="auto"/>
          <w:color w:val="auto"/>
        </w:rPr>
        <w:t>Guarantee Absolute and Unconditional</w:t>
      </w:r>
      <w:r>
        <w:rPr>
          <w:rFonts w:ascii="Times New Roman" w:cs="Times New Roman" w:eastAsia="Times New Roman" w:hAnsi="Times New Roman"/>
          <w:sz w:val="19"/>
          <w:szCs w:val="19"/>
          <w:color w:val="auto"/>
        </w:rPr>
        <w:t>. The Company waives any and all notice of the creation, renewal, extension or accrual of any of the Obligations and notice of or proof of reliance by the Administrative Agent or any Lender upon the guarantee contained in this Section 2 or acceptance of the guarantee contained in this Section 2; the Obligations, and any of them, shall conclusively be deemed to have been created, contracted or incurred, or renewed, extended, amended or waived, in reliance upon the guarantee contained in this Section 2; and all dealings between the Company and the Subsidiaries, on the one hand, and the Administrative Agent and the Lenders, on the other hand, likewise shall be conclusively presumed to have been had or consummated in reliance upon the guarantee contained in this Section 2. The Company waives diligence, presentment, protest, demand for payment and notice of default or nonpayment to or upon the Company or the applicable Subsidiary with respect to the Obligations. The Company understands and agrees that the guarantee contained in this Section 2 shall be construed as a continuing, absolute and unconditional guarantee of payment without regard to (a) the validity or enforceability of the Credit Agreement or any other Loan Document, any of the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or any other Person against the Administrative Agent or any Lender, or (c) any other circumstance whatsoever (with or without notice to or knowledge of the Company or any Subsidiary) which constitutes, or might be construed to constitute, an equitable or legal discharge of the</w:t>
      </w:r>
    </w:p>
    <w:p>
      <w:pPr>
        <w:sectPr>
          <w:pgSz w:w="11900" w:h="16838" w:orient="portrait"/>
          <w:cols w:equalWidth="0" w:num="1">
            <w:col w:w="11240"/>
          </w:cols>
          <w:pgMar w:left="320" w:top="1413" w:right="339" w:bottom="1440" w:gutter="0" w:footer="0" w:header="0"/>
        </w:sectPr>
      </w:pPr>
    </w:p>
    <w:bookmarkStart w:id="202" w:name="page203"/>
    <w:bookmarkEnd w:id="202"/>
    <w:p>
      <w:pPr>
        <w:jc w:val="both"/>
        <w:spacing w:after="0" w:line="250" w:lineRule="auto"/>
        <w:rPr>
          <w:sz w:val="20"/>
          <w:szCs w:val="20"/>
          <w:color w:val="auto"/>
        </w:rPr>
      </w:pPr>
      <w:r>
        <w:rPr>
          <w:rFonts w:ascii="Times New Roman" w:cs="Times New Roman" w:eastAsia="Times New Roman" w:hAnsi="Times New Roman"/>
          <w:sz w:val="20"/>
          <w:szCs w:val="20"/>
          <w:color w:val="auto"/>
        </w:rPr>
        <w:t>Subsidiaries for the Obligations, or of the Company under the guarantee contained in this Section 2, in bankruptcy or in any other instance. When making any demand hereunder or otherwise pursuing its rights and remedies hereunder against the Company, the Administrative Agent or any Lender may, but shall be under no obligation to, make a similar demand on or otherwise pursue such rights and remedies as it may have against the Subsidiaries or any other Person or against any collateral security or guarantee for the Obligations or any right of offset with respect thereto, and any failure by the Administrative Agent or any Lender to make any such demand, to pursue such other rights or remedies or to collect any payments from the Company, any Subsidiary, or any other Person or to realize upon any such collateral security or guarantee or to exercise any such right of offset, or any release of the Company, any Subsidiary or any other Person or any such collateral security, guarantee or right of offset, shall not relieve the Company of any obligation or liability hereunder, and shall not impair or affect the rights and remedies, whether express, implied or available as a matter of law, of the Administrative Agent or any Lender against the Company. For the purposes hereof, “demand” shall include the commencement and continuance of any legal proceedings.</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The guarantee contained in this Section 2 shall continue to be effective, or be reinstated, as the case may be, if at any time payment, or any part thereof, of any of the Obligations is rescinded or must otherwise be restored or returned by the Administrative Agent or any Lender upon the insolvency, bankruptcy, dissolution, liquidation or reorganization of the Company, any Borrower or any other Guarantor, or upon or as a result of the appointment of a receiver, intervenor or conservator of, or trustee or similar officer for, the Company, any Borrower or any other Guarantor or any substantial part of its property, or otherwise, all as though such payments had not been made.</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The Company hereby guarantees that payments hereunder will be paid to the Administrative Agent without set-off or counterclaim in the applicable Agreed Currency at the office of the Administrative Agent located at 500 Stanton Christiana Road, NCC5, Floor 01, Newark, Delaware 19713-2107 or at such other place and time specified by the Administrative Agent.</w:t>
      </w:r>
    </w:p>
    <w:p>
      <w:pPr>
        <w:spacing w:after="0" w:line="16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 Each Qualified Keepwell Provider hereby jointly and severally absolutely, unconditionally, and irrevocably undertakes to provide such funds or other support as may be needed from time to time by each other Loan Party to honor all of its obligations under this guarantee in respect of any Swap Obligation (provided, however, that each Qualified Keepwell Provider shall only be liable under this Section 2.7 for the maximum amount of such liability that can be hereby incurred without rendering its obligations under this Section 2.7, or otherwise under this guarantee, voidable under applicable law relating to fraudulent conveyance or fraudulent transfer, and not for any greater amount). The obligations of each Qualified Keepwell Provider under this Section 2.7 shall remain in full force and effect until such time as the Loans, the Reimbursement Obligations and the other Obligations shall have been paid in full (other than unasserted contingent obligations not yet due and payable), the Commitments have been terminated and no Letters of Credit shall be outstanding. Each Qualified Keepwell Provider intends that this Section 2.7 constitute, and this Section 2.7 shall be deemed to constitute, a “keepwell, support, or other agreement” for the benefit of each other Loan Party for all purposes of section 1a(18)(A)(v)(II) of the Commodity Exchange Act.</w:t>
      </w:r>
    </w:p>
    <w:p>
      <w:pPr>
        <w:spacing w:after="0" w:line="17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3.</w:t>
      </w:r>
      <w:r>
        <w:rPr>
          <w:sz w:val="20"/>
          <w:szCs w:val="20"/>
          <w:color w:val="auto"/>
        </w:rPr>
        <w:tab/>
      </w:r>
      <w:r>
        <w:rPr>
          <w:rFonts w:ascii="Times New Roman" w:cs="Times New Roman" w:eastAsia="Times New Roman" w:hAnsi="Times New Roman"/>
          <w:sz w:val="19"/>
          <w:szCs w:val="19"/>
          <w:color w:val="auto"/>
        </w:rPr>
        <w:t>DOMESTIC SUBSIDIARY GUARANTEE</w:t>
      </w:r>
    </w:p>
    <w:p>
      <w:pPr>
        <w:spacing w:after="0" w:line="22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Domestic Subsidiary Guarantee</w:t>
      </w:r>
    </w:p>
    <w:p>
      <w:pPr>
        <w:spacing w:after="0" w:line="216" w:lineRule="exact"/>
        <w:rPr>
          <w:sz w:val="20"/>
          <w:szCs w:val="20"/>
          <w:color w:val="auto"/>
        </w:rPr>
      </w:pPr>
    </w:p>
    <w:p>
      <w:pPr>
        <w:ind w:firstLine="1304"/>
        <w:spacing w:after="0" w:line="283" w:lineRule="auto"/>
        <w:tabs>
          <w:tab w:leader="none" w:pos="174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Guarantors hereby, jointly and severally, unconditionally and irrevocably, guarantees to the Administrative Agent, for the ratable benefit of the Secured Parties and</w:t>
      </w:r>
    </w:p>
    <w:p>
      <w:pPr>
        <w:sectPr>
          <w:pgSz w:w="11900" w:h="16838" w:orient="portrait"/>
          <w:cols w:equalWidth="0" w:num="1">
            <w:col w:w="11240"/>
          </w:cols>
          <w:pgMar w:left="320" w:top="1413" w:right="339" w:bottom="1440" w:gutter="0" w:footer="0" w:header="0"/>
        </w:sectPr>
      </w:pPr>
    </w:p>
    <w:bookmarkStart w:id="203" w:name="page204"/>
    <w:bookmarkEnd w:id="203"/>
    <w:p>
      <w:pPr>
        <w:jc w:val="both"/>
        <w:spacing w:after="0" w:line="261" w:lineRule="auto"/>
        <w:rPr>
          <w:sz w:val="20"/>
          <w:szCs w:val="20"/>
          <w:color w:val="auto"/>
        </w:rPr>
      </w:pPr>
      <w:r>
        <w:rPr>
          <w:rFonts w:ascii="Times New Roman" w:cs="Times New Roman" w:eastAsia="Times New Roman" w:hAnsi="Times New Roman"/>
          <w:sz w:val="20"/>
          <w:szCs w:val="20"/>
          <w:color w:val="auto"/>
        </w:rPr>
        <w:t>their respective successors, indorsees, transferees and assigns, the prompt and complete payment and performance by the Company and its Subsidiaries when due (whether at the stated maturity, by acceleration or otherwise) of the Obligations (other than with respect to any Guarantor any Excluded Swap Obligations of such Guarantor).</w:t>
      </w:r>
    </w:p>
    <w:p>
      <w:pPr>
        <w:spacing w:after="0" w:line="181" w:lineRule="exact"/>
        <w:rPr>
          <w:sz w:val="20"/>
          <w:szCs w:val="20"/>
          <w:color w:val="auto"/>
        </w:rPr>
      </w:pPr>
    </w:p>
    <w:p>
      <w:pPr>
        <w:jc w:val="both"/>
        <w:ind w:firstLine="1304"/>
        <w:spacing w:after="0" w:line="258" w:lineRule="auto"/>
        <w:tabs>
          <w:tab w:leader="none" w:pos="184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Section 3.2).</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2"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agrees that the Obligations either solely or collectively, may at any time and from time to time exceed the amount of the liability of such Guarantor hereunder without impairing the guarantee contained in this Section 3 or affecting the rights and remedies of the Administrative Agent or any Lender hereunder.</w:t>
      </w:r>
    </w:p>
    <w:p>
      <w:pPr>
        <w:spacing w:after="0" w:line="18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5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guarantees contained in this Section 3 shall remain in full force and effect until all the Obligations and the obligations of each Guarantor under the guarantees contained in this Section 3 shall have been satisfied by payment in full, no Letter of Credit shall be outstanding and the Commitments and Loans shall be terminated, notwithstanding that from time to time during the term of the Credit Agreement, the Company and its Subsidiaries may be free from any Obligations.</w:t>
      </w:r>
    </w:p>
    <w:p>
      <w:pPr>
        <w:spacing w:after="0" w:line="172" w:lineRule="exact"/>
        <w:rPr>
          <w:rFonts w:ascii="Times New Roman" w:cs="Times New Roman" w:eastAsia="Times New Roman" w:hAnsi="Times New Roman"/>
          <w:sz w:val="20"/>
          <w:szCs w:val="20"/>
          <w:color w:val="auto"/>
        </w:rPr>
      </w:pPr>
    </w:p>
    <w:p>
      <w:pPr>
        <w:jc w:val="both"/>
        <w:ind w:firstLine="1304"/>
        <w:spacing w:after="0" w:line="269" w:lineRule="auto"/>
        <w:tabs>
          <w:tab w:leader="none" w:pos="1803"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payment made by the Company, any of the Guarantors, any other guarantor or any other Person or received or collected by the Administrative Agent or any Lender from the Company,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no Letter of Credit shall be outstanding and the Commitments and Loans are terminated.</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Right of Contribution</w:t>
      </w:r>
      <w:r>
        <w:rPr>
          <w:rFonts w:ascii="Times New Roman" w:cs="Times New Roman" w:eastAsia="Times New Roman" w:hAnsi="Times New Roman"/>
          <w:sz w:val="20"/>
          <w:szCs w:val="20"/>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3.3. The provisions of this Section 3.2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No Subrogation</w:t>
      </w:r>
      <w:r>
        <w:rPr>
          <w:rFonts w:ascii="Times New Roman" w:cs="Times New Roman" w:eastAsia="Times New Roman" w:hAnsi="Times New Roman"/>
          <w:sz w:val="20"/>
          <w:szCs w:val="20"/>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Company or any other Guarantor or any collateral security or guarantee or right of offset held by the Administrative Agent or any Lender for the payment of the Obligations nor shall any Guarantor seek or be entitled to seek any contribution or reimbursement from the Company or any other Guarantor in respect of payments made by such Guarantor hereunder, until all amounts owing to the</w:t>
      </w:r>
    </w:p>
    <w:p>
      <w:pPr>
        <w:sectPr>
          <w:pgSz w:w="11900" w:h="16838" w:orient="portrait"/>
          <w:cols w:equalWidth="0" w:num="1">
            <w:col w:w="11240"/>
          </w:cols>
          <w:pgMar w:left="320" w:top="1413" w:right="339" w:bottom="1440" w:gutter="0" w:footer="0" w:header="0"/>
        </w:sectPr>
      </w:pPr>
    </w:p>
    <w:bookmarkStart w:id="204" w:name="page205"/>
    <w:bookmarkEnd w:id="204"/>
    <w:p>
      <w:pPr>
        <w:jc w:val="both"/>
        <w:spacing w:after="0" w:line="253" w:lineRule="auto"/>
        <w:rPr>
          <w:sz w:val="20"/>
          <w:szCs w:val="20"/>
          <w:color w:val="auto"/>
        </w:rPr>
      </w:pPr>
      <w:r>
        <w:rPr>
          <w:rFonts w:ascii="Times New Roman" w:cs="Times New Roman" w:eastAsia="Times New Roman" w:hAnsi="Times New Roman"/>
          <w:sz w:val="20"/>
          <w:szCs w:val="20"/>
          <w:color w:val="auto"/>
        </w:rPr>
        <w:t>Administrative Agent and the Lenders by the Company or any Subsidiary on account of the Obligations are paid in full, no Letter of Credit shall be outstanding and the Commitments and Loans are terminated. If any amount shall be paid to any Guarantor on account of such subrogation rights at any time when all of the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Amendments, Etc. with respect to the Obligations</w:t>
      </w:r>
      <w:r>
        <w:rPr>
          <w:rFonts w:ascii="Times New Roman" w:cs="Times New Roman" w:eastAsia="Times New Roman" w:hAnsi="Times New Roman"/>
          <w:sz w:val="20"/>
          <w:szCs w:val="20"/>
          <w:color w:val="auto"/>
        </w:rPr>
        <w:t>. Each Guarantor shall remain obligated hereunder notwithstanding that, without any reservation of rights against any Guarantor and without notice to or further assent by any Guarantor, any demand for payment of any of the Obligations made by the Administrative Agent or any Lender may be rescinded by the Administrative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by it as security for the Obligations or for the guarantee contained in this Section 3 or any property subject thereto.</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Guarantees Absolute and Unconditional</w:t>
      </w:r>
      <w:r>
        <w:rPr>
          <w:rFonts w:ascii="Times New Roman" w:cs="Times New Roman" w:eastAsia="Times New Roman" w:hAnsi="Times New Roman"/>
          <w:sz w:val="19"/>
          <w:szCs w:val="19"/>
          <w:color w:val="auto"/>
        </w:rPr>
        <w:t>. Each Guarantor waives any and all notice of the creation, renewal, extension or accrual of any of the Obligations and notice of or proof of reliance by the Administrative Agent or any Lender upon any of the guarantees contained in this Section 3 or acceptance of the guarantees contained in this Section 3; the Obligations and any of them, shall conclusively be deemed to have been created, contracted or incurred, or renewed, extended, amended or waived, in reliance upon the guarantee contained in this Section 3; and all dealings between the Company and any of the Guarantors, on the one hand, and the Administrative Agent and the Lenders, on the other hand, likewise shall be conclusively presumed to have been had or consummated in reliance upon the guarantee contained in this Section 3. Each Guarantor waives diligence, presentment, protest, demand for payment and notice of default or nonpayment to or upon the Company or any of the Guarantors with respect to the Obligations. Each Guarantor understands and agrees that the guarantees contained in this Section 3 shall be construed as a continuing, absolute and unconditional guarantee of payment without regard to (a) the validity or enforceability of the Credit Agreement or any other Loan Document, any of the Obligations or any other collateral security therefor or guarantee or right of offset with respect thereto at any time or from time to time held by the Administrative Agent or any Lender,</w:t>
      </w:r>
    </w:p>
    <w:p>
      <w:pPr>
        <w:spacing w:after="0" w:line="1" w:lineRule="exact"/>
        <w:rPr>
          <w:sz w:val="20"/>
          <w:szCs w:val="20"/>
          <w:color w:val="auto"/>
        </w:rPr>
      </w:pPr>
    </w:p>
    <w:p>
      <w:pPr>
        <w:jc w:val="both"/>
        <w:ind w:firstLine="8"/>
        <w:spacing w:after="0" w:line="250" w:lineRule="auto"/>
        <w:tabs>
          <w:tab w:leader="none" w:pos="30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defense, set-off or counterclaim (other than a defense of payment or performance) which may at any time be available to or be asserted by the Company or any other Person against the Administrative Agent or any Lender, or (c) any other circumstance whatsoever (with or without notice to or knowledge of the Company or such Guarantor) which constitutes, or might be construed to constitute, an equitable or legal discharge of the Obligations, or of such Guarantor under the guarantee contained in this Section 3, in bankruptcy or in any other instance. When making any demand hereunder or otherwise pursuing its rights and remedies hereunder against any Guarantor, the Administrative Agent or any Lender may, but shall be under no</w:t>
      </w:r>
    </w:p>
    <w:p>
      <w:pPr>
        <w:sectPr>
          <w:pgSz w:w="11900" w:h="16838" w:orient="portrait"/>
          <w:cols w:equalWidth="0" w:num="1">
            <w:col w:w="11240"/>
          </w:cols>
          <w:pgMar w:left="320" w:top="1413" w:right="339" w:bottom="1440" w:gutter="0" w:footer="0" w:header="0"/>
        </w:sectPr>
      </w:pPr>
    </w:p>
    <w:bookmarkStart w:id="205" w:name="page206"/>
    <w:bookmarkEnd w:id="205"/>
    <w:p>
      <w:pPr>
        <w:jc w:val="both"/>
        <w:spacing w:after="0" w:line="251" w:lineRule="auto"/>
        <w:rPr>
          <w:sz w:val="20"/>
          <w:szCs w:val="20"/>
          <w:color w:val="auto"/>
        </w:rPr>
      </w:pPr>
      <w:r>
        <w:rPr>
          <w:rFonts w:ascii="Times New Roman" w:cs="Times New Roman" w:eastAsia="Times New Roman" w:hAnsi="Times New Roman"/>
          <w:sz w:val="20"/>
          <w:szCs w:val="20"/>
          <w:color w:val="auto"/>
        </w:rPr>
        <w:t>obligation to, make a similar demand on or otherwise pursue such rights and remedies as it may have against the Company, any other Guarantor or any other Person or against any collateral security or guarantee for the Obligations or any right of offset with respect thereto, and any failure by the Administrative Agent or any Lender to make any such demand, to pursue such other rights or remedies or to collect any payments from the Company, any other Guarantor or any other Person or to realize upon any such collateral security or guarantee or to exercise any such right of offset, or any release of the Company,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9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The guarantees contained in this Section 3 shall continue to be effective, or be reinstated, as the case may be, if at any time payment, or any part thereof, of any of the Obligations, is rescinded or must otherwise be restored or returned by the Administrative Agent or any Lender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w:t>
      </w:r>
    </w:p>
    <w:p>
      <w:pPr>
        <w:spacing w:after="0" w:line="192"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 xml:space="preserve">3.7. </w:t>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Each Guarantor hereby guarantees that payments hereunder will be paid to the Administrative Agent without set-off or counterclaim in Dollars or the applicable Agreed Currency at the office of the Administrative Agent located at 500 Stanton Christiana Road, NCC5, Floor 01, Newark, Delaware 19713-2107 or at such other place and time specified by the Administrative Agent.</w:t>
      </w:r>
    </w:p>
    <w:p>
      <w:pPr>
        <w:spacing w:after="0" w:line="16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 Each Qualified Keepwell Provider hereby jointly and severally absolutely, unconditionally, and irrevocably undertakes to provide such funds or other support as may be needed from time to time by each other Loan Party to honor all of its obligations under this guarantee in respect of any Swap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each Qualified Keepwell Provider shall only be liable under this Section 3.8 for the maximum amount of such liability that can be hereby incurred without rendering its obligations under this Section 3.8, or otherwise under this guarantee, voidable under applicable law relating to fraudulent conveyance or fraudulent transfer, and not for any greater amount). The obligations of each Qualified Keepwell Provider under this Section 3.8 shall remain in full force and effect until such time as the Loans, the Reimbursement Obligations and the other Obligations shall have been paid in full (other than unasserted contingent obligations not yet due and payable), the Commitments have been terminated and no Letters of Credit shall be outstanding. Each Qualified Keepwell Provider intends that this Section 3.8 constitute, and this Section 3.8 shall be deemed to constitute, a “keepwell, support, or other agreement” for the benefit of each other Loan Party for all purposes of section 1a(18)(A)(v)(II) of the Commodity Exchange Act.</w:t>
      </w:r>
    </w:p>
    <w:p>
      <w:pPr>
        <w:spacing w:after="0" w:line="166"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4.</w:t>
      </w:r>
      <w:r>
        <w:rPr>
          <w:sz w:val="20"/>
          <w:szCs w:val="20"/>
          <w:color w:val="auto"/>
        </w:rPr>
        <w:tab/>
      </w:r>
      <w:r>
        <w:rPr>
          <w:rFonts w:ascii="Times New Roman" w:cs="Times New Roman" w:eastAsia="Times New Roman" w:hAnsi="Times New Roman"/>
          <w:sz w:val="19"/>
          <w:szCs w:val="19"/>
          <w:color w:val="auto"/>
        </w:rPr>
        <w:t>GRANT OF SECURITY INTEREST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Subject to Section 9.15, each Grantor hereby assigns and transfers to the Administrative Agent, and hereby grants to the 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as collateral security for the prompt and complete payment and performance when due (whether at the stated maturity, by acceleration or otherwise) of the Obligations:</w:t>
      </w:r>
    </w:p>
    <w:p>
      <w:pPr>
        <w:sectPr>
          <w:pgSz w:w="11900" w:h="16838" w:orient="portrait"/>
          <w:cols w:equalWidth="0" w:num="1">
            <w:col w:w="11240"/>
          </w:cols>
          <w:pgMar w:left="320" w:top="1413" w:right="339" w:bottom="1440" w:gutter="0" w:footer="0" w:header="0"/>
        </w:sectPr>
      </w:pPr>
    </w:p>
    <w:bookmarkStart w:id="206" w:name="page207"/>
    <w:bookmarkEnd w:id="206"/>
    <w:p>
      <w:pPr>
        <w:ind w:left="1720" w:hanging="416"/>
        <w:spacing w:after="0"/>
        <w:tabs>
          <w:tab w:leader="none" w:pos="172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Receivables;</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Equipment;</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Inventory;</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Pledged Stock;</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Intellectual Property;</w:t>
      </w:r>
    </w:p>
    <w:p>
      <w:pPr>
        <w:spacing w:after="0" w:line="22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Pledged Note;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books and records pertaining to the Collateral; and</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otherwise included, all Proceeds, Supporting Obligations and products of any and all of the foregoing.</w:t>
      </w:r>
    </w:p>
    <w:p>
      <w:pPr>
        <w:spacing w:after="0" w:line="24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Notwithstanding any of the other provisions set forth in this Section 4, this Agreement shall not constitute a grant of a security interest in 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or, in the case of any Pledged Stock,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For the avoidance of doubt, the grant of a security interest herein shall not be deemed to be an assignment of Intellectual Property rights owned by the Grantors.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Without limiting the foregoing, each of the Grantors that is a party to the Existing Guarantee and Collateral Agreement hereby regrants, confirms, ratifies and reaffirms the security interest granted to the Administrative Agent, for the benefit of the Secured Parties, pursuant to the Existing Guarantee and Collateral Agreement and agrees that such security interest (including, without limitation, any filings made in connection therewith) remains in full force and effect and is hereby ratified, reaffirmed and confirmed.</w:t>
      </w:r>
    </w:p>
    <w:p>
      <w:pPr>
        <w:spacing w:after="0" w:line="17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5.</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the Credit Agreement and to induce the Lenders to make their respective extensions of credit to the Company and each Subsidiary Borrower thereunder, each Grantor hereby represents and warrants to the Administrative Agent and each Lender that other than during any Unsecured Period:</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Title; No Other Liens</w:t>
      </w:r>
      <w:r>
        <w:rPr>
          <w:rFonts w:ascii="Times New Roman" w:cs="Times New Roman" w:eastAsia="Times New Roman" w:hAnsi="Times New Roman"/>
          <w:sz w:val="20"/>
          <w:szCs w:val="20"/>
          <w:color w:val="auto"/>
        </w:rPr>
        <w:t>. Except for the security interest granted to the Administrative Agent for the ratable benefit of the Secured Parties pursuant to this Agreement and the other Liens permitted to exist on the Collateral by the Credit Agreement, such Grantor owns each item of the Collateral free and clear of any and all Liens or claims of others. No financing statement or other public notice with respect to all or any part of the Collateral is on file or of record in any public office,</w:t>
      </w:r>
    </w:p>
    <w:p>
      <w:pPr>
        <w:sectPr>
          <w:pgSz w:w="11900" w:h="16838" w:orient="portrait"/>
          <w:cols w:equalWidth="0" w:num="1">
            <w:col w:w="11240"/>
          </w:cols>
          <w:pgMar w:left="320" w:top="1413" w:right="339" w:bottom="1440" w:gutter="0" w:footer="0" w:header="0"/>
        </w:sectPr>
      </w:pPr>
    </w:p>
    <w:bookmarkStart w:id="207" w:name="page208"/>
    <w:bookmarkEnd w:id="207"/>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except such as have been filed in favor of the Administrative Agent, for the ratable benefit of the Secured Parties, pursuant to this Agreement or as are permitted by the Credit Agreement.</w:t>
      </w:r>
    </w:p>
    <w:p>
      <w:pPr>
        <w:spacing w:after="0" w:line="14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Perfected First Priority Liens</w:t>
      </w:r>
      <w:r>
        <w:rPr>
          <w:rFonts w:ascii="Times New Roman" w:cs="Times New Roman" w:eastAsia="Times New Roman" w:hAnsi="Times New Roman"/>
          <w:sz w:val="20"/>
          <w:szCs w:val="20"/>
          <w:color w:val="auto"/>
        </w:rPr>
        <w:t xml:space="preserve">. The security interests granted pursuant to this Agreement will constitute valid perfected security interests in all of the Collateral in favor of the Administrative Agent, for the ratable benefit of the Secured Parties, as collateral security for the Obligations, enforceable in accordance with the terms hereof against all creditors of such Grantor and any Persons purporting to purchase any Collateral from such Grantor (other than Inventory sold by such Grantor in the ordinary course of business and except as otherwise permitted by the Credit Agreement), to the extent that perfection or enforceability against third parties is obtainable by completion of the filings and other actions 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or any similar filings or other actions in other jurisdictions in the United States of America and are prior to all other Liens on the Collateral which have priority over the Liens on the Collateral by operation of law and other Liens on the Collateral permitted by the Credit Agreement.</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Jurisdiction of Organization</w:t>
      </w:r>
      <w:r>
        <w:rPr>
          <w:rFonts w:ascii="Times New Roman" w:cs="Times New Roman" w:eastAsia="Times New Roman" w:hAnsi="Times New Roman"/>
          <w:sz w:val="20"/>
          <w:szCs w:val="20"/>
          <w:color w:val="auto"/>
        </w:rPr>
        <w:t>. On the Effective Date, such Grantor’s jurisdiction of organization and identification number from the jurisdiction of organization (if any) are set forth on Schedule 3. Such Grantor has furnished to the Administrative Agent a certified charter, certificate of incorporation or other organizational document and good standing certificate as of a date which is recent to the Effective Date.</w:t>
      </w:r>
    </w:p>
    <w:p>
      <w:pPr>
        <w:spacing w:after="0" w:line="17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u w:val="single" w:color="auto"/>
          <w:color w:val="auto"/>
        </w:rPr>
        <w:t>Domestic Subsidiaries</w:t>
      </w:r>
      <w:r>
        <w:rPr>
          <w:rFonts w:ascii="Times New Roman" w:cs="Times New Roman" w:eastAsia="Times New Roman" w:hAnsi="Times New Roman"/>
          <w:sz w:val="20"/>
          <w:szCs w:val="20"/>
          <w:color w:val="auto"/>
        </w:rPr>
        <w:t>. On the Effective Date,</w:t>
      </w:r>
      <w:r>
        <w:rPr>
          <w:rFonts w:ascii="Times New Roman" w:cs="Times New Roman" w:eastAsia="Times New Roman" w:hAnsi="Times New Roman"/>
          <w:sz w:val="20"/>
          <w:szCs w:val="20"/>
          <w:u w:val="single" w:color="auto"/>
          <w:color w:val="auto"/>
        </w:rPr>
        <w:t xml:space="preserve"> Schedule 4 </w:t>
      </w:r>
      <w:r>
        <w:rPr>
          <w:rFonts w:ascii="Times New Roman" w:cs="Times New Roman" w:eastAsia="Times New Roman" w:hAnsi="Times New Roman"/>
          <w:sz w:val="20"/>
          <w:szCs w:val="20"/>
          <w:color w:val="auto"/>
        </w:rPr>
        <w:t>sets forth a true and complete list of the Domestic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w:t>
      </w:r>
    </w:p>
    <w:p>
      <w:pPr>
        <w:spacing w:after="0" w:line="21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Pledged Stock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61" w:lineRule="auto"/>
        <w:tabs>
          <w:tab w:leader="none" w:pos="173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of the Pledged Stock pledged by such Grantor hereunder constitute all the issued and outstanding shares of all classes of the Capital Stock of each Issuer owned by such Grantor or, in the case of Foreign Subsidiary Voting Stock, if less, 65% of the outstanding Foreign Subsidiary Voting Stock of each relevant Issuer.</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the shares of the Pledged Stock have been duly and validly issued and are fully paid and nonassessable.</w:t>
      </w:r>
    </w:p>
    <w:p>
      <w:pPr>
        <w:spacing w:after="0" w:line="215"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27"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is the record and beneficial owner of, and has good and marketable title to, the Pledged Stock pledged by it hereunder, free of any and all Liens or options in favor of, or claims of, any other Person, except the security interest created by this Agreement and except as permitted under Section 6.01 of the Credit Agreement.</w:t>
      </w:r>
    </w:p>
    <w:p>
      <w:pPr>
        <w:spacing w:after="0" w:line="16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Receivables</w:t>
      </w:r>
      <w:r>
        <w:rPr>
          <w:rFonts w:ascii="Times New Roman" w:cs="Times New Roman" w:eastAsia="Times New Roman" w:hAnsi="Times New Roman"/>
          <w:sz w:val="19"/>
          <w:szCs w:val="19"/>
          <w:color w:val="auto"/>
        </w:rPr>
        <w:t>. During any Full Security Period,</w:t>
      </w:r>
    </w:p>
    <w:p>
      <w:pPr>
        <w:spacing w:after="0" w:line="229" w:lineRule="exact"/>
        <w:rPr>
          <w:sz w:val="20"/>
          <w:szCs w:val="20"/>
          <w:color w:val="auto"/>
        </w:rPr>
      </w:pPr>
    </w:p>
    <w:p>
      <w:pPr>
        <w:ind w:firstLine="1304"/>
        <w:spacing w:after="0" w:line="269" w:lineRule="auto"/>
        <w:tabs>
          <w:tab w:leader="none" w:pos="1719"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obligors on any Receivables (other than Receivables which, when taken together with all other Receivables of each Grantor, have an aggregate value less than or equal to $25,000,000) is a Governmental Authority.</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75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represented by such Grantor to the Lenders from time to time as owing to such Grantor in respect of the Receivables will at such times be accurate in all material respects.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5.7. Intellectual Property.</w:t>
      </w:r>
    </w:p>
    <w:p>
      <w:pPr>
        <w:sectPr>
          <w:pgSz w:w="11900" w:h="16838" w:orient="portrait"/>
          <w:cols w:equalWidth="0" w:num="1">
            <w:col w:w="11240"/>
          </w:cols>
          <w:pgMar w:left="320" w:top="1413" w:right="339" w:bottom="1440" w:gutter="0" w:footer="0" w:header="0"/>
        </w:sectPr>
      </w:pPr>
    </w:p>
    <w:bookmarkStart w:id="208" w:name="page209"/>
    <w:bookmarkEnd w:id="208"/>
    <w:p>
      <w:pPr>
        <w:jc w:val="both"/>
        <w:ind w:left="-1120" w:firstLine="1304"/>
        <w:spacing w:after="0" w:line="253" w:lineRule="auto"/>
        <w:tabs>
          <w:tab w:leader="none" w:pos="44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lists all of the following Intellectual Property as of the Effective Date, to the extent owned by such Grantor in its own name: (i) issued Patents and pending Patent applications, (ii) trademarks, service marks and trade dress registered with the United States Patent and Trademark Office, and applications for the registration thereof, and (iii) registered Copyrights, and applications to register Copyrights. All Material Intellectual Property is recorded or in the process of being recorded in the name of such Grantor. Except as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such Grantor is the sole and exclusive owner of the entire and unencumbered right, title and interest in and to all Material Intellectual Property owned by such Grantor, in each case free and clear of all Liens other than Permitted Liens.</w:t>
      </w:r>
    </w:p>
    <w:p>
      <w:pPr>
        <w:spacing w:after="0" w:line="219" w:lineRule="exact"/>
        <w:rPr>
          <w:rFonts w:ascii="Times New Roman" w:cs="Times New Roman" w:eastAsia="Times New Roman" w:hAnsi="Times New Roman"/>
          <w:sz w:val="20"/>
          <w:szCs w:val="20"/>
          <w:color w:val="auto"/>
        </w:rPr>
      </w:pPr>
    </w:p>
    <w:p>
      <w:pPr>
        <w:jc w:val="both"/>
        <w:ind w:left="-1120" w:firstLine="1304"/>
        <w:spacing w:after="0" w:line="253" w:lineRule="auto"/>
        <w:tabs>
          <w:tab w:leader="none" w:pos="48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all Material Intellectual Property of such Grantor is subsisting and has not been adjudged invalid or unenforceable, in whole or in part, and such Grantor has performed in all material respects all acts and has paid all renewal, maintenance, and other fees and taxes required to maintain each and every registration and application of Copyrights, Patents and Trademarks of such Grantor constituting Material Intellectual Property in full force and effect, unless, to the extent that such Intellectual Property no longer constitutes Material Intellectual Property, such Grantor has reasonably determined that the preservation thereof is no longer desirable in the conduct of such Grantor’s business.</w:t>
      </w:r>
    </w:p>
    <w:p>
      <w:pPr>
        <w:spacing w:after="0" w:line="205" w:lineRule="exact"/>
        <w:rPr>
          <w:rFonts w:ascii="Times New Roman" w:cs="Times New Roman" w:eastAsia="Times New Roman" w:hAnsi="Times New Roman"/>
          <w:sz w:val="20"/>
          <w:szCs w:val="20"/>
          <w:color w:val="auto"/>
        </w:rPr>
      </w:pPr>
    </w:p>
    <w:p>
      <w:pPr>
        <w:jc w:val="both"/>
        <w:ind w:left="-1120" w:firstLine="1304"/>
        <w:spacing w:after="0" w:line="257" w:lineRule="auto"/>
        <w:tabs>
          <w:tab w:leader="none" w:pos="44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have a Material Adverse Effect, (i) no action or proceeding is pending, or, to the knowledge of a Responsible Officer of such Grantor, threatened, alleging that such Grantor, or the conduct of such Grantor’s business, infringes, misappropriates, dilutes, or otherwise violates the intellectual property rights of any other Person, and (ii) to the knowledge of a Responsible Officer of such Grantor, no Person is engaging in any activity that infringes, misappropriates, dilutes or violates any Intellectual Property of such Grantor.</w:t>
      </w:r>
    </w:p>
    <w:p>
      <w:pPr>
        <w:spacing w:after="0" w:line="199" w:lineRule="exact"/>
        <w:rPr>
          <w:rFonts w:ascii="Times New Roman" w:cs="Times New Roman" w:eastAsia="Times New Roman" w:hAnsi="Times New Roman"/>
          <w:sz w:val="20"/>
          <w:szCs w:val="20"/>
          <w:color w:val="auto"/>
        </w:rPr>
      </w:pPr>
    </w:p>
    <w:p>
      <w:pPr>
        <w:jc w:val="both"/>
        <w:ind w:left="-1120" w:firstLine="1304"/>
        <w:spacing w:after="0" w:line="261" w:lineRule="auto"/>
        <w:tabs>
          <w:tab w:leader="none" w:pos="45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controls the nature and quality of all products sold and all services rendered under or in connection with all Trademarks of such Grantor that constitute Material Intellectual Property, in each case consistent with industry standards, and has taken commercially reasonable measures to ensure that all licensees of all such Trademarks comply with such Grantor’s standards of quality.</w:t>
      </w:r>
    </w:p>
    <w:p>
      <w:pPr>
        <w:spacing w:after="0" w:line="208" w:lineRule="exact"/>
        <w:rPr>
          <w:rFonts w:ascii="Times New Roman" w:cs="Times New Roman" w:eastAsia="Times New Roman" w:hAnsi="Times New Roman"/>
          <w:sz w:val="20"/>
          <w:szCs w:val="20"/>
          <w:color w:val="auto"/>
        </w:rPr>
      </w:pPr>
    </w:p>
    <w:p>
      <w:pPr>
        <w:jc w:val="both"/>
        <w:ind w:left="-1120" w:firstLine="1304"/>
        <w:spacing w:after="0" w:line="258" w:lineRule="auto"/>
        <w:tabs>
          <w:tab w:leader="none" w:pos="48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has been using appropriate statutory notice of registration in connection with its use of registered Trademarks, appropriate notice of its trademark rights in common law Trademarks, proper marking practices in connection with its Patents, and appropriate notice of copyright in connection with the publication of its Copyrights, in each case, to the extent such Trademarks, Patents or Copyrights constitute Material Intellectual Property.</w:t>
      </w:r>
    </w:p>
    <w:p>
      <w:pPr>
        <w:spacing w:after="0" w:line="199" w:lineRule="exact"/>
        <w:rPr>
          <w:rFonts w:ascii="Times New Roman" w:cs="Times New Roman" w:eastAsia="Times New Roman" w:hAnsi="Times New Roman"/>
          <w:sz w:val="20"/>
          <w:szCs w:val="20"/>
          <w:color w:val="auto"/>
        </w:rPr>
      </w:pPr>
    </w:p>
    <w:p>
      <w:pPr>
        <w:ind w:left="-1120" w:firstLine="1304"/>
        <w:spacing w:after="0" w:line="283" w:lineRule="auto"/>
        <w:tabs>
          <w:tab w:leader="none" w:pos="437"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the transactions contemplated by this Agreement will not result in the termination, limitation or other material impairment of any of such Grantor’s rights in its Material Intellectual Property.</w:t>
      </w:r>
    </w:p>
    <w:p>
      <w:pPr>
        <w:spacing w:after="0" w:line="173" w:lineRule="exact"/>
        <w:rPr>
          <w:rFonts w:ascii="Times New Roman" w:cs="Times New Roman" w:eastAsia="Times New Roman" w:hAnsi="Times New Roman"/>
          <w:sz w:val="20"/>
          <w:szCs w:val="20"/>
          <w:color w:val="auto"/>
        </w:rPr>
      </w:pPr>
    </w:p>
    <w:p>
      <w:pPr>
        <w:jc w:val="both"/>
        <w:ind w:left="-1120" w:firstLine="1304"/>
        <w:spacing w:after="0" w:line="253" w:lineRule="auto"/>
        <w:tabs>
          <w:tab w:leader="none" w:pos="47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has taken commercially reasonable steps to protect the confidentiality of its Trade Secrets in accordance with industry standards. Except as could not reasonably be expected to have a Material Adverse Effect, (i) none of the Trade Secrets of such Grantor has been used, divulged, disclosed or misappropriated to the detriment of such Grantor for the benefit of any other Person,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term of any employment agreement, non-disclosure agreement,</w:t>
      </w:r>
    </w:p>
    <w:p>
      <w:pPr>
        <w:sectPr>
          <w:pgSz w:w="11900" w:h="16838" w:orient="portrait"/>
          <w:cols w:equalWidth="0" w:num="1">
            <w:col w:w="10120"/>
          </w:cols>
          <w:pgMar w:left="1440" w:top="1413" w:right="339" w:bottom="1440" w:gutter="0" w:footer="0" w:header="0"/>
        </w:sectPr>
      </w:pPr>
    </w:p>
    <w:bookmarkStart w:id="209" w:name="page210"/>
    <w:bookmarkEnd w:id="209"/>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assignment of inventions agreement or similar agreement or contract relating in any way to the protection, ownership, development, use or transfer of such Grantor’s Intellectual Property.</w:t>
      </w:r>
    </w:p>
    <w:p>
      <w:pPr>
        <w:spacing w:after="0" w:line="173" w:lineRule="exact"/>
        <w:rPr>
          <w:sz w:val="20"/>
          <w:szCs w:val="20"/>
          <w:color w:val="auto"/>
        </w:rPr>
      </w:pPr>
    </w:p>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Pledged Note</w:t>
      </w:r>
      <w:r>
        <w:rPr>
          <w:rFonts w:ascii="Times New Roman" w:cs="Times New Roman" w:eastAsia="Times New Roman" w:hAnsi="Times New Roman"/>
          <w:sz w:val="19"/>
          <w:szCs w:val="19"/>
          <w:color w:val="auto"/>
        </w:rPr>
        <w:t>. The Pledged Note has been, to the knowledge of the Company, duly authorized, authenticated, issued, and delivered and is the legal, valid and binding obligation of the issuer thereof enforceable in accordance with its terms and is not in default.</w:t>
      </w:r>
    </w:p>
    <w:p>
      <w:pPr>
        <w:spacing w:after="0" w:line="15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6.</w:t>
      </w:r>
      <w:r>
        <w:rPr>
          <w:sz w:val="20"/>
          <w:szCs w:val="20"/>
          <w:color w:val="auto"/>
        </w:rPr>
        <w:tab/>
      </w:r>
      <w:r>
        <w:rPr>
          <w:rFonts w:ascii="Times New Roman" w:cs="Times New Roman" w:eastAsia="Times New Roman" w:hAnsi="Times New Roman"/>
          <w:sz w:val="19"/>
          <w:szCs w:val="19"/>
          <w:color w:val="auto"/>
        </w:rPr>
        <w:t>COVENANTS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Each Grantor covenants and agrees with the Administrative Agent and the Lenders that, from and after the date of this Agreement until the Obligations shall have been paid in full, no Letter of Credit shall be outstanding and the Commitments and Loans shall have terminated (other than Unliquidated Obligations), other than during any Unsecured Period,</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Delivery of Certificated Securities</w:t>
      </w:r>
      <w:r>
        <w:rPr>
          <w:rFonts w:ascii="Times New Roman" w:cs="Times New Roman" w:eastAsia="Times New Roman" w:hAnsi="Times New Roman"/>
          <w:sz w:val="20"/>
          <w:szCs w:val="20"/>
          <w:color w:val="auto"/>
        </w:rPr>
        <w:t>. If any amount payable under or in connection with any of the Collateral shall be or become evidenced by any Certificated Security, such Certificated Security shall be promptly delivered to the Administrative Agent, duly indorsed (including by delivery of related stock powers) in a manner satisfactory to the Administrative Agent, to be held as Collateral pursuant to this Agreement.</w:t>
      </w:r>
    </w:p>
    <w:p>
      <w:pPr>
        <w:spacing w:after="0" w:line="17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 During any Full Security Period,</w:t>
      </w:r>
    </w:p>
    <w:p>
      <w:pPr>
        <w:spacing w:after="0" w:line="229" w:lineRule="exact"/>
        <w:rPr>
          <w:sz w:val="20"/>
          <w:szCs w:val="20"/>
          <w:color w:val="auto"/>
        </w:rPr>
      </w:pPr>
    </w:p>
    <w:p>
      <w:pPr>
        <w:jc w:val="both"/>
        <w:ind w:firstLine="1304"/>
        <w:spacing w:after="0" w:line="253" w:lineRule="auto"/>
        <w:tabs>
          <w:tab w:leader="none" w:pos="1872"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will maintain, with financially sound and reputable companies, insurance policies (i) insuring the Inventory and Equipment against loss by fire, explosion, theft and such other casualties as may be reasonably satisfactory to the Administrative Agent and (ii) to the extent requested by the Administrative Agent, insuring such Grantor, the Administrative Agent and the Lenders against liability for personal injury and property damage relating to such Inventory and Equipment, such policies to be in such form and amounts and having such coverage as may be reasonably satisfactory to the Administrative Agent and the Lenders.</w:t>
      </w:r>
    </w:p>
    <w:p>
      <w:pPr>
        <w:spacing w:after="0" w:line="19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insurance shall name the Administrative Agent as insured party or loss payee.</w:t>
      </w:r>
    </w:p>
    <w:p>
      <w:pPr>
        <w:spacing w:after="0" w:line="215" w:lineRule="exact"/>
        <w:rPr>
          <w:rFonts w:ascii="Times New Roman" w:cs="Times New Roman" w:eastAsia="Times New Roman" w:hAnsi="Times New Roman"/>
          <w:sz w:val="20"/>
          <w:szCs w:val="20"/>
          <w:color w:val="auto"/>
        </w:rPr>
      </w:pPr>
    </w:p>
    <w:p>
      <w:pPr>
        <w:ind w:right="20" w:firstLine="1304"/>
        <w:spacing w:after="0" w:line="283" w:lineRule="auto"/>
        <w:tabs>
          <w:tab w:leader="none" w:pos="173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Administrative Agent, the Company shall deliver to the Administrative Agent (for distribution to the Lenders) a certificate of insurance from a reputable insurance broker with respect to such insurance.</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Such Grantor will pay and discharge or otherwise satisfy at or before maturity or before they become delinquent, as the case may be, all taxes, assessments and governmental charges or levies imposed upon a material portion of the Collateral or in respect of income or profits therefrom, as well as all claims of any kind against or with respect to the Collateral, except that no such charge need be paid if the amount or validity thereof is currently being contested in good faith by appropriate proceedings, reserves in conformity with GAAP with respect thereto have been provided on the books of such Grantor and such proceedings could not reasonably be expected to result in the sale, forfeiture or loss of any material portion of the Collateral or any interest therein.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Maintenance of Perfected Security Interest; Further Documentation</w:t>
      </w:r>
      <w:r>
        <w:rPr>
          <w:rFonts w:ascii="Times New Roman" w:cs="Times New Roman" w:eastAsia="Times New Roman" w:hAnsi="Times New Roman"/>
          <w:sz w:val="20"/>
          <w:szCs w:val="20"/>
          <w:color w:val="auto"/>
        </w:rPr>
        <w:t>. Such Grantor shall maintain the security interest created by this Agreement as a perfected security interest having at least the priority described in Section 5.2 and shall take commercially reasonable steps to</w:t>
      </w:r>
    </w:p>
    <w:p>
      <w:pPr>
        <w:sectPr>
          <w:pgSz w:w="11900" w:h="16838" w:orient="portrait"/>
          <w:cols w:equalWidth="0" w:num="1">
            <w:col w:w="11240"/>
          </w:cols>
          <w:pgMar w:left="320" w:top="1413" w:right="339" w:bottom="1440" w:gutter="0" w:footer="0" w:header="0"/>
        </w:sectPr>
      </w:pPr>
    </w:p>
    <w:bookmarkStart w:id="210" w:name="page211"/>
    <w:bookmarkEnd w:id="210"/>
    <w:p>
      <w:pPr>
        <w:ind w:right="20"/>
        <w:spacing w:after="0" w:line="283" w:lineRule="auto"/>
        <w:rPr>
          <w:sz w:val="20"/>
          <w:szCs w:val="20"/>
          <w:color w:val="auto"/>
        </w:rPr>
      </w:pPr>
      <w:r>
        <w:rPr>
          <w:rFonts w:ascii="Times New Roman" w:cs="Times New Roman" w:eastAsia="Times New Roman" w:hAnsi="Times New Roman"/>
          <w:sz w:val="20"/>
          <w:szCs w:val="20"/>
          <w:color w:val="auto"/>
        </w:rPr>
        <w:t>defend such security interest against the claims and demands of all Persons whomsoever other than with respect to liens permitted by the Credit Agreement.</w:t>
      </w:r>
    </w:p>
    <w:p>
      <w:pPr>
        <w:spacing w:after="0" w:line="14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The Company will advise the Administrative Agent (who will advise the Lenders) promptly, in reasonable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 of:</w:t>
      </w:r>
    </w:p>
    <w:p>
      <w:pPr>
        <w:spacing w:after="0" w:line="200" w:lineRule="exact"/>
        <w:rPr>
          <w:sz w:val="20"/>
          <w:szCs w:val="20"/>
          <w:color w:val="auto"/>
        </w:rPr>
      </w:pPr>
    </w:p>
    <w:p>
      <w:pPr>
        <w:jc w:val="both"/>
        <w:ind w:firstLine="1304"/>
        <w:spacing w:after="0" w:line="268" w:lineRule="auto"/>
        <w:tabs>
          <w:tab w:leader="none" w:pos="1749"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(other than security interests created hereby or Liens permitted under the Credit Agreement) on any material portion of the Collateral which would materially and adversely affect the ability of the Administrative Agent to exercise any of its remedies hereunder; and</w:t>
      </w:r>
    </w:p>
    <w:p>
      <w:pPr>
        <w:spacing w:after="0" w:line="161" w:lineRule="exact"/>
        <w:rPr>
          <w:rFonts w:ascii="Times New Roman" w:cs="Times New Roman" w:eastAsia="Times New Roman" w:hAnsi="Times New Roman"/>
          <w:sz w:val="20"/>
          <w:szCs w:val="20"/>
          <w:color w:val="auto"/>
        </w:rPr>
      </w:pPr>
    </w:p>
    <w:p>
      <w:pPr>
        <w:ind w:firstLine="1304"/>
        <w:spacing w:after="0" w:line="283" w:lineRule="auto"/>
        <w:tabs>
          <w:tab w:leader="none" w:pos="1869"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other event which could reasonably be expected to have a material adverse effect on the aggregate value of the Collateral or on the security interests created hereby.</w:t>
      </w:r>
    </w:p>
    <w:p>
      <w:pPr>
        <w:spacing w:after="0" w:line="146"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and from time to time, upon the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Pledged Stock and any other relevant Collateral, taking any actions necessary to enable the Administrative Agent to obtain “control” (within the meaning of the applicable Uniform Commercial Code) with respect thereto.</w:t>
      </w:r>
    </w:p>
    <w:p>
      <w:pPr>
        <w:spacing w:after="0" w:line="19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Pledged Stock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9" w:lineRule="auto"/>
        <w:tabs>
          <w:tab w:leader="none" w:pos="172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Grantor shall become entitled to receive or shall receive any stock certificate (including, without limitation, any certificate representing a stock dividend or a distribution in connection with any reclassification, increase or reduction of capital or any certificate issued in connection with any reorganization), option or rights in respect of the Capital Stock of any Issuer which is a direct or indirect Domestic Subsidiary of such Grantor and which is Pledged Stock, whether in addition to, in substitution of, as a conversion of, or in exchange for, any shares of the Pledged Stock, or otherwise in respect thereof, such Grantor shall accept the same as the agent of the Administrative Agent and the Lenders, hold the same in trust for the Administrative Agent and the Lenders and deliver the same forthwith to the Administrative Agent in the exact form received, duly indorsed (including by delivery of related stock or bond powers) by such Grantor to the Administrative Agent, if required by the Credit Agreement, together with an undated stock power covering such certificate duly executed in blank by such Grantor to be held by the Administrative Agent, subject to the terms hereof, as additional collateral security for the Obligations. Except as otherwise permitted by the Credit Agreement, after an Event of Default has occurred and any sums paid upon or in respect of the Collateral upon the liquidation or dissolution of any Issuer shall be paid over to the Administrative Agent to be held by it hereunder as additional collateral security for the Obligations, and in case any distribution of capital shall be made on or in respect of the Collateral or any property shall be distributed upon or with respect to the Collateral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such Obligations except to the extent permitted under Section 7.3. If any sums of money or property so paid or distributed in respect of the Collateral upon the liquidation or dissolution of any issuer not permitted by the Credit Agreement shall be received by such</w:t>
      </w:r>
    </w:p>
    <w:p>
      <w:pPr>
        <w:sectPr>
          <w:pgSz w:w="11900" w:h="16838" w:orient="portrait"/>
          <w:cols w:equalWidth="0" w:num="1">
            <w:col w:w="11240"/>
          </w:cols>
          <w:pgMar w:left="320" w:top="1413" w:right="339" w:bottom="1440" w:gutter="0" w:footer="0" w:header="0"/>
        </w:sectPr>
      </w:pPr>
    </w:p>
    <w:bookmarkStart w:id="211" w:name="page212"/>
    <w:bookmarkEnd w:id="21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Grantor, such Grantor shall, until such money or property is paid or delivered to the Administrative Agent, hold such money or property in trust for the Lenders, segregated from other funds of such Grantor, as additional collateral security for the Obligations.</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Without the prior written consent of the Administrative Agent or unless not otherwise prohibited by the Credit Agreement, such Grantor will not (i) sell, assign, transfer, exchange, or otherwise dispose of, or grant any option with respect to, the Collateral (except pursuant to a transaction not prohibited by the Credit Agreement), (ii) create, incur or permit to exist any Lien or option in favor of, or any claim of any Person with respect to, any of the Collateral, or any interest therein, except for the security interests created by this Agreement or otherwise permitted by the Credit Agreement or (iii) enter into any agreement or undertaking restricting the right or ability of such Grantor or the Administrative Agent to sell, assign or transfer any of the Collateral.</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In the case of each Grantor which is an Issuer, such Issuer agrees that (i) it will be bound by the terms of this Agreement relating to the Pledged Stock issued by it and will comply with such terms insofar as such terms are applicable to it, (ii) it will notify the Administrative Agent promptly in writing of the occurrence of any of the events described in Section 6.5 with respect to the Pledged Stock issued by it and (iii) the terms of Sections 7.3(c) and 7.7 shall apply to it,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with respect to all actions that may be required of it pursuant to Section 7.3(c) or 7.7 with respect to the Pledged Stock issued by it.</w:t>
      </w:r>
    </w:p>
    <w:p>
      <w:pPr>
        <w:spacing w:after="0" w:line="19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Receivables</w:t>
      </w:r>
      <w:r>
        <w:rPr>
          <w:rFonts w:ascii="Times New Roman" w:cs="Times New Roman" w:eastAsia="Times New Roman" w:hAnsi="Times New Roman"/>
          <w:sz w:val="19"/>
          <w:szCs w:val="19"/>
          <w:color w:val="auto"/>
        </w:rPr>
        <w:t>. During any Full Security Period,</w:t>
      </w:r>
    </w:p>
    <w:p>
      <w:pPr>
        <w:spacing w:after="0" w:line="216" w:lineRule="exact"/>
        <w:rPr>
          <w:sz w:val="20"/>
          <w:szCs w:val="20"/>
          <w:color w:val="auto"/>
        </w:rPr>
      </w:pPr>
    </w:p>
    <w:p>
      <w:pPr>
        <w:jc w:val="both"/>
        <w:ind w:firstLine="1304"/>
        <w:spacing w:after="0" w:line="258" w:lineRule="auto"/>
        <w:tabs>
          <w:tab w:leader="none" w:pos="1757"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ordinary course of business, such Grantor will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each case, in any manner that could materially adversely affect the value thereof.</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1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contained in this Agreement to the contrary notwithstanding, the Grantors, or any of them, shall have the right to enter into one or more Receivables Purchase Facilities, as contemplated by the Credit Agreement, and the Administrative Agent shall execute any and all documents reasonably necessary to release its security interest in the Receivables which become Sold Receivables Assets upon the consummation of such Receivables Purchase Facility(ies).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1304"/>
        <w:spacing w:after="0" w:line="253" w:lineRule="auto"/>
        <w:tabs>
          <w:tab w:leader="none" w:pos="157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will not do any act or omit to do any act whereby any Material Intellectual Property may lapse, become abandoned, cancelled, dedicated to the public, forfeited, or otherwise impaired, or abandon any application or any right to file an application for a Copyright, Patent, or Trademark constituting Material Intellectual Property; provided that no Grantor shall be required to preserve any Intellectual Property that no longer constitutes Material Intellectual Property if such Grantor reasonably determines that the preservation thereof is no longer desirable in the conduct of such Grantor’s business.</w:t>
      </w:r>
    </w:p>
    <w:p>
      <w:pPr>
        <w:spacing w:after="0" w:line="19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57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agrees that, should it hereafter (i) obtain an ownership interest in any item of Intellectual Property, (ii) file (either by itself or through any agent, employee, licensee, or designee) any application for the registration or issuance of any Intellectual Property with the United</w:t>
      </w:r>
    </w:p>
    <w:p>
      <w:pPr>
        <w:sectPr>
          <w:pgSz w:w="11900" w:h="16838" w:orient="portrait"/>
          <w:cols w:equalWidth="0" w:num="1">
            <w:col w:w="11240"/>
          </w:cols>
          <w:pgMar w:left="320" w:top="1413" w:right="339" w:bottom="1440" w:gutter="0" w:footer="0" w:header="0"/>
        </w:sectPr>
      </w:pPr>
    </w:p>
    <w:bookmarkStart w:id="212" w:name="page213"/>
    <w:bookmarkEnd w:id="212"/>
    <w:p>
      <w:pPr>
        <w:jc w:val="both"/>
        <w:spacing w:after="0" w:line="253" w:lineRule="auto"/>
        <w:rPr>
          <w:sz w:val="20"/>
          <w:szCs w:val="20"/>
          <w:color w:val="auto"/>
        </w:rPr>
      </w:pPr>
      <w:r>
        <w:rPr>
          <w:rFonts w:ascii="Times New Roman" w:cs="Times New Roman" w:eastAsia="Times New Roman" w:hAnsi="Times New Roman"/>
          <w:sz w:val="20"/>
          <w:szCs w:val="20"/>
          <w:color w:val="auto"/>
        </w:rPr>
        <w:t>States Patent and Trademark Office or the United States Copyright Office or (iii) file an accepted Statement of Use or Amendment to Allege Use with respect to any “intent-to-use” Trademark application (the items in clauses (i), (ii) and (iii), collectively, the “</w:t>
      </w:r>
      <w:r>
        <w:rPr>
          <w:rFonts w:ascii="Times New Roman" w:cs="Times New Roman" w:eastAsia="Times New Roman" w:hAnsi="Times New Roman"/>
          <w:sz w:val="20"/>
          <w:szCs w:val="20"/>
          <w:u w:val="single" w:color="auto"/>
          <w:color w:val="auto"/>
        </w:rPr>
        <w:t>After-Acquired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then the provisions of Section 4 shall automatically apply thereto, and any such After-Acquired Intellectual Property shall automatically become part of the Collateral, and such Grantor shall give prompt (and, in any event simultaneously with delivery of the compliance certificate required by Section 5.02(a) of the Credit Agreement for the fiscal quarter in which such Grantor acquires such ownership interest) written notice thereof to the Administrative Agent in accordance herewith, and shall promptly take the actions specified in Section 6.8(c) with respect thereto.</w:t>
      </w:r>
    </w:p>
    <w:p>
      <w:pPr>
        <w:spacing w:after="0" w:line="179" w:lineRule="exact"/>
        <w:rPr>
          <w:sz w:val="20"/>
          <w:szCs w:val="20"/>
          <w:color w:val="auto"/>
        </w:rPr>
      </w:pPr>
    </w:p>
    <w:p>
      <w:pPr>
        <w:jc w:val="both"/>
        <w:ind w:firstLine="1304"/>
        <w:spacing w:after="0" w:line="258" w:lineRule="auto"/>
        <w:tabs>
          <w:tab w:leader="none" w:pos="156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execute Intellectual Property Security Agreements with respect to the Intellectual Property included in the Collateral as of the date hereof, as well as any After-Acquired Intellectual Property, in substantially the form of Annexes 2, 3 or 4, as applicable, in order to record the security interest granted herein to the Administrative Agent for the benefit of the Secured Parties with the United States Patent and Trademark Office or the United States Copyright Office, as applicable.</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03"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use commercially reasonable efforts so as not to permit the inclusion in any contract to which it hereafter becomes a party of any provision that could or may in any way materially impair or prevent the creation of a security interest in, or the assignment of, such Grantor’s rights and interests in any property that constitutes Intellectual Property.</w:t>
      </w:r>
    </w:p>
    <w:p>
      <w:pPr>
        <w:spacing w:after="0" w:line="16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578"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promptly notify the Administrative Agent if a Responsible Officer of such Grantor knows that any item of Material Intellectual Property may become (i) abandoned or dedicated to the public or placed in the public domain, (ii) invalid or unenforceable, (iii) subject to any adverse determination or development regarding such Grantor’s ownership, registration or use or the validity or enforceability of such item of Intellectual Property (including the institution of, or any adverse development with respect to, any action or proceeding in the United States Patent and Trademark Office or the United States Copyright Office, or any court) or (iv) the subject of any reversion or termination rights.</w:t>
      </w:r>
    </w:p>
    <w:p>
      <w:pPr>
        <w:spacing w:after="0" w:line="192" w:lineRule="exact"/>
        <w:rPr>
          <w:rFonts w:ascii="Times New Roman" w:cs="Times New Roman" w:eastAsia="Times New Roman" w:hAnsi="Times New Roman"/>
          <w:sz w:val="20"/>
          <w:szCs w:val="20"/>
          <w:color w:val="auto"/>
        </w:rPr>
      </w:pPr>
    </w:p>
    <w:p>
      <w:pPr>
        <w:ind w:right="20" w:firstLine="1304"/>
        <w:spacing w:after="0" w:line="269" w:lineRule="auto"/>
        <w:tabs>
          <w:tab w:leader="none" w:pos="1557"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(and shall require its licensees to) use proper notice of its Intellectual Property rights in connection with the use of any of its Material Intellectual Property.</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57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not infringe, misappropriate, dilute, or otherwise violate the Intellectual Property rights of any other Person in any manner which could reasonably be expected to have a Material Adverse Effect. In the event that any Person initiates, or threatens in writing to initiate, any action or proceeding alleging that such Grantor, or the conduct of such Grantor’s business, infringes, misappropriates, dilutes, or otherwise violates the Intellectual Property of any other Person, and such action or proceeding could reasonably be expected to have a Material Adverse Effect, such Grantor shall promptly notify the Administrative Agent after a Responsible Officer of such Grantor has knowledge thereof.</w:t>
      </w:r>
    </w:p>
    <w:p>
      <w:pPr>
        <w:spacing w:after="0" w:line="19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617"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Material Intellectual Property owned by or exclusively licensed to any Grantor is infringed, misappropriated, diluted or otherwise violated by another Person, such Grantor shall (i) promptly take all reasonable actions to protect and enforce its rights in such Intellectual Property and (ii) promptly notify the Administrative Agent after a Responsible Officer of such Grantor has knowledge thereof.</w:t>
      </w:r>
    </w:p>
    <w:p>
      <w:pPr>
        <w:sectPr>
          <w:pgSz w:w="11900" w:h="16838" w:orient="portrait"/>
          <w:cols w:equalWidth="0" w:num="1">
            <w:col w:w="11240"/>
          </w:cols>
          <w:pgMar w:left="320" w:top="1413" w:right="339" w:bottom="1440" w:gutter="0" w:footer="0" w:header="0"/>
        </w:sectPr>
      </w:pPr>
    </w:p>
    <w:bookmarkStart w:id="213" w:name="page214"/>
    <w:bookmarkEnd w:id="213"/>
    <w:p>
      <w:pPr>
        <w:ind w:firstLine="1304"/>
        <w:spacing w:after="0" w:line="283" w:lineRule="auto"/>
        <w:tabs>
          <w:tab w:leader="none" w:pos="1559"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take commercially reasonable steps to protect the confidentiality of all Trade Secrets constituting Material Intellectual Property.</w:t>
      </w:r>
    </w:p>
    <w:p>
      <w:pPr>
        <w:spacing w:after="0" w:line="146" w:lineRule="exact"/>
        <w:rPr>
          <w:rFonts w:ascii="Times New Roman" w:cs="Times New Roman" w:eastAsia="Times New Roman" w:hAnsi="Times New Roman"/>
          <w:sz w:val="20"/>
          <w:szCs w:val="20"/>
          <w:color w:val="auto"/>
        </w:rPr>
      </w:pPr>
    </w:p>
    <w:p>
      <w:pPr>
        <w:ind w:left="1540" w:hanging="236"/>
        <w:spacing w:after="0"/>
        <w:tabs>
          <w:tab w:leader="none" w:pos="154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1304"/>
        <w:spacing w:after="0" w:line="250" w:lineRule="auto"/>
        <w:tabs>
          <w:tab w:leader="none" w:pos="157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Grantor’s ownership of any issued, registered or applied for Intellectual Property (other than any Intellectual Property listed under the heading “Copyrights”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and noted with an asterisk (*)) included in the Collateral is not accurately reflected in the public records of the United States Patent and Trademark Office or the United States Copyright Office, as applicable, or to the extent there are any gaps or other deficiencies in the chain of title of such Intellectual Property in the public records of the United States Patent and Trademark Office or the United States Copyright Office, such Grantor agrees to use commercially reasonable efforts to promptly (i) execute and record such documents or other instruments and (ii) take such other actions reasonably required by the Administrative Agent, in each case to clean up the chain of title and to accurately reflect such Grantor’s ownership of such Intellectual Property in the public records of the United States Patent and Trademark Office and the United States Copyright Office. Each Grantor will use commercially reasonable efforts to complete the foregoing within 120 days following the Effective Date (or such later date as is agreed to by the Administrative Agent in its reasonable discretion).</w:t>
      </w:r>
    </w:p>
    <w:p>
      <w:pPr>
        <w:spacing w:after="0" w:line="19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6.9. Pledged Note. Notwithstanding anything to the contrary set forth in any Loan Document, the Company covenants and agrees that it shall not sell, assign, convey, contribute, dispose of or otherwise transfer, or (other than pursuant to the terms of this Agreement) grant or suffer to exist any Lien upon, any of its right, title or interest in the Pledged Note to any other Grantor, any Subsidiary, any Affiliate or any other Person.</w:t>
      </w:r>
    </w:p>
    <w:p>
      <w:pPr>
        <w:spacing w:after="0" w:line="17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7.</w:t>
      </w:r>
      <w:r>
        <w:rPr>
          <w:sz w:val="20"/>
          <w:szCs w:val="20"/>
          <w:color w:val="auto"/>
        </w:rPr>
        <w:tab/>
      </w:r>
      <w:r>
        <w:rPr>
          <w:rFonts w:ascii="Times New Roman" w:cs="Times New Roman" w:eastAsia="Times New Roman" w:hAnsi="Times New Roman"/>
          <w:sz w:val="19"/>
          <w:szCs w:val="19"/>
          <w:color w:val="auto"/>
        </w:rPr>
        <w:t>REMEDIAL PROVISIONS</w:t>
      </w:r>
    </w:p>
    <w:p>
      <w:pPr>
        <w:spacing w:after="0" w:line="25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Certain Matters Relating to Receivables</w:t>
      </w:r>
      <w:r>
        <w:rPr>
          <w:rFonts w:ascii="Times New Roman" w:cs="Times New Roman" w:eastAsia="Times New Roman" w:hAnsi="Times New Roman"/>
          <w:sz w:val="19"/>
          <w:szCs w:val="19"/>
          <w:color w:val="auto"/>
        </w:rPr>
        <w:t>. During any Full Security Period,</w:t>
      </w:r>
    </w:p>
    <w:p>
      <w:pPr>
        <w:spacing w:after="0" w:line="216" w:lineRule="exact"/>
        <w:rPr>
          <w:sz w:val="20"/>
          <w:szCs w:val="20"/>
          <w:color w:val="auto"/>
        </w:rPr>
      </w:pPr>
    </w:p>
    <w:p>
      <w:pPr>
        <w:jc w:val="both"/>
        <w:ind w:firstLine="1304"/>
        <w:spacing w:after="0" w:line="253" w:lineRule="auto"/>
        <w:tabs>
          <w:tab w:leader="none" w:pos="1717"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after the occurrence and during the continuance of an Event of Default to make test verifications of the Receivables in any manner and through any medium that it reasonably considers advisable, and each Grantor shall furnish all such assistance and information as the Administrative Agent may require in connection with such test verifications. At any time and from time to time, after the occurrence and during the continuance of an Event of Default, upon the Administrative Agent’s request and at the expense of the relevant Grantor, such Grantor shall cause independent public accountants or others satisfactory to the Administrative Agent to furnish to the Administrative Agent reports showing reconciliations, aging and test verifications of, and trial balances for, the Receivables.</w:t>
      </w:r>
    </w:p>
    <w:p>
      <w:pPr>
        <w:spacing w:after="0" w:line="179" w:lineRule="exact"/>
        <w:rPr>
          <w:rFonts w:ascii="Times New Roman" w:cs="Times New Roman" w:eastAsia="Times New Roman" w:hAnsi="Times New Roman"/>
          <w:sz w:val="20"/>
          <w:szCs w:val="20"/>
          <w:color w:val="auto"/>
        </w:rPr>
      </w:pPr>
    </w:p>
    <w:p>
      <w:pPr>
        <w:jc w:val="both"/>
        <w:ind w:firstLine="1304"/>
        <w:spacing w:after="0" w:line="253" w:lineRule="auto"/>
        <w:tabs>
          <w:tab w:leader="none" w:pos="201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hereby authorizes each Grantor to collect such Grantor’s Receivables,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maintained under the sole dominion and control of the Administrative Agent, subject to withdrawal by the Administrative Agent for the account of the Lenders only as provided in Section 7.5, and (ii) until so turned over, shall be held by such Grantor in trust for the Administrative Agent and the Lenders, segregated from other funds of such Grantor. Each</w:t>
      </w:r>
    </w:p>
    <w:p>
      <w:pPr>
        <w:sectPr>
          <w:pgSz w:w="11900" w:h="16838" w:orient="portrait"/>
          <w:cols w:equalWidth="0" w:num="1">
            <w:col w:w="11240"/>
          </w:cols>
          <w:pgMar w:left="320" w:top="1413" w:right="339" w:bottom="1440" w:gutter="0" w:footer="0" w:header="0"/>
        </w:sectPr>
      </w:pPr>
    </w:p>
    <w:bookmarkStart w:id="214" w:name="page215"/>
    <w:bookmarkEnd w:id="214"/>
    <w:p>
      <w:pPr>
        <w:ind w:right="20"/>
        <w:spacing w:after="0" w:line="283" w:lineRule="auto"/>
        <w:rPr>
          <w:sz w:val="20"/>
          <w:szCs w:val="20"/>
          <w:color w:val="auto"/>
        </w:rPr>
      </w:pPr>
      <w:r>
        <w:rPr>
          <w:rFonts w:ascii="Times New Roman" w:cs="Times New Roman" w:eastAsia="Times New Roman" w:hAnsi="Times New Roman"/>
          <w:sz w:val="20"/>
          <w:szCs w:val="20"/>
          <w:color w:val="auto"/>
        </w:rPr>
        <w:t>such deposit of Proceeds of Receivables shall be accompanied by a report identifying in reasonable detail the nature and source of the payments included in the deposit.</w:t>
      </w:r>
    </w:p>
    <w:p>
      <w:pPr>
        <w:spacing w:after="0" w:line="146" w:lineRule="exact"/>
        <w:rPr>
          <w:sz w:val="20"/>
          <w:szCs w:val="20"/>
          <w:color w:val="auto"/>
        </w:rPr>
      </w:pPr>
    </w:p>
    <w:p>
      <w:pPr>
        <w:jc w:val="both"/>
        <w:ind w:firstLine="1304"/>
        <w:spacing w:after="0" w:line="261" w:lineRule="auto"/>
        <w:tabs>
          <w:tab w:leader="none" w:pos="1772"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Administrative Agent’s request, after the occurrence and during the continuance of an Event of Default, each Grantor shall deliver to the Administrative Agent all original and other documents evidencing, and relating to, the agreements and transactions which gave rise to the Receivables, including, without limitation, all original orders, invoices and shipping receipts.</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Communications with Obligors; Grantors Remain Liable</w:t>
      </w:r>
      <w:r>
        <w:rPr>
          <w:rFonts w:ascii="Times New Roman" w:cs="Times New Roman" w:eastAsia="Times New Roman" w:hAnsi="Times New Roman"/>
          <w:sz w:val="19"/>
          <w:szCs w:val="19"/>
          <w:color w:val="auto"/>
        </w:rPr>
        <w:t>. During any Full Security Period,</w:t>
      </w:r>
    </w:p>
    <w:p>
      <w:pPr>
        <w:spacing w:after="0" w:line="229" w:lineRule="exact"/>
        <w:rPr>
          <w:sz w:val="20"/>
          <w:szCs w:val="20"/>
          <w:color w:val="auto"/>
        </w:rPr>
      </w:pPr>
    </w:p>
    <w:p>
      <w:pPr>
        <w:jc w:val="both"/>
        <w:ind w:firstLine="1304"/>
        <w:spacing w:after="0" w:line="261" w:lineRule="auto"/>
        <w:tabs>
          <w:tab w:leader="none" w:pos="17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w:t>
      </w:r>
    </w:p>
    <w:p>
      <w:pPr>
        <w:spacing w:after="0" w:line="167"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3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written request of the Administrative Agent at any time after the occurrence and during the continuance of an Event of Default, each Grantor shall notify obligors on its Receivables that the Receivables have been assigned to the Administrative Agent for the ratable benefit of the Secured Parties and that payments in respect thereof shall be made directly to the Administrative Agent.</w:t>
      </w:r>
    </w:p>
    <w:p>
      <w:pPr>
        <w:spacing w:after="0" w:line="16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02"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to the contrary notwithstanding, each Grantor shall remain liable under each of its Receivables to observe and perform all the conditions and obligations to be observed and performed by it thereunder, all in accordance with the terms of any agreement giving rise thereto. Neither the Administrative Agent nor any Lender shall have any obligation or liability under any Receivable (or any agreement giving rise thereto) by reason of or arising out of this Agreement or the receipt by the Administrative Agent or any Lender of any payment relating thereto, nor shall the Administrative Agent or any Lender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7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Pledged Stock</w:t>
      </w:r>
    </w:p>
    <w:p>
      <w:pPr>
        <w:spacing w:after="0" w:line="229" w:lineRule="exact"/>
        <w:rPr>
          <w:sz w:val="20"/>
          <w:szCs w:val="20"/>
          <w:color w:val="auto"/>
        </w:rPr>
      </w:pPr>
    </w:p>
    <w:p>
      <w:pPr>
        <w:jc w:val="both"/>
        <w:ind w:firstLine="1304"/>
        <w:spacing w:after="0" w:line="253" w:lineRule="auto"/>
        <w:tabs>
          <w:tab w:leader="none" w:pos="172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an Event of Default shall have occurred and be continuing and the Administrative Agent shall have given notice to the relevant Grantor of the Administrative Agent’s intent to exercise its corresponding rights pursuant to Section 7.3(b), each Grantor shall be permitted to receive all cash dividends paid in respect of the Pledged Stock, to the extent not prohibited by the Credit Agreement, to pay and declare dividends to the extent permitted by the Credit Agreement and to exercise all voting and corporate rights with respect to the Pledged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vote shall be cast or corporate right exercised or other action taken which would result in any violation of any provision of the Credit Agreement, this Agreement or any other Loan Document.</w:t>
      </w:r>
    </w:p>
    <w:p>
      <w:pPr>
        <w:spacing w:after="0" w:line="19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38"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shall occur and be continuing and the Administrative Agent shall give written notice of its intent to exercise such rights to the relevant Grantor or Grantors, (i) the Administrative Agent shall have the right to receive any and all cash dividends, payments or other Proceeds paid in respect of the Pledged Stock and make application thereof to the Obligations in</w:t>
      </w:r>
    </w:p>
    <w:p>
      <w:pPr>
        <w:sectPr>
          <w:pgSz w:w="11900" w:h="16838" w:orient="portrait"/>
          <w:cols w:equalWidth="0" w:num="1">
            <w:col w:w="11240"/>
          </w:cols>
          <w:pgMar w:left="320" w:top="1413" w:right="339" w:bottom="1440" w:gutter="0" w:footer="0" w:header="0"/>
        </w:sectPr>
      </w:pPr>
    </w:p>
    <w:bookmarkStart w:id="215" w:name="page216"/>
    <w:bookmarkEnd w:id="215"/>
    <w:p>
      <w:pPr>
        <w:jc w:val="both"/>
        <w:spacing w:after="0" w:line="250" w:lineRule="auto"/>
        <w:rPr>
          <w:sz w:val="20"/>
          <w:szCs w:val="20"/>
          <w:color w:val="auto"/>
        </w:rPr>
      </w:pPr>
      <w:r>
        <w:rPr>
          <w:rFonts w:ascii="Times New Roman" w:cs="Times New Roman" w:eastAsia="Times New Roman" w:hAnsi="Times New Roman"/>
          <w:sz w:val="20"/>
          <w:szCs w:val="20"/>
          <w:color w:val="auto"/>
        </w:rPr>
        <w:t>accordance with Section 7.5 below, and (ii) any or all of the Pledged Stock shall be registered in the name of the Administrative Agent or its nominee, and the Administrative Agent or its nominee may thereafter exercise (x) all voting, corporate and other rights pertaining to such Pledged Stock at any meeting of shareholders of the relevant Issuer or Issuers or otherwise and (y) any and all rights of conversion, exchange and subscription and any other rights, privileges or options pertaining to such Pledged Stock as if it were the absolute owner thereof (including, without limitation, the right to exchange at its discretion any and all of the Pledged Stock upon the merger, consolidation, reorganization, recapitalization or other fundamental change in the corporate structure of any Issuer, or upon the exercise by any Grantor or the Administrative Agent of any right, privilege or option pertaining to such Pledged Stock, and in connection therewith, the right to deposit and deliver any and all of the Pledged Stock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200" w:lineRule="exact"/>
        <w:rPr>
          <w:sz w:val="20"/>
          <w:szCs w:val="20"/>
          <w:color w:val="auto"/>
        </w:rPr>
      </w:pPr>
    </w:p>
    <w:p>
      <w:pPr>
        <w:jc w:val="both"/>
        <w:ind w:firstLine="1304"/>
        <w:spacing w:after="0" w:line="253" w:lineRule="auto"/>
        <w:tabs>
          <w:tab w:leader="none" w:pos="1829"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hereby authorizes and instructs each Issuer of any Pledged Stock or Pledged Note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Stock or the Pledged Note directly to the Administrative Agent.</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Proceeds to be Turned Over To Administrative Agent</w:t>
      </w:r>
      <w:r>
        <w:rPr>
          <w:rFonts w:ascii="Times New Roman" w:cs="Times New Roman" w:eastAsia="Times New Roman" w:hAnsi="Times New Roman"/>
          <w:sz w:val="20"/>
          <w:szCs w:val="20"/>
          <w:color w:val="auto"/>
        </w:rPr>
        <w:t>. If an Event of Default shall occur and be continuing, all Proceeds received by any Grantor consisting of cash, checks and other near-cash items shall be held by such Grantor in trust for the Administrative Agent and the Lenders,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under this Section 7.4 shall be held by the Administrative Agent in a Collateral Account maintained under its sole dominion and control. All Proceeds while held by the Administrative Agent in a Collateral Account (or by such Grantor in trust for the Administrative Agent and the Lenders) shall continue to be held as collateral security for all the Obligations and shall not constitute payment thereof until applied as provided in Section 7.5.</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At such intervals as may be agreed upon by the Company and the Administrative Agent, or, if an Event of Default shall have occurred and be continuing, at any time at the Administrative Agent's election, the Administrative Agent may apply all or any part of Proceeds constituting Collateral, whether or not held in any Collateral Account, and any proceeds of the guarantee set forth in Section 2, in payment of the Obligations in the following order:</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 incurred and unpaid fees and expenses of the Administrative Agent under the Loan Documents;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the Administrative Agent, for application by it towards payment of amounts then due and owing and remaining unpaid in respect of the Obligations, pro rata among the Secured Parties according to the amounts of the Obligations then due and owing and remaining unpaid to the Secured Parties;</w:t>
      </w:r>
    </w:p>
    <w:p>
      <w:pPr>
        <w:sectPr>
          <w:pgSz w:w="11900" w:h="16838" w:orient="portrait"/>
          <w:cols w:equalWidth="0" w:num="1">
            <w:col w:w="11240"/>
          </w:cols>
          <w:pgMar w:left="320" w:top="1413" w:right="339" w:bottom="1440" w:gutter="0" w:footer="0" w:header="0"/>
        </w:sectPr>
      </w:pPr>
    </w:p>
    <w:bookmarkStart w:id="216" w:name="page217"/>
    <w:bookmarkEnd w:id="216"/>
    <w:p>
      <w:pPr>
        <w:jc w:val="both"/>
        <w:ind w:right="20" w:firstLine="1296"/>
        <w:spacing w:after="0" w:line="283"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Administrative Agent, for application by it towards prepayment of the Obligations, pro rata among the Secured Parties according to the amounts of the Obligations then held by the Secured Parties; and</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any balance remaining after the Obligations shall have been paid in full, no Letters of Credit shall be outstanding and the Commitments shall have been terminated shall be paid over to the Company or to whomsoever may be lawfully entitled to receive the same.</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Notwithstanding the foregoing, no amounts received from any Guarantor shall be applied to any Excluded Swap Obligations of such Guarantor.</w:t>
      </w:r>
    </w:p>
    <w:p>
      <w:pPr>
        <w:spacing w:after="0" w:line="14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Code and Other Remedies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48" w:lineRule="auto"/>
        <w:tabs>
          <w:tab w:leader="none" w:pos="172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shall occur and be continuing, the Administrative Agent, on behalf of the Lenders,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7.6, after deducting all reasonable costs and expenses of every kind incurred in connection therewith or incidental to the care or safekeeping of any of the Collateral or in any way relating to the Collateral or the rights of the Administrative Agent and the Lenders hereunder, including, without limitation, reasonable attorneys’ fees and disbursements, in accordance with Section 7.5 of this Agreement, and only after such application and after the payment by the Administrative Agent of any other amount required by any provision of law, including, without limitation, Section 9-615(a)(3) of the New York UCC, need the Administrative Agent account for the surplus, if any, to any Grantor. To the extent permitted by applicable law, each Grantor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03"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Disposition of any of the Intellectual Property, the goodwill of the business connected with and symbolized by any Trademarks subject to such Disposition shall be included, and the applicable Grantor shall supply the Administrative Agent or its designee with such</w:t>
      </w:r>
    </w:p>
    <w:p>
      <w:pPr>
        <w:sectPr>
          <w:pgSz w:w="11900" w:h="16838" w:orient="portrait"/>
          <w:cols w:equalWidth="0" w:num="1">
            <w:col w:w="11240"/>
          </w:cols>
          <w:pgMar w:left="320" w:top="1413" w:right="339" w:bottom="1440" w:gutter="0" w:footer="0" w:header="0"/>
        </w:sectPr>
      </w:pPr>
    </w:p>
    <w:bookmarkStart w:id="217" w:name="page218"/>
    <w:bookmarkEnd w:id="217"/>
    <w:p>
      <w:pPr>
        <w:jc w:val="both"/>
        <w:spacing w:after="0" w:line="258" w:lineRule="auto"/>
        <w:rPr>
          <w:sz w:val="20"/>
          <w:szCs w:val="20"/>
          <w:color w:val="auto"/>
        </w:rPr>
      </w:pPr>
      <w:r>
        <w:rPr>
          <w:rFonts w:ascii="Times New Roman" w:cs="Times New Roman" w:eastAsia="Times New Roman" w:hAnsi="Times New Roman"/>
          <w:sz w:val="20"/>
          <w:szCs w:val="20"/>
          <w:color w:val="auto"/>
        </w:rPr>
        <w:t>Grantor’s know-how and expertise, and with documents and things embodying the same, relating to the exploitation of such Intellectual Property, including the manufacture, distribution, advertising and sale of products or the provision of services under such Intellectual Property, and such Grantor’s customer lists and other records and documents relating to such Intellectual Property and to the manufacture, distribution, advertising and sale of such products and services.</w:t>
      </w:r>
    </w:p>
    <w:p>
      <w:pPr>
        <w:spacing w:after="0" w:line="199" w:lineRule="exact"/>
        <w:rPr>
          <w:sz w:val="20"/>
          <w:szCs w:val="20"/>
          <w:color w:val="auto"/>
        </w:rPr>
      </w:pPr>
    </w:p>
    <w:p>
      <w:pPr>
        <w:jc w:val="both"/>
        <w:ind w:firstLine="1304"/>
        <w:spacing w:after="0" w:line="267" w:lineRule="auto"/>
        <w:tabs>
          <w:tab w:leader="none" w:pos="1565"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 of enabling the Administrative Agent to exercise rights and remedies under this Section 7.6 (including in order to take possession of, collect, receive, assemble, process, appropriate, remove, realize upon, sell, assign, license out, convey, transfer or grant options to purchase any Collateral) at such time as the Administrative Agent shall be lawfully entitled to exercise such rights and remedies, each Grantor hereby grants to the Administrative Agent, for the benefit of the Secured Parties, to the extent it has the right to do so</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262"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irrevocable, nonexclusive, and assignable license (exercisable without payment of royalty or other compensation to such Grantor), subject, in the case of Trademarks, to sufficient rights to quality control and inspection in favor of such Grantor to avoid the risk of invalidation of such Trademarks, to use, practice, license, sublicense, and otherwise exploit any and all intellectual property now or hereafter owned or licensed by such Grantor (which license shall include access to all media in which any of the licensed items may be recorded or stored and to all software and programs used for the compilation or printout thereof) and (ii) an irrevocable license (without payment of rent or other compensation to such Grantor) to use, operate and occupy all real property owned, operated, leased, subleased, or otherwise occupied by such Grantor.</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Registration Rights</w:t>
      </w:r>
    </w:p>
    <w:p>
      <w:pPr>
        <w:spacing w:after="0" w:line="229" w:lineRule="exact"/>
        <w:rPr>
          <w:sz w:val="20"/>
          <w:szCs w:val="20"/>
          <w:color w:val="auto"/>
        </w:rPr>
      </w:pPr>
    </w:p>
    <w:p>
      <w:pPr>
        <w:jc w:val="both"/>
        <w:ind w:firstLine="1304"/>
        <w:spacing w:after="0" w:line="264" w:lineRule="auto"/>
        <w:tabs>
          <w:tab w:leader="none" w:pos="1803"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shall determine to exercise its right to sell any or all of the Pledged Stock pursuant to Section 7.6, and if in the opinion of the Administrative Agent it is necessary or advisable to have the Pledged Stock, or that portion thereof to be sold, registered under the provisions of the Securities Act, the relevant Grantor will cause the Issuer thereof to (i) execute and deliver, and cause the directors and officers of such Issuer to execute and 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180" w:lineRule="exact"/>
        <w:rPr>
          <w:rFonts w:ascii="Times New Roman" w:cs="Times New Roman" w:eastAsia="Times New Roman" w:hAnsi="Times New Roman"/>
          <w:sz w:val="19"/>
          <w:szCs w:val="19"/>
          <w:color w:val="auto"/>
        </w:rPr>
      </w:pPr>
    </w:p>
    <w:p>
      <w:pPr>
        <w:jc w:val="both"/>
        <w:ind w:firstLine="1304"/>
        <w:spacing w:after="0" w:line="253" w:lineRule="auto"/>
        <w:tabs>
          <w:tab w:leader="none" w:pos="1758"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w:t>
      </w:r>
    </w:p>
    <w:p>
      <w:pPr>
        <w:sectPr>
          <w:pgSz w:w="11900" w:h="16838" w:orient="portrait"/>
          <w:cols w:equalWidth="0" w:num="1">
            <w:col w:w="11240"/>
          </w:cols>
          <w:pgMar w:left="320" w:top="1413" w:right="339" w:bottom="1440" w:gutter="0" w:footer="0" w:header="0"/>
        </w:sectPr>
      </w:pPr>
    </w:p>
    <w:bookmarkStart w:id="218" w:name="page219"/>
    <w:bookmarkEnd w:id="218"/>
    <w:p>
      <w:pPr>
        <w:jc w:val="both"/>
        <w:spacing w:after="0" w:line="261" w:lineRule="auto"/>
        <w:rPr>
          <w:sz w:val="20"/>
          <w:szCs w:val="20"/>
          <w:color w:val="auto"/>
        </w:rPr>
      </w:pPr>
      <w:r>
        <w:rPr>
          <w:rFonts w:ascii="Times New Roman" w:cs="Times New Roman" w:eastAsia="Times New Roman" w:hAnsi="Times New Roman"/>
          <w:sz w:val="20"/>
          <w:szCs w:val="20"/>
          <w:color w:val="auto"/>
        </w:rPr>
        <w:t>commercially reasonable manner.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181" w:lineRule="exact"/>
        <w:rPr>
          <w:sz w:val="20"/>
          <w:szCs w:val="20"/>
          <w:color w:val="auto"/>
        </w:rPr>
      </w:pPr>
    </w:p>
    <w:p>
      <w:pPr>
        <w:jc w:val="both"/>
        <w:ind w:firstLine="1304"/>
        <w:spacing w:after="0" w:line="251" w:lineRule="auto"/>
        <w:tabs>
          <w:tab w:leader="none" w:pos="1767"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agrees to use its best efforts to do or cause to be done all such other acts as may be necessary to make such sale or sales of all or any portion of the Pledged Stock pursuant to this Section 7.7 valid and binding and in compliance with any and all other applicable Requirements of Law. Each Grantor further agrees that a breach of any of the covenants contained in this Section 7.7 will cause irreparable injury to the Administrative Agent and the Lenders, that the Administrative Agent and the Lenders have no adequate remedy at law in respect of such breach and, as a consequence, that each and every covenant contained in this Section 7.7 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Deficiency.</w:t>
      </w:r>
      <w:r>
        <w:rPr>
          <w:rFonts w:ascii="Times New Roman" w:cs="Times New Roman" w:eastAsia="Times New Roman" w:hAnsi="Times New Roman"/>
          <w:sz w:val="20"/>
          <w:szCs w:val="20"/>
          <w:color w:val="auto"/>
        </w:rPr>
        <w:t xml:space="preserve"> Grantor shall remain liable for any deficiency if the proceeds of any sale or other disposition of the Collateral are insufficient to pay its Obligations and the fees and disbursements of any attorneys employed by the Administrative Agent or any Lender to collect such deficiency.</w:t>
      </w:r>
    </w:p>
    <w:p>
      <w:pPr>
        <w:spacing w:after="0" w:line="18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8.</w:t>
      </w:r>
      <w:r>
        <w:rPr>
          <w:sz w:val="20"/>
          <w:szCs w:val="20"/>
          <w:color w:val="auto"/>
        </w:rPr>
        <w:tab/>
      </w:r>
      <w:r>
        <w:rPr>
          <w:rFonts w:ascii="Times New Roman" w:cs="Times New Roman" w:eastAsia="Times New Roman" w:hAnsi="Times New Roman"/>
          <w:sz w:val="19"/>
          <w:szCs w:val="19"/>
          <w:color w:val="auto"/>
        </w:rPr>
        <w:t>THE ADMINISTRATIVE AGENT</w:t>
      </w:r>
    </w:p>
    <w:p>
      <w:pPr>
        <w:spacing w:after="0" w:line="21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Administrative Agent’s Appointment as Attorney-in-Fact, Etc.</w:t>
      </w:r>
    </w:p>
    <w:p>
      <w:pPr>
        <w:spacing w:after="0" w:line="229" w:lineRule="exact"/>
        <w:rPr>
          <w:sz w:val="20"/>
          <w:szCs w:val="20"/>
          <w:color w:val="auto"/>
        </w:rPr>
      </w:pPr>
    </w:p>
    <w:p>
      <w:pPr>
        <w:jc w:val="both"/>
        <w:ind w:firstLine="1304"/>
        <w:spacing w:after="0" w:line="253" w:lineRule="auto"/>
        <w:tabs>
          <w:tab w:leader="none" w:pos="1779"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w:t>
      </w:r>
    </w:p>
    <w:p>
      <w:pPr>
        <w:spacing w:after="0" w:line="179" w:lineRule="exact"/>
        <w:rPr>
          <w:sz w:val="20"/>
          <w:szCs w:val="20"/>
          <w:color w:val="auto"/>
        </w:rPr>
      </w:pPr>
    </w:p>
    <w:p>
      <w:pPr>
        <w:jc w:val="both"/>
        <w:ind w:left="660" w:firstLine="644"/>
        <w:spacing w:after="0" w:line="257" w:lineRule="auto"/>
        <w:tabs>
          <w:tab w:leader="none" w:pos="1783"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613"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Intellectual Property, execute and deliver, and have recorded, any and all agreements, instruments, documents and papers as the Administrative Agent may request to evidence the Secured Parties’ security interest in such Intellectual Property and the goodwill and general intangibles of such Grantor relating thereto or represented thereby;</w:t>
      </w:r>
    </w:p>
    <w:p>
      <w:pPr>
        <w:spacing w:after="0" w:line="188" w:lineRule="exact"/>
        <w:rPr>
          <w:rFonts w:ascii="Times New Roman" w:cs="Times New Roman" w:eastAsia="Times New Roman" w:hAnsi="Times New Roman"/>
          <w:sz w:val="20"/>
          <w:szCs w:val="20"/>
          <w:color w:val="auto"/>
        </w:rPr>
      </w:pPr>
    </w:p>
    <w:p>
      <w:pPr>
        <w:ind w:left="660" w:firstLine="644"/>
        <w:spacing w:after="0" w:line="283" w:lineRule="auto"/>
        <w:tabs>
          <w:tab w:leader="none" w:pos="1882"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ectPr>
          <w:pgSz w:w="11900" w:h="16838" w:orient="portrait"/>
          <w:cols w:equalWidth="0" w:num="1">
            <w:col w:w="11240"/>
          </w:cols>
          <w:pgMar w:left="320" w:top="1413" w:right="339" w:bottom="1440" w:gutter="0" w:footer="0" w:header="0"/>
        </w:sectPr>
      </w:pPr>
    </w:p>
    <w:bookmarkStart w:id="219" w:name="page220"/>
    <w:bookmarkEnd w:id="219"/>
    <w:p>
      <w:pPr>
        <w:ind w:left="660" w:right="20" w:firstLine="644"/>
        <w:spacing w:after="0" w:line="283" w:lineRule="auto"/>
        <w:tabs>
          <w:tab w:leader="none" w:pos="19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in connection with any sale provided for in Section 7.6 or 7.7, any indorsements, assignments or other instruments of conveyance or transfer with respect to the Collateral;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3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direct any party liable for any payment under any of the Collateral to make payment of any and all moneys due or to become due thereunder directly to the Administrative Agent or as the Administrative Agent shall direct; (2) ask or demand for, collect, and receive payment of and receipt for, any and all moneys, claims and other amounts due or to become due at any time in respect of or arising out of any Collateral; (3) sign and indorse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Administrative Agent may deem appropriate; ; (7)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(8)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Lenders’ security interests therein and to effect the intent of this Agreement, all as fully and effectively as such Grantor might do.</w:t>
      </w:r>
    </w:p>
    <w:p>
      <w:pPr>
        <w:spacing w:after="0" w:line="207"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Anything in this Section 8.1(a) to the contrary notwithstanding, the Administrative Agent agrees that it will not exercise any rights under the power of attorney provided for in this Section 8.1(a) unless an Event of Default shall have occurred and be continuing.</w:t>
      </w:r>
    </w:p>
    <w:p>
      <w:pPr>
        <w:spacing w:after="0" w:line="146" w:lineRule="exact"/>
        <w:rPr>
          <w:sz w:val="20"/>
          <w:szCs w:val="20"/>
          <w:color w:val="auto"/>
        </w:rPr>
      </w:pPr>
    </w:p>
    <w:p>
      <w:pPr>
        <w:ind w:firstLine="1304"/>
        <w:spacing w:after="0" w:line="283" w:lineRule="auto"/>
        <w:tabs>
          <w:tab w:leader="none" w:pos="175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Grantor fails to perform or comply with any of its agreements contained herein, the Administrative Agent, at its option, but without any obligation so to do, may perform or comply, or otherwise cause performance or compliance, with such agreement.</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61"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expenses of the Administrative Agent incurred in connection with actions undertaken as provided in this Section 8.1, together with interest thereon at a rate per annum equal to the highest rate per annum at which interest would then be payable on any category of past due ABR Loans under the Credit Agreement, from the date of payment by the Administrative Agent to the date reimbursed by the relevant Grantor, shall be payable by such Grantor to the Administrative Agent on demand.</w:t>
      </w:r>
    </w:p>
    <w:p>
      <w:pPr>
        <w:spacing w:after="0" w:line="187" w:lineRule="exact"/>
        <w:rPr>
          <w:rFonts w:ascii="Times New Roman" w:cs="Times New Roman" w:eastAsia="Times New Roman" w:hAnsi="Times New Roman"/>
          <w:sz w:val="20"/>
          <w:szCs w:val="20"/>
          <w:color w:val="auto"/>
        </w:rPr>
      </w:pPr>
    </w:p>
    <w:p>
      <w:pPr>
        <w:ind w:firstLine="1304"/>
        <w:spacing w:after="0" w:line="283" w:lineRule="auto"/>
        <w:tabs>
          <w:tab w:leader="none" w:pos="176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powers, authorizations and agencies contained in this Agreement are coupled with an interest and are irrevocable until this Agreement is terminated and the security interests created hereby are released.</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Duty of Administrative Agent.</w:t>
      </w:r>
      <w:r>
        <w:rPr>
          <w:rFonts w:ascii="Times New Roman" w:cs="Times New Roman" w:eastAsia="Times New Roman" w:hAnsi="Times New Roman"/>
          <w:sz w:val="20"/>
          <w:szCs w:val="20"/>
          <w:color w:val="auto"/>
        </w:rPr>
        <w:t xml:space="preserve"> The Administrative Agent’s sole duty with respect to the custody, safekeeping and physical preservation of the Collateral in its possession is to comply with Section 9-207 of the New York UCC. Neither the Administrative Agent, any Lender nor</w:t>
      </w:r>
    </w:p>
    <w:p>
      <w:pPr>
        <w:sectPr>
          <w:pgSz w:w="11900" w:h="16838" w:orient="portrait"/>
          <w:cols w:equalWidth="0" w:num="1">
            <w:col w:w="11240"/>
          </w:cols>
          <w:pgMar w:left="320" w:top="1413" w:right="339" w:bottom="1440" w:gutter="0" w:footer="0" w:header="0"/>
        </w:sectPr>
      </w:pPr>
    </w:p>
    <w:bookmarkStart w:id="220" w:name="page221"/>
    <w:bookmarkEnd w:id="220"/>
    <w:p>
      <w:pPr>
        <w:jc w:val="both"/>
        <w:spacing w:after="0" w:line="251" w:lineRule="auto"/>
        <w:rPr>
          <w:sz w:val="20"/>
          <w:szCs w:val="20"/>
          <w:color w:val="auto"/>
        </w:rPr>
      </w:pPr>
      <w:r>
        <w:rPr>
          <w:rFonts w:ascii="Times New Roman" w:cs="Times New Roman" w:eastAsia="Times New Roman" w:hAnsi="Times New Roman"/>
          <w:sz w:val="20"/>
          <w:szCs w:val="20"/>
          <w:color w:val="auto"/>
        </w:rPr>
        <w:t>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Lenders hereunder are solely to protect the Administrative Agent’s and the Lenders’ interests in the Collateral and shall not impose any duty upon the Administrative Agent or any Lender to exercise any such powers. The Administrative Agent and the Lenders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19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Execution of Financing Statements.</w:t>
      </w:r>
      <w:r>
        <w:rPr>
          <w:rFonts w:ascii="Times New Roman" w:cs="Times New Roman" w:eastAsia="Times New Roman" w:hAnsi="Times New Roman"/>
          <w:sz w:val="20"/>
          <w:szCs w:val="20"/>
          <w:color w:val="auto"/>
        </w:rPr>
        <w:t xml:space="preserve"> Pursuant to any applicable law, each Grantor authorizes the Administrative Agent to file or record financing statements and other filing or recording documents or instruments with respect to the Collateral without the signature of such Grantor in such form and in such offices as the Administrative Agent determines appropriate to perfect the security interests of the Administrative Agent under this Agreement. Each Grantor hereby ratifies and authorizes the filing by the Administrative Agent of any financing statement solely with respect to the Collateral made prior to the Effective Date. A photographic or other reproduction of this Agreement shall be sufficient as a financing statement or other filing or recording document or instrument for filing or recording in any jurisdiction.</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Grantor agrees that from time to time, at the expense of such Grantor, it shall promptly execute and deliver all further instruments and documents and take all further action that may be necessary or desirable, or that the Administrative Agent may reasonably request, in order to create and/or maintain the validity, perfection or priority of and protect any security interest granted or purported to be granted hereby or to enable the Administrative Agent to exercise and enforce its rights and remedies hereunder in respect of any Collateral. Without limiting the generality of the foregoing, each Grantor shall:</w:t>
      </w:r>
    </w:p>
    <w:p>
      <w:pPr>
        <w:spacing w:after="0" w:line="219" w:lineRule="exact"/>
        <w:rPr>
          <w:sz w:val="20"/>
          <w:szCs w:val="20"/>
          <w:color w:val="auto"/>
        </w:rPr>
      </w:pPr>
    </w:p>
    <w:p>
      <w:pPr>
        <w:jc w:val="both"/>
        <w:ind w:firstLine="1304"/>
        <w:spacing w:after="0" w:line="258" w:lineRule="auto"/>
        <w:tabs>
          <w:tab w:leader="none" w:pos="157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such financing or continuation statements, or amendments thereto, record security interests in Intellectual Property and execute and deliver such other agreements, instruments, endorsements, powers of attorney or notices, as may be necessary or desirable, or as the Administrative Agent may reasonably request, in order to effect, reflect, perfect and preserve the security interests granted or purported to be granted hereby; and</w:t>
      </w:r>
    </w:p>
    <w:p>
      <w:pPr>
        <w:spacing w:after="0" w:line="19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603"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actions necessary to ensure the recordation of appropriate evidence of the liens and security interest granted hereunder in any Intellectual Property with any intellectual property registry in which said Intellectual Property is registered or issued or in which an application for registration or issuance is pending, including, without limitation, the United States Patent and Trademark Office and the United States Copyright Office.</w:t>
      </w:r>
    </w:p>
    <w:p>
      <w:pPr>
        <w:spacing w:after="0" w:line="21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Authority of Administrative Agent.</w:t>
      </w:r>
      <w:r>
        <w:rPr>
          <w:rFonts w:ascii="Times New Roman" w:cs="Times New Roman" w:eastAsia="Times New Roman" w:hAnsi="Times New Roman"/>
          <w:sz w:val="20"/>
          <w:szCs w:val="20"/>
          <w:color w:val="auto"/>
        </w:rPr>
        <w:t xml:space="preserve">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Grantors, the Administrative Agent shall be conclusively presumed to be acting as agent for the Lenders with full and valid authority so to act or</w:t>
      </w:r>
    </w:p>
    <w:p>
      <w:pPr>
        <w:sectPr>
          <w:pgSz w:w="11900" w:h="16838" w:orient="portrait"/>
          <w:cols w:equalWidth="0" w:num="1">
            <w:col w:w="11240"/>
          </w:cols>
          <w:pgMar w:left="320" w:top="1413"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0"/>
          <w:szCs w:val="20"/>
          <w:color w:val="auto"/>
        </w:rPr>
        <w:t>refrain from acting, and no Grantor shall be under any obligation, or entitlement, to make any inquiry respecting such authority.</w:t>
      </w:r>
    </w:p>
    <w:p>
      <w:pPr>
        <w:spacing w:after="0" w:line="229"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9.</w:t>
      </w:r>
      <w:r>
        <w:rPr>
          <w:sz w:val="20"/>
          <w:szCs w:val="20"/>
          <w:color w:val="auto"/>
        </w:rPr>
        <w:tab/>
      </w:r>
      <w:r>
        <w:rPr>
          <w:rFonts w:ascii="Times New Roman" w:cs="Times New Roman" w:eastAsia="Times New Roman" w:hAnsi="Times New Roman"/>
          <w:sz w:val="19"/>
          <w:szCs w:val="19"/>
          <w:color w:val="auto"/>
        </w:rPr>
        <w:t>MISCELLANEOUS</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Amendments in Writing</w:t>
      </w:r>
      <w:r>
        <w:rPr>
          <w:rFonts w:ascii="Times New Roman" w:cs="Times New Roman" w:eastAsia="Times New Roman" w:hAnsi="Times New Roman"/>
          <w:sz w:val="20"/>
          <w:szCs w:val="20"/>
          <w:color w:val="auto"/>
        </w:rPr>
        <w:t>. None of the terms or provisions of this Agreement may be waived, amended, supplemented or otherwise modified except in accordance with Section 9.02 of the Credit Agreement.</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and demands to or upon the Administrative Agent or any Grantor hereunder shall be effected in the manner provided for in Section 9.01 of the Credit Agreement; provided that any such notice, request or demand to or upon any Guarantor shall be addressed to such Guarantor at its notice address set forth on Schedule 1.</w:t>
      </w:r>
    </w:p>
    <w:p>
      <w:pPr>
        <w:spacing w:after="0" w:line="16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No Waiver by Course of Conduct; Cumulative Remedies</w:t>
      </w:r>
      <w:r>
        <w:rPr>
          <w:rFonts w:ascii="Times New Roman" w:cs="Times New Roman" w:eastAsia="Times New Roman" w:hAnsi="Times New Roman"/>
          <w:sz w:val="20"/>
          <w:szCs w:val="20"/>
          <w:color w:val="auto"/>
        </w:rPr>
        <w:t>. Neither the Administrative Agent nor any Lender shall by any act (except by a written instrument pursuant to Section 9.1),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18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Expenses; Indemnity</w:t>
      </w:r>
    </w:p>
    <w:p>
      <w:pPr>
        <w:spacing w:after="0" w:line="216" w:lineRule="exact"/>
        <w:rPr>
          <w:sz w:val="20"/>
          <w:szCs w:val="20"/>
          <w:color w:val="auto"/>
        </w:rPr>
      </w:pPr>
    </w:p>
    <w:p>
      <w:pPr>
        <w:jc w:val="both"/>
        <w:ind w:firstLine="1304"/>
        <w:spacing w:after="0" w:line="253" w:lineRule="auto"/>
        <w:tabs>
          <w:tab w:leader="none" w:pos="1851"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agrees to pay or reimburse each Lender and the Administrative Agent and its Affiliates for all its reasonable and documented out-of-pocket expenses incurred in collecting against such Grantor under the guarantees contained in Section 2 or 3, as applicable, or otherwise enforcing or preserving any rights under this Agreement and the other Loan Documents to which such Grantor is a party, including, without limitation, the reasonable and documented fees, charges and disbursements of one primary counsel (and specialist counsel as may reasonably be required by the Administrative Agent and one additional local counsel in each applicable jurisdiction) for the Administrative Agent (whether or not the transactions contemplated hereby shall be consummated).</w:t>
      </w:r>
    </w:p>
    <w:p>
      <w:pPr>
        <w:spacing w:after="0" w:line="19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72"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agrees to pay, and to save the Administrative Agent and the Lenders harmless from, any and all losses, claims, damages, liabilities and related expenses, including the fees, charges and disbursements of any counsel, incurred by or asserted against any such Grantor arising out of, in connection with, or as a result the execution, delivery, enforcement, performance and administration of this Agreement to the extent the Company would be required to do so pursuant to Section 9.03 of the Credit Agreement.</w:t>
      </w:r>
    </w:p>
    <w:p>
      <w:pPr>
        <w:spacing w:after="0" w:line="18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3"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agreements in this Section 9.4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ectPr>
          <w:pgSz w:w="11900" w:h="16838" w:orient="portrait"/>
          <w:cols w:equalWidth="0" w:num="1">
            <w:col w:w="11240"/>
          </w:cols>
          <w:pgMar w:left="320" w:top="1413" w:right="339" w:bottom="1440" w:gutter="0" w:footer="0" w:header="0"/>
        </w:sectPr>
      </w:pPr>
    </w:p>
    <w:bookmarkStart w:id="222" w:name="page223"/>
    <w:bookmarkEnd w:id="222"/>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provisions of this Agreement shall be binding upon and inure to the benefit of the parties hereto and their respective successors and assigns permitted hereby or by the express terms of the Credit Agreement; provided that no Grantor may assign, transfer or delegate any of its rights or obligations under this Agreement without the prior written consent of the Administrative Agent.</w:t>
      </w:r>
    </w:p>
    <w:p>
      <w:pPr>
        <w:spacing w:after="0" w:line="17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If an Event of Default shall have occurred and be continuing, the Administrative Agent and each Lender and their Affiliates, is hereby authorized at any time and from time to time, to the fullest extent permitted by law, to set-off and apply any and all deposits (general or special, time or demand, provisional or final and in whatever currency denominated), at any time held and the other obligations at any time owing by the Administrative Agent or such Lender or their respective Affiliates to or for the credit or the account of such Grantor, or any part thereof in such amounts as the Administrative Agent or such Lender may elect, against and on account of the obligations and liabilities of such Grantor to the Administrative Agent or such Lender hereunder and claims of every nature and description of the Administrative Agent or such Lender against such Grantor, in any currency, whether arising hereunder, under the Credit Agreement, any other Loan Document or otherwise, as the Administrative Agent or such Lender may elect. The Administrative Agent and each Lender shall notify such Grantor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9.6 are in addition to other rights and remedies (including, without limitation, other rights of set-off) which the Administrative Agent or such Lender may have; provided, that to the extent prohibited by applicable law as described in the definition of “Excluded Swap Obligation”, no amounts received from , or set off with respect to, any Guarantor shall be applied to any Excluded Swap Obligations of such Guarantor.</w:t>
      </w:r>
    </w:p>
    <w:p>
      <w:pPr>
        <w:spacing w:after="0" w:line="19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 contract or record</w:t>
      </w:r>
    </w:p>
    <w:p>
      <w:pPr>
        <w:spacing w:after="0" w:line="20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Section Headings</w:t>
      </w:r>
      <w:r>
        <w:rPr>
          <w:rFonts w:ascii="Times New Roman" w:cs="Times New Roman" w:eastAsia="Times New Roman" w:hAnsi="Times New Roman"/>
          <w:sz w:val="20"/>
          <w:szCs w:val="20"/>
          <w:color w:val="auto"/>
        </w:rPr>
        <w:t>. The Section headings used herein are for convenience of reference only, are not part of this Agreement and shall not affect the construction of, or be taken into consideration in interpreting, this Agreement.</w:t>
      </w:r>
    </w:p>
    <w:p>
      <w:pPr>
        <w:sectPr>
          <w:pgSz w:w="11900" w:h="16838" w:orient="portrait"/>
          <w:cols w:equalWidth="0" w:num="1">
            <w:col w:w="11240"/>
          </w:cols>
          <w:pgMar w:left="320" w:top="1413" w:right="339" w:bottom="1440" w:gutter="0" w:footer="0" w:header="0"/>
        </w:sectPr>
      </w:pPr>
    </w:p>
    <w:bookmarkStart w:id="223" w:name="page224"/>
    <w:bookmarkEnd w:id="223"/>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and the other Loan Documents constitute the entire contract among the parties relating to the subject matter hereof and thereof, and supersede any and all previous agreements and understandings, oral or written, relating to the matter hereof. There are no promises, undertakings, representations or warranties by the Administrative Agent or any Lender relative to subject matter hereof and thereof not expressly set forth or referred to herein or in the other Loan Documents.</w:t>
      </w:r>
    </w:p>
    <w:p>
      <w:pPr>
        <w:spacing w:after="0" w:line="16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CONSTRUED IN ACCORDANCE WITH AND GOVERNED BY THE LAW OF THE STATE OF NEW YORK.</w:t>
      </w:r>
    </w:p>
    <w:p>
      <w:pPr>
        <w:spacing w:after="0" w:line="15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 Each Grantor hereby irrevocably and unconditionally:</w:t>
      </w:r>
    </w:p>
    <w:p>
      <w:pPr>
        <w:spacing w:after="0" w:line="216" w:lineRule="exact"/>
        <w:rPr>
          <w:sz w:val="20"/>
          <w:szCs w:val="20"/>
          <w:color w:val="auto"/>
        </w:rPr>
      </w:pPr>
    </w:p>
    <w:p>
      <w:pPr>
        <w:jc w:val="both"/>
        <w:ind w:firstLine="1304"/>
        <w:spacing w:after="0" w:line="253" w:lineRule="auto"/>
        <w:tabs>
          <w:tab w:leader="none" w:pos="1797"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w:t>
      </w:r>
    </w:p>
    <w:p>
      <w:pPr>
        <w:spacing w:after="0" w:line="17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66"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(a) of this Section. Each Grantor hereto hereby irrevocably waives, to the fullest extent permitted by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729"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service of process in any such action or proceeding may be effected by mailing a copy thereof by registered or certified mail (or any substantially similar form of mail), postage prepaid, return receipt requested, to such Grantor at its address referred to in Section 9.2 or at such other address of which the Administrative Agent shall have been notified pursuant thereto;</w:t>
      </w:r>
    </w:p>
    <w:p>
      <w:pPr>
        <w:spacing w:after="0" w:line="167" w:lineRule="exact"/>
        <w:rPr>
          <w:rFonts w:ascii="Times New Roman" w:cs="Times New Roman" w:eastAsia="Times New Roman" w:hAnsi="Times New Roman"/>
          <w:sz w:val="20"/>
          <w:szCs w:val="20"/>
          <w:color w:val="auto"/>
        </w:rPr>
      </w:pPr>
    </w:p>
    <w:p>
      <w:pPr>
        <w:ind w:right="20" w:firstLine="1304"/>
        <w:spacing w:after="0" w:line="283" w:lineRule="auto"/>
        <w:tabs>
          <w:tab w:leader="none" w:pos="1792"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law or shall limit the right to sue in any other jurisdiction; and</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753"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indirect, consequential or punitive damages.</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Acknowledgments</w:t>
      </w:r>
      <w:r>
        <w:rPr>
          <w:rFonts w:ascii="Times New Roman" w:cs="Times New Roman" w:eastAsia="Times New Roman" w:hAnsi="Times New Roman"/>
          <w:sz w:val="19"/>
          <w:szCs w:val="19"/>
          <w:color w:val="auto"/>
        </w:rPr>
        <w:t>. Each Grantor hereby acknowledges that:</w:t>
      </w:r>
    </w:p>
    <w:p>
      <w:pPr>
        <w:spacing w:after="0" w:line="216" w:lineRule="exact"/>
        <w:rPr>
          <w:sz w:val="20"/>
          <w:szCs w:val="20"/>
          <w:color w:val="auto"/>
        </w:rPr>
      </w:pPr>
    </w:p>
    <w:p>
      <w:pPr>
        <w:ind w:firstLine="1304"/>
        <w:spacing w:after="0" w:line="283" w:lineRule="auto"/>
        <w:tabs>
          <w:tab w:leader="none" w:pos="1851"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 Documents to which it is a party;</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7"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Lender has any fiduciary relationship with or duty to any Grantor arising out of or in connection with this Agreement or any of the other Loan Documents, and the relationship between the Grantors, on the one hand, and the Administrative Agent</w:t>
      </w:r>
    </w:p>
    <w:p>
      <w:pPr>
        <w:sectPr>
          <w:pgSz w:w="11900" w:h="16838" w:orient="portrait"/>
          <w:cols w:equalWidth="0" w:num="1">
            <w:col w:w="11240"/>
          </w:cols>
          <w:pgMar w:left="320" w:top="1413"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0"/>
          <w:szCs w:val="20"/>
          <w:color w:val="auto"/>
        </w:rPr>
        <w:t>and Lenders, on the other hand, in connection herewith or therewith is solely that of debtor and creditor; and</w:t>
      </w:r>
    </w:p>
    <w:p>
      <w:pPr>
        <w:spacing w:after="0" w:line="229" w:lineRule="exact"/>
        <w:rPr>
          <w:sz w:val="20"/>
          <w:szCs w:val="20"/>
          <w:color w:val="auto"/>
        </w:rPr>
      </w:pPr>
    </w:p>
    <w:p>
      <w:pPr>
        <w:ind w:right="20" w:firstLine="1304"/>
        <w:spacing w:after="0" w:line="269" w:lineRule="auto"/>
        <w:tabs>
          <w:tab w:leader="none" w:pos="179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Grantors and the Lenders.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9.14. </w:t>
      </w:r>
      <w:r>
        <w:rPr>
          <w:rFonts w:ascii="Times New Roman" w:cs="Times New Roman" w:eastAsia="Times New Roman" w:hAnsi="Times New Roman"/>
          <w:sz w:val="20"/>
          <w:szCs w:val="20"/>
          <w:u w:val="single" w:color="auto"/>
          <w:color w:val="auto"/>
        </w:rPr>
        <w:t>Additional Guarantors and Grantors</w:t>
      </w:r>
      <w:r>
        <w:rPr>
          <w:rFonts w:ascii="Times New Roman" w:cs="Times New Roman" w:eastAsia="Times New Roman" w:hAnsi="Times New Roman"/>
          <w:sz w:val="20"/>
          <w:szCs w:val="20"/>
          <w:color w:val="auto"/>
        </w:rPr>
        <w:t>. Each Domestic Subsidiary that is required to become a party to this Agreement pursuant to Section 5.11(b) of the Credit Agreement shall become a Guarantor and Grantor for all purposes of this Agreement upon execution and delivery by such Domestic Subsidiary of an Assumption Agreement in the form of Annex 1 hereto.</w:t>
      </w:r>
    </w:p>
    <w:p>
      <w:pPr>
        <w:spacing w:after="0" w:line="18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19"/>
          <w:szCs w:val="19"/>
          <w:u w:val="single" w:color="auto"/>
          <w:color w:val="auto"/>
        </w:rPr>
        <w:t>Releases; Reinstatement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1" w:lineRule="auto"/>
        <w:tabs>
          <w:tab w:leader="none" w:pos="1769"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Loans, the Reimbursement Obligations and the other Obligations shall have been paid in full (other than unasserted contingent obligations not yet due and payable), the Commitments have been terminated and no Letters of Credit shall be outstanding, the Collateral shall be released from the Liens created hereby, and this Agreement and all obligations (other than those expressly stated to survive such termination) of the Administrative Agent and each Grantor hereunder shall terminate, all without delivery of any instrument or performance of any act by any party, and all rights to the Collateral shall revert to the Grantors. At the request and sole expense of any Grantor following any such termination, the Administrative Agent shall deliver to such Grantor any Collateral held by the Administrative Agent hereunder, and execute and deliver to such Grantor such documents as such Grantor shall reasonably request to evidence such termination.</w:t>
      </w:r>
    </w:p>
    <w:p>
      <w:pPr>
        <w:spacing w:after="0" w:line="19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49"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Collateral shall be sold, transferred or otherwise disposed of by any Grantor in a transaction permitted by the Credit Agreement, then such Collateral shall be sold free and clear of any liens created by this Agreement and the Administrative Agent, at the request and sole expense of such Grantor, shall execute and deliver to such Grantor all releases or other documents reasonably necessary or desirable for the release of the Liens created hereby on such Collateral. At the request and sole expense of the Company, a Subsidiary Guarantor shall be released from its obligations hereunder in the event that all the Capital Stock of such Subsidiary Guarantor shall be sold, transferred or otherwise disposed of in a transaction permitted by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have delivered to the Administrative Agent, at least ten Business Days prior to the date of the proposed release, a written request for release identifying the relevant Subsidiary Guarantor and the terms of the sale or other disposition in reasonable detail, including the price thereof and any expenses in connection therewith, together with a certification by the Company stating that such transaction is in compliance with the Credit Agreement and the other Loan Documents.</w:t>
      </w:r>
    </w:p>
    <w:p>
      <w:pPr>
        <w:spacing w:after="0" w:line="196"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5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Specified Conditions shall be in effect, the Company shall have the right by written notice to the Administrative Agent to require all Collateral be released from any security interest created hereby. On any such date (a “</w:t>
      </w:r>
      <w:r>
        <w:rPr>
          <w:rFonts w:ascii="Times New Roman" w:cs="Times New Roman" w:eastAsia="Times New Roman" w:hAnsi="Times New Roman"/>
          <w:sz w:val="20"/>
          <w:szCs w:val="20"/>
          <w:u w:val="single" w:color="auto"/>
          <w:color w:val="auto"/>
        </w:rPr>
        <w:t>Ratings Release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all rights to the Collateral shall transfer and revert to the Company and the Guarantors (the period from and after any such date (and prior to a reinstatement required pursuant to Section 9.15(d)), an “</w:t>
      </w:r>
      <w:r>
        <w:rPr>
          <w:rFonts w:ascii="Times New Roman" w:cs="Times New Roman" w:eastAsia="Times New Roman" w:hAnsi="Times New Roman"/>
          <w:sz w:val="20"/>
          <w:szCs w:val="20"/>
          <w:u w:val="single" w:color="auto"/>
          <w:color w:val="auto"/>
        </w:rPr>
        <w:t>Unsecured Period</w:t>
      </w:r>
      <w:r>
        <w:rPr>
          <w:rFonts w:ascii="Times New Roman" w:cs="Times New Roman" w:eastAsia="Times New Roman" w:hAnsi="Times New Roman"/>
          <w:sz w:val="20"/>
          <w:szCs w:val="20"/>
          <w:color w:val="auto"/>
        </w:rPr>
        <w:t>”). On any such Ratings Release Date, the Grantors shall be authorized and the Administrative Agent hereby authorizes each Grantor, to prepare and record UCC termination statements with respect to any financing statements recorded by the Administrative Agent hereunder. At the request and sole expense of the Company following a Ratings Release Date, the Administrative Agent shall deliver to the Company any Collateral (including certificates representing the Pledged Stock) held by the Administrative Agent hereunder, and</w:t>
      </w:r>
    </w:p>
    <w:p>
      <w:pPr>
        <w:sectPr>
          <w:pgSz w:w="11900" w:h="16838" w:orient="portrait"/>
          <w:cols w:equalWidth="0" w:num="1">
            <w:col w:w="11240"/>
          </w:cols>
          <w:pgMar w:left="320" w:top="1413"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0"/>
          <w:szCs w:val="20"/>
          <w:color w:val="auto"/>
        </w:rPr>
        <w:t>execute and deliver to the Company such documents as the Company shall reasonably request to evidence such termination.</w:t>
      </w:r>
    </w:p>
    <w:p>
      <w:pPr>
        <w:spacing w:after="0" w:line="229" w:lineRule="exact"/>
        <w:rPr>
          <w:sz w:val="20"/>
          <w:szCs w:val="20"/>
          <w:color w:val="auto"/>
        </w:rPr>
      </w:pPr>
    </w:p>
    <w:p>
      <w:pPr>
        <w:jc w:val="both"/>
        <w:ind w:firstLine="1304"/>
        <w:spacing w:after="0" w:line="253" w:lineRule="auto"/>
        <w:tabs>
          <w:tab w:leader="none" w:pos="173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clause (c) of this Section 9.15, in the event that the Specified Conditions shall no longer be in effect at any time during an Unsecured Period, the Collateral shall be reinstated in full within sixty days of such event, along with any necessary UCC filings, modifications to the Schedules hereto and such other actions requested by the Administrative Agent as are reasonably necessary to grant a first priority perfected security interest (subject to Liens otherwise permitted by this Agreement and the Credit Agreement) in such Collateral.</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9.16. </w:t>
      </w:r>
      <w:r>
        <w:rPr>
          <w:rFonts w:ascii="Times New Roman" w:cs="Times New Roman" w:eastAsia="Times New Roman" w:hAnsi="Times New Roman"/>
          <w:sz w:val="20"/>
          <w:szCs w:val="20"/>
          <w:u w:val="single" w:color="auto"/>
          <w:color w:val="auto"/>
        </w:rPr>
        <w:t>Conflict of Laws</w:t>
      </w:r>
      <w:r>
        <w:rPr>
          <w:rFonts w:ascii="Times New Roman" w:cs="Times New Roman" w:eastAsia="Times New Roman" w:hAnsi="Times New Roman"/>
          <w:sz w:val="20"/>
          <w:szCs w:val="20"/>
          <w:color w:val="auto"/>
        </w:rPr>
        <w:t>. Notwithstanding anything to the contrary herein, in the event that any provision of any pledge, charge or foreign equivalent executed by any Foreign Subsidiary and governed by the laws of the applicable foreign jurisdiction is inconsistent with any corresponding provision in this Agreement, the provision in such pledge, charge or foreign equivalent shall govern.</w:t>
      </w:r>
    </w:p>
    <w:p>
      <w:pPr>
        <w:spacing w:after="0" w:line="16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9.17. </w:t>
      </w: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color w:val="auto"/>
        </w:rPr>
        <w:t>. EACH GRANTOR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w:t>
      </w:r>
    </w:p>
    <w:p>
      <w:pPr>
        <w:spacing w:after="0" w:line="172"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9"/>
          <w:szCs w:val="19"/>
          <w:color w:val="auto"/>
        </w:rPr>
        <w:t xml:space="preserve">9.18 </w:t>
      </w: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Each Grantor party to the Existing Guarantee and Collateral Agreement affirms its duties and obligations under the terms and conditions of the Existing Guarantee and Collateral Agreement, and agrees that its obligations outstanding under the Existing Guarantee and Collateral Agreement, as amended and restated as of the date hereof by this Agreement, remain in full force and effect and are hereby ratified, reaffirmed and confirmed. Each Grantor acknowledges and agrees with the Administrative Agent that the Existing Guarantee and Collateral Agreement is amended, restated, and superseded in its entirety pursuant to the terms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ectPr>
          <w:pgSz w:w="11900" w:h="16838" w:orient="portrait"/>
          <w:cols w:equalWidth="0" w:num="1">
            <w:col w:w="11240"/>
          </w:cols>
          <w:pgMar w:left="320" w:top="1413" w:right="339" w:bottom="1440" w:gutter="0" w:footer="0" w:header="0"/>
        </w:sectPr>
      </w:pPr>
    </w:p>
    <w:bookmarkStart w:id="226" w:name="page227"/>
    <w:bookmarkEnd w:id="226"/>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JPMORGAN CHASE BANK, N.A., as Administrative Agent</w:t>
      </w:r>
    </w:p>
    <w:p>
      <w:pPr>
        <w:spacing w:after="0" w:line="3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GRANTORS]</w:t>
      </w:r>
    </w:p>
    <w:p>
      <w:pPr>
        <w:sectPr>
          <w:pgSz w:w="11900" w:h="16838" w:orient="portrait"/>
          <w:cols w:equalWidth="0" w:num="1">
            <w:col w:w="10380"/>
          </w:cols>
          <w:pgMar w:left="340" w:top="1440" w:right="117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0"/>
          <w:szCs w:val="20"/>
          <w:color w:val="auto"/>
        </w:rPr>
        <w:t>Annex 1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Seventh Amended and Restated Guarantee and Collateral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ASSUMPTION AGREEMENT, dated as of ________________, 20__, made by ______________________________,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 corporation (the “</w:t>
      </w:r>
      <w:r>
        <w:rPr>
          <w:rFonts w:ascii="Times New Roman" w:cs="Times New Roman" w:eastAsia="Times New Roman" w:hAnsi="Times New Roman"/>
          <w:sz w:val="19"/>
          <w:szCs w:val="19"/>
          <w:u w:val="single" w:color="auto"/>
          <w:color w:val="auto"/>
        </w:rPr>
        <w:t>Additional Grantor</w:t>
      </w:r>
      <w:r>
        <w:rPr>
          <w:rFonts w:ascii="Times New Roman" w:cs="Times New Roman" w:eastAsia="Times New Roman" w:hAnsi="Times New Roman"/>
          <w:sz w:val="19"/>
          <w:szCs w:val="19"/>
          <w:color w:val="auto"/>
        </w:rPr>
        <w:t>”), in favor of JPMorgan Chase Bank, N.A., as administrative agent (in such capacity,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banks and other financial institutions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parties to the Credit Agreement referred to below.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capitalized terms not defined herein shall have the meaning ascribed to them in such Credit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The Scotts Miracle-Gro Company, an Ohio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the Lenders, the Administrative Agent, the Documentation Agent and the Syndication Agent have entered into a Seventh Amended and Restated Credit Agreement, dated as of November 21, 2025 (as amended, supplemented or otherwise modified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WHEREAS, in connection with the Credit Agreement, the Company and certain of its Affiliates (other than the Additional Grantor) have entered into the Seventh Amended and Restated Guarantee and Collateral Agreement, dated as of November 21, 2025 (as amended, supplemented or otherwise modified from time to time, the “</w:t>
      </w:r>
      <w:r>
        <w:rPr>
          <w:rFonts w:ascii="Times New Roman" w:cs="Times New Roman" w:eastAsia="Times New Roman" w:hAnsi="Times New Roman"/>
          <w:sz w:val="20"/>
          <w:szCs w:val="20"/>
          <w:u w:val="single" w:color="auto"/>
          <w:color w:val="auto"/>
        </w:rPr>
        <w:t>Guarantee and Collateral Agreement</w:t>
      </w:r>
      <w:r>
        <w:rPr>
          <w:rFonts w:ascii="Times New Roman" w:cs="Times New Roman" w:eastAsia="Times New Roman" w:hAnsi="Times New Roman"/>
          <w:sz w:val="20"/>
          <w:szCs w:val="20"/>
          <w:color w:val="auto"/>
        </w:rPr>
        <w:t>”) in favor of the Administrative Agent for the ratable benefit of the Secured Parties;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the Credit Agreement requires the Additional Grantor to become a party to the Guarantee and Collateral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and</w:t>
      </w:r>
    </w:p>
    <w:p>
      <w:pPr>
        <w:spacing w:after="0" w:line="20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WHEREAS, the Additional Grantor has agreed to execute and deliver this Assumption Agreement in order to become a party to the Guarantee and Collateral Agreement;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IT IS AGREED:</w:t>
      </w:r>
    </w:p>
    <w:p>
      <w:pPr>
        <w:spacing w:after="0" w:line="229" w:lineRule="exact"/>
        <w:rPr>
          <w:sz w:val="20"/>
          <w:szCs w:val="20"/>
          <w:color w:val="auto"/>
        </w:rPr>
      </w:pPr>
    </w:p>
    <w:p>
      <w:pPr>
        <w:jc w:val="both"/>
        <w:ind w:firstLine="1304"/>
        <w:spacing w:after="0" w:line="251" w:lineRule="auto"/>
        <w:tabs>
          <w:tab w:leader="none" w:pos="1669"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Guarantee and Collateral Agreement</w:t>
      </w:r>
      <w:r>
        <w:rPr>
          <w:rFonts w:ascii="Times New Roman" w:cs="Times New Roman" w:eastAsia="Times New Roman" w:hAnsi="Times New Roman"/>
          <w:sz w:val="20"/>
          <w:szCs w:val="20"/>
          <w:color w:val="auto"/>
        </w:rPr>
        <w:t>. By executing and delivering this Assumption Agreement, the Additional Grantor, as provided in Section 9.14 of the Guarantee and Collateral Agreement, hereby becomes a party to the Guarantee and Collateral Agreement as a Guarantor and as a Grantor thereunder with the same force and effect as if originally named therein as a as a Guarantor and Grantor and, without limiting the generality of the foregoing, hereby expressly assumes all obligations and liabilities of a Guarantor and a Grantor thereunder. The information set forth in Annex 1-A hereto is hereby added to the information set forth in the Schedules to the Guarantee and Collateral Agreement. The Additional Grantor hereby represents and warrants that each of the representations and warranties contained in Section 5 of the Guarantee and Collateral Agreement is true and correct on and as the date hereof (after giving effect to this Assumption Agreement) as if made on and as of such date.</w:t>
      </w:r>
    </w:p>
    <w:p>
      <w:pPr>
        <w:spacing w:after="0" w:line="191" w:lineRule="exact"/>
        <w:rPr>
          <w:rFonts w:ascii="Times New Roman" w:cs="Times New Roman" w:eastAsia="Times New Roman" w:hAnsi="Times New Roman"/>
          <w:sz w:val="20"/>
          <w:szCs w:val="20"/>
          <w:color w:val="auto"/>
        </w:rPr>
      </w:pPr>
    </w:p>
    <w:p>
      <w:pPr>
        <w:ind w:right="20" w:firstLine="1304"/>
        <w:spacing w:after="0" w:line="273" w:lineRule="auto"/>
        <w:tabs>
          <w:tab w:leader="none" w:pos="1723"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THIS ASSUMPTION AGREEMENT SHALL BE CONSTRUED IN ACCORDANCE WITH AND GOVERNED BY THE LAW OF THE STATE OF NEW YORK.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ectPr>
          <w:pgSz w:w="11900" w:h="16838" w:orient="portrait"/>
          <w:cols w:equalWidth="0" w:num="1">
            <w:col w:w="11240"/>
          </w:cols>
          <w:pgMar w:left="320" w:top="1413" w:right="339" w:bottom="1440" w:gutter="0" w:footer="0" w:header="0"/>
        </w:sectPr>
      </w:pPr>
    </w:p>
    <w:bookmarkStart w:id="228" w:name="page229"/>
    <w:bookmarkEnd w:id="228"/>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undersigned has caused this Assumption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[ADDITIONAL GRANTOR]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20"/>
          </w:cols>
          <w:pgMar w:left="320" w:top="1413" w:right="35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20"/>
          <w:szCs w:val="20"/>
          <w:color w:val="auto"/>
        </w:rPr>
        <w:t>Annex 1-A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Assumption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9</w:t>
      </w:r>
    </w:p>
    <w:p>
      <w:pPr>
        <w:sectPr>
          <w:pgSz w:w="11900" w:h="16838" w:orient="portrait"/>
          <w:cols w:equalWidth="0" w:num="1">
            <w:col w:w="10120"/>
          </w:cols>
          <w:pgMar w:left="1440" w:top="1413"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0"/>
          <w:szCs w:val="20"/>
          <w:color w:val="auto"/>
        </w:rPr>
        <w:t>Annex 2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Seventh Amended and Restated Guarantee and Collateral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COPYRIGHT SECURITY AGREEMENT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COPYRIGHT SECURITY AGREEMENT, dated as of [__], 202[_] (this “Agreement”), is made by each of the signatories hereto indicated as a “Grantor” (each, a “Grantor” and collectively, the “Grantors”) in favor of JPMORGAN CHASE BANK, N.A., as administrative agent for the Secured Parties (in such capacity and together with its successors and assigns in such capacity, the “Administrative Agent”).</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pursuant to that certain Seventh Amended and Restated Credit Agreement, dated as of November 21, 2025 (as amended, restated, amended and restated, supplemented or otherwise modified from time to time, the “Credit Agreement”),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“Guarantee and Collateral Agreement”), between each of the Grantors and the Administrative Agent, pursuant to which each of the Grantors assigned, transferred and granted to the Administrative Agent, for the benefit of the Secured Parties, a security interest in the Copyright Collateral (as defined below); and</w:t>
      </w:r>
    </w:p>
    <w:p>
      <w:pPr>
        <w:spacing w:after="0" w:line="20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WHEREAS, pursuant to the Guarantee and Collateral Agreement, each Grantor agreed to execute and this Agreement, in order to record the security interest granted to the Administrative Agent for the benefit of the Secured Parties with the United States Copyright Office.</w:t>
      </w:r>
    </w:p>
    <w:p>
      <w:pPr>
        <w:spacing w:after="0" w:line="15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is hereby acknowledged, the Grantors hereby agree with the Administrative Agent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Defined Terms</w:t>
      </w:r>
    </w:p>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respective meanings given thereto in the Guarantee and Collateral Agreement, and if not defined therein, shall have the respective meanings given thereto in the Credit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Grant of Security Interest</w:t>
      </w: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“Copyright Collateral”) as collateral security for the prompt and complete</w:t>
      </w:r>
    </w:p>
    <w:p>
      <w:pPr>
        <w:sectPr>
          <w:pgSz w:w="11900" w:h="16838" w:orient="portrait"/>
          <w:cols w:equalWidth="0" w:num="1">
            <w:col w:w="11240"/>
          </w:cols>
          <w:pgMar w:left="320" w:top="1413"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payment and performance when due (whether at the stated maturity, by acceleration or otherwise) of such Grantor’s Obligations:</w:t>
      </w:r>
    </w:p>
    <w:p>
      <w:pPr>
        <w:spacing w:after="0" w:line="256" w:lineRule="exact"/>
        <w:rPr>
          <w:sz w:val="20"/>
          <w:szCs w:val="20"/>
          <w:color w:val="auto"/>
        </w:rPr>
      </w:pPr>
    </w:p>
    <w:p>
      <w:pPr>
        <w:jc w:val="both"/>
        <w:ind w:firstLine="656"/>
        <w:spacing w:after="0" w:line="250" w:lineRule="auto"/>
        <w:tabs>
          <w:tab w:leader="none" w:pos="944"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works of authorship and all intellectual property rights therein, all copyrights (whether or not the underlying works of authorship have been published), including but not limited to copyrights in software and databases, all designs (including but not limited to all industrial designs, “Protected Designs” within the meaning of 17 U.S.C. 1301 et. Seq. and Community designs), and all “Mask Works” (as defined in 17 U.S.C. 901 of the U.S. Copyright Act), whether registered or unregistered, and with respect to any and all of the foregoing: (i) all registrations and applications for registration thereof including, without limitation, the registrations and applications in the United States Copyright Office listed in Schedule A attached hereto, (ii) all extensions, renewals, and restorations thereof, (iii) all rights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but excluding any Excluded IP.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Guarantee and Collateral Agreement</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Governing Law</w:t>
      </w:r>
    </w:p>
    <w:p>
      <w:pPr>
        <w:spacing w:after="0" w:line="2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Counterparts</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232" w:name="page233"/>
    <w:bookmarkEnd w:id="232"/>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Grantor has caused this Agreement to be executed and delivered by its duly authorized officer as of the date first set forth above.</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GRANTOR],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Grantor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2514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753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13" w:right="339" w:bottom="1440" w:gutter="0" w:footer="0" w:header="0"/>
        </w:sectPr>
      </w:pPr>
    </w:p>
    <w:bookmarkStart w:id="233" w:name="page234"/>
    <w:bookmarkEnd w:id="233"/>
    <w:p>
      <w:pPr>
        <w:ind w:left="498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COPYRIGHT SECURITY AGREEMENT</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COPYRIGHT REGISTRATIONS</w:t>
      </w:r>
    </w:p>
    <w:p>
      <w:pPr>
        <w:spacing w:after="0" w:line="276" w:lineRule="exact"/>
        <w:rPr>
          <w:sz w:val="20"/>
          <w:szCs w:val="20"/>
          <w:color w:val="auto"/>
        </w:rPr>
      </w:pPr>
    </w:p>
    <w:tbl>
      <w:tblPr>
        <w:tblLayout w:type="fixed"/>
        <w:tblInd w:w="7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22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Registration No.</w:t>
            </w:r>
          </w:p>
        </w:tc>
        <w:tc>
          <w:tcPr>
            <w:tcW w:w="230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Registration Date</w:t>
            </w:r>
          </w:p>
        </w:tc>
      </w:tr>
      <w:tr>
        <w:trPr>
          <w:trHeight w:val="254"/>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COPYRIGHT APPLICATIONS</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700" w:type="dxa"/>
            <w:vAlign w:val="bottom"/>
            <w:tcBorders>
              <w:top w:val="single" w:sz="8" w:color="auto"/>
              <w:left w:val="single" w:sz="8" w:color="auto"/>
              <w:bottom w:val="single" w:sz="8" w:color="auto"/>
              <w:right w:val="single" w:sz="8" w:color="auto"/>
            </w:tcBorders>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Title</w:t>
            </w:r>
          </w:p>
        </w:tc>
        <w:tc>
          <w:tcPr>
            <w:tcW w:w="350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Application / Case No.</w:t>
            </w:r>
          </w:p>
        </w:tc>
        <w:tc>
          <w:tcPr>
            <w:tcW w:w="2060" w:type="dxa"/>
            <w:vAlign w:val="bottom"/>
            <w:tcBorders>
              <w:top w:val="single" w:sz="8" w:color="auto"/>
              <w:bottom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Filing Date</w:t>
            </w:r>
          </w:p>
        </w:tc>
      </w:tr>
      <w:tr>
        <w:trPr>
          <w:trHeight w:val="254"/>
        </w:trPr>
        <w:tc>
          <w:tcPr>
            <w:tcW w:w="5700" w:type="dxa"/>
            <w:vAlign w:val="bottom"/>
            <w:tcBorders>
              <w:left w:val="single" w:sz="8" w:color="auto"/>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r>
      <w:tr>
        <w:trPr>
          <w:trHeight w:val="250"/>
        </w:trPr>
        <w:tc>
          <w:tcPr>
            <w:tcW w:w="5700" w:type="dxa"/>
            <w:vAlign w:val="bottom"/>
            <w:tcBorders>
              <w:left w:val="single" w:sz="8" w:color="auto"/>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250"/>
        </w:trPr>
        <w:tc>
          <w:tcPr>
            <w:tcW w:w="5700" w:type="dxa"/>
            <w:vAlign w:val="bottom"/>
            <w:tcBorders>
              <w:left w:val="single" w:sz="8" w:color="auto"/>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250"/>
        </w:trPr>
        <w:tc>
          <w:tcPr>
            <w:tcW w:w="5700" w:type="dxa"/>
            <w:vAlign w:val="bottom"/>
            <w:tcBorders>
              <w:left w:val="single" w:sz="8" w:color="auto"/>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250"/>
        </w:trPr>
        <w:tc>
          <w:tcPr>
            <w:tcW w:w="5700" w:type="dxa"/>
            <w:vAlign w:val="bottom"/>
            <w:tcBorders>
              <w:left w:val="single" w:sz="8" w:color="auto"/>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09" w:right="31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0"/>
          <w:szCs w:val="20"/>
          <w:color w:val="auto"/>
        </w:rPr>
        <w:t>Annex 3 to</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Seventh Amended and Restated Guarantee and Collateral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PATENT SECURITY AGREEMENT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PATENT SECURITY AGREEMENT, dated as of [__], 202[_] (this “Agreement”), is made by each of the signatories hereto indicated as a Grantor (each, a “Grantor” and collectively, the “Grantors”) in favor of JPMORGAN CHASE BANK, N.A., as administrative agent for the Secured Parties (in such capacity and together with its successors and assigns in such capacity, the “Administrative Agent”).</w:t>
      </w: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pursuant to that certain Seventh Amended and Restated Credit Agreement, dated as of November 21, 2025 (as amended, restated, amended and restated, supplemented or otherwise modified from time to time, the “Credit Agreement”),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spacing w:after="0" w:line="20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“Guarantee and Collateral Agreement”), between each of the Grantors and the Administrative Agent, pursuant to which each of the Grantors assigned, transferred and granted to the Administrative Agent, for the benefit of the Secured Parties, a security interest in the Patent Collateral (as defined below); and</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WHEREAS, pursuant to the Guarantee and Collateral Agreement, each Grantor agreed to execute and this Agreement, in order to record the security interest granted to the Administrative Agent for the benefit of the Secured Parties with the United States Patent and Trademark Office.</w:t>
      </w:r>
    </w:p>
    <w:p>
      <w:pPr>
        <w:spacing w:after="0" w:line="18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is hereby acknowledged, the Grantors hereby agree with the Administrative Agent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Defined Terms</w:t>
      </w:r>
    </w:p>
    <w:p>
      <w:pPr>
        <w:spacing w:after="0" w:line="26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respective meanings given thereto in the Guarantee and Collateral Agreement, and if not defined therein, shall have the respective meanings given thereto in the Credit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Grant of Security Interest</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“Patent Collateral”) as collateral security for the prompt and complete payment</w:t>
      </w:r>
    </w:p>
    <w:p>
      <w:pPr>
        <w:sectPr>
          <w:pgSz w:w="11900" w:h="16838" w:orient="portrait"/>
          <w:cols w:equalWidth="0" w:num="1">
            <w:col w:w="11240"/>
          </w:cols>
          <w:pgMar w:left="320" w:top="1413"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0"/>
          <w:szCs w:val="20"/>
          <w:color w:val="auto"/>
        </w:rPr>
        <w:t>and performance when due (whether at the stated maturity, by acceleration or otherwise) of such Grantor’s Obligations:</w:t>
      </w:r>
    </w:p>
    <w:p>
      <w:pPr>
        <w:spacing w:after="0" w:line="256" w:lineRule="exact"/>
        <w:rPr>
          <w:sz w:val="20"/>
          <w:szCs w:val="20"/>
          <w:color w:val="auto"/>
        </w:rPr>
      </w:pPr>
    </w:p>
    <w:p>
      <w:pPr>
        <w:jc w:val="both"/>
        <w:ind w:firstLine="656"/>
        <w:spacing w:after="0" w:line="251" w:lineRule="auto"/>
        <w:tabs>
          <w:tab w:leader="none" w:pos="917"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patentable inventions and designs, all patents, certificates of invention, and similar industrial property rights, and applications for any of the foregoing, including without limitation: (i) each patent and patent application in the United States Patent and Trademark Office listed in Schedule A attached hereto, (ii) all reissues, substitutes, divisions, continuations, continuations-in-part, extensions, renewals, and reexaminations thereof, (iii) all inventions and improvements described and claimed therein, (iv) all rights to sue or otherwise recover for any past, present and future infringement or other violation thereof, (v) all Proceeds of the foregoing, including, without limitation, license fees, royalties, income, payments, claims, damages, and proceeds of suit now or hereafter due and/or payable with respect thereto, income, royalties, damages and other payments now and hereafter due and/or payable with respect thereto, and (vi) all other rights of any accruing thereunder or pertaining thereto; but excluding any Excluded IP.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Guarantee and Collateral Agreement</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Governing Law</w:t>
      </w:r>
    </w:p>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Counterparts</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236" w:name="page237"/>
    <w:bookmarkEnd w:id="236"/>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Grantor has caused this Agreement to be executed and delivered by its duly authorized officer as of the date first set forth above.</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GRANTOR],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Grantor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251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6280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13" w:right="339" w:bottom="1440" w:gutter="0" w:footer="0" w:header="0"/>
        </w:sectPr>
      </w:pPr>
    </w:p>
    <w:bookmarkStart w:id="237" w:name="page238"/>
    <w:bookmarkEnd w:id="237"/>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to</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PATENT SECURITY AGREEMENT</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PATENTS AND PATENT APPLICATIONS</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200" w:type="dxa"/>
            <w:vAlign w:val="bottom"/>
            <w:tcBorders>
              <w:top w:val="single" w:sz="8" w:color="auto"/>
              <w:left w:val="single" w:sz="8" w:color="auto"/>
              <w:bottom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1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Application No.</w:t>
            </w:r>
          </w:p>
        </w:tc>
        <w:tc>
          <w:tcPr>
            <w:tcW w:w="21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Filing Date</w:t>
            </w:r>
          </w:p>
        </w:tc>
        <w:tc>
          <w:tcPr>
            <w:tcW w:w="216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Patent No.</w:t>
            </w:r>
          </w:p>
        </w:tc>
        <w:tc>
          <w:tcPr>
            <w:tcW w:w="20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Issue Date</w:t>
            </w:r>
          </w:p>
        </w:tc>
      </w:tr>
      <w:tr>
        <w:trPr>
          <w:trHeight w:val="254"/>
        </w:trPr>
        <w:tc>
          <w:tcPr>
            <w:tcW w:w="2200" w:type="dxa"/>
            <w:vAlign w:val="bottom"/>
            <w:tcBorders>
              <w:left w:val="single" w:sz="8" w:color="auto"/>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0800"/>
          </w:cols>
          <w:pgMar w:left="560" w:top="1409" w:right="5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0"/>
          <w:szCs w:val="20"/>
          <w:color w:val="auto"/>
        </w:rPr>
        <w:t>Annex 4 to</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Seventh Amended and Restated Guarantee and Collateral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TRADEMARK SECURITY AGREEMENT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TRADEMARK SECURITY AGREEMENT, dated as of [__], 202[_] (this “Agreement”), is made by each of the signatories hereto indicated as a Grantor (each, a “Grantor” and collectively, the “Grantors”) in favor of JPMORGAN CHASE BANK, N.A., as administrative agent for the Secured Parties (in such capacity and together with its successors and assigns in such capacity, the “Administrative Agent”).</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pursuant to that certain Seventh Amended and Restated Credit Agreement, dated as of November 21, 2025 (as amended, restated, amended and restated, supplemented or otherwise modified from time to time, the “Credit Agreement”),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“Guarantee and Collateral Agreement”), between each of the Grantors and the Administrative Agent, pursuant to which each of the Grantors assigned, transferred and granted to the Administrative Agent, for the benefit of the Secured Parties, a security interest in the Trademark Collateral (as defined below); and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the Guarantee and Collateral Agreement, each Grantor agreed to execute and this Agreement, in order to record the security interest granted to the Administrative Agent for the benefit of the Secured Parties with the United States Patent and Trademark Office.</w:t>
      </w:r>
    </w:p>
    <w:p>
      <w:pPr>
        <w:spacing w:after="0" w:line="19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is hereby acknowledged, the Grantors hereby agree with the Administrative Agent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Defined Terms</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respective meanings given thereto in the Guarantee and Collateral Agreement, and if not defined therein, shall have the respective meanings given thereto in the Credit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Grant of Security Interest</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SECTION 2.1 Grant of Security</w:t>
      </w:r>
      <w:r>
        <w:rPr>
          <w:rFonts w:ascii="Times New Roman" w:cs="Times New Roman" w:eastAsia="Times New Roman" w:hAnsi="Times New Roman"/>
          <w:sz w:val="20"/>
          <w:szCs w:val="20"/>
          <w:color w:val="auto"/>
        </w:rPr>
        <w:t>. Each Grantor hereby assigns and transfers to the Administrative Agent, and hereby grants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“Trademark Collateral”) as collateral</w:t>
      </w:r>
    </w:p>
    <w:p>
      <w:pPr>
        <w:sectPr>
          <w:pgSz w:w="11900" w:h="16838" w:orient="portrait"/>
          <w:cols w:equalWidth="0" w:num="1">
            <w:col w:w="11240"/>
          </w:cols>
          <w:pgMar w:left="320" w:top="1413" w:right="339" w:bottom="1440" w:gutter="0" w:footer="0" w:header="0"/>
        </w:sectPr>
      </w:pPr>
    </w:p>
    <w:bookmarkStart w:id="239" w:name="page240"/>
    <w:bookmarkEnd w:id="239"/>
    <w:p>
      <w:pPr>
        <w:spacing w:after="0" w:line="283" w:lineRule="auto"/>
        <w:rPr>
          <w:sz w:val="20"/>
          <w:szCs w:val="20"/>
          <w:color w:val="auto"/>
        </w:rPr>
      </w:pPr>
      <w:r>
        <w:rPr>
          <w:rFonts w:ascii="Times New Roman" w:cs="Times New Roman" w:eastAsia="Times New Roman" w:hAnsi="Times New Roman"/>
          <w:sz w:val="20"/>
          <w:szCs w:val="20"/>
          <w:color w:val="auto"/>
        </w:rPr>
        <w:t>security for the prompt and complete payment and performance when due (whether at the stated maturity, by acceleration or otherwise) of such Grantor’s Obligations:</w:t>
      </w:r>
    </w:p>
    <w:p>
      <w:pPr>
        <w:spacing w:after="0" w:line="173" w:lineRule="exact"/>
        <w:rPr>
          <w:sz w:val="20"/>
          <w:szCs w:val="20"/>
          <w:color w:val="auto"/>
        </w:rPr>
      </w:pPr>
    </w:p>
    <w:p>
      <w:pPr>
        <w:jc w:val="both"/>
        <w:ind w:firstLine="656"/>
        <w:spacing w:after="0" w:line="252" w:lineRule="auto"/>
        <w:tabs>
          <w:tab w:leader="none" w:pos="93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trademarks, service marks, trade names, corporate names, company names, business names, fictitious business names, trade dress, trade styles, logos, Internet domain names, other indicia of origin or source identification, and general intangibles of a like nature, whether registered or unregistered, and with respect to any and all of the foregoing: (i) all registrations and applications for registration thereof including, without limitation, the registrations and applications in the United States Patent and Trademark Office listed in Schedule A attached hereto, (ii) all extension and renewals thereof, (iii) all of the goodwill of the business connected with the use of and symbolized by any of the foregoing, (iv) all rights to sue or otherwise recover for any past, present and future infringement, dilution,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2.2 Certain Limited Exclusions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anything herein to the contrary, in no event shall the Trademark Collateral include or the security interest granted under Section 2.1 hereof attach to (i) any “intent-to-use” application for registration of a Trademark filed pursuant to Section 1(b) of the Lanham Act, 15 U.S.C. § 1051, prior to the filing and acceptance of a “Statement of Use” or an “Amendment to Allege Use”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(ii) any other Excluded IP.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Guarantee and Collateral Agreement</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Governing Law</w:t>
      </w:r>
    </w:p>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Counterparts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w:t>
      </w:r>
    </w:p>
    <w:p>
      <w:pPr>
        <w:sectPr>
          <w:pgSz w:w="11900" w:h="16838" w:orient="portrait"/>
          <w:cols w:equalWidth="0" w:num="1">
            <w:col w:w="11240"/>
          </w:cols>
          <w:pgMar w:left="320" w:top="1413" w:right="339" w:bottom="1440" w:gutter="0" w:footer="0" w:header="0"/>
        </w:sectPr>
      </w:pPr>
    </w:p>
    <w:bookmarkStart w:id="240" w:name="page241"/>
    <w:bookmarkEnd w:id="240"/>
    <w:p>
      <w:pPr>
        <w:jc w:val="both"/>
        <w:spacing w:after="0" w:line="258" w:lineRule="auto"/>
        <w:rPr>
          <w:sz w:val="20"/>
          <w:szCs w:val="20"/>
          <w:color w:val="auto"/>
        </w:rPr>
      </w:pPr>
      <w:r>
        <w:rPr>
          <w:rFonts w:ascii="Times New Roman" w:cs="Times New Roman" w:eastAsia="Times New Roman" w:hAnsi="Times New Roman"/>
          <w:sz w:val="20"/>
          <w:szCs w:val="20"/>
          <w:color w:val="auto"/>
        </w:rPr>
        <w:t>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241" w:name="page242"/>
    <w:bookmarkEnd w:id="241"/>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Grantor has caused this Agreement to be executed and delivered by its duly authorized officer as of the date first set forth above.</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GRANTOR],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Grantor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79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628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13" w:right="339" w:bottom="1440" w:gutter="0" w:footer="0" w:header="0"/>
        </w:sectPr>
      </w:pPr>
    </w:p>
    <w:bookmarkStart w:id="242" w:name="page243"/>
    <w:bookmarkEnd w:id="242"/>
    <w:p>
      <w:pPr>
        <w:ind w:left="474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TRADEMARK SECURITY AGREEMENT</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TRADEMARK REGISTRATIONS AND APPLICATIONS</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200" w:type="dxa"/>
            <w:vAlign w:val="bottom"/>
            <w:tcBorders>
              <w:top w:val="single" w:sz="8" w:color="auto"/>
              <w:left w:val="single" w:sz="8" w:color="auto"/>
              <w:bottom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Mark</w:t>
            </w:r>
          </w:p>
        </w:tc>
        <w:tc>
          <w:tcPr>
            <w:tcW w:w="21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Serial No.</w:t>
            </w:r>
          </w:p>
        </w:tc>
        <w:tc>
          <w:tcPr>
            <w:tcW w:w="21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Filing Date</w:t>
            </w:r>
          </w:p>
        </w:tc>
        <w:tc>
          <w:tcPr>
            <w:tcW w:w="216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Registration No.</w:t>
            </w:r>
          </w:p>
        </w:tc>
        <w:tc>
          <w:tcPr>
            <w:tcW w:w="20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Registration Date</w:t>
            </w:r>
          </w:p>
        </w:tc>
      </w:tr>
      <w:tr>
        <w:trPr>
          <w:trHeight w:val="254"/>
        </w:trPr>
        <w:tc>
          <w:tcPr>
            <w:tcW w:w="2200" w:type="dxa"/>
            <w:vAlign w:val="bottom"/>
            <w:tcBorders>
              <w:left w:val="single" w:sz="8" w:color="auto"/>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0800"/>
          </w:cols>
          <w:pgMar w:left="560" w:top="1409" w:right="5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20"/>
          <w:szCs w:val="20"/>
          <w:color w:val="auto"/>
        </w:rPr>
        <w:t>EXHIBIT F</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NEW DOMESTIC SUBSIDIARY CERTIFICATE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DOMESTIC SUBSIDIARY CERTIFICATE</w:t>
      </w:r>
    </w:p>
    <w:p>
      <w:pPr>
        <w:spacing w:after="0" w:line="270"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0"/>
          <w:szCs w:val="20"/>
          <w:color w:val="auto"/>
        </w:rPr>
        <w:t>Pursuant to subsection 5.11(b) of the Seventh Amended and Restated Credit Agreement dated as of November 21, 2025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Scotts Miracle-Gro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from time to time party thereto (collectively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Lenders from time to time party thereto and JPMorgan Chase Bank, N.A., as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the undersigned officers of the [INSERT NAME OF SUBSIDIARY] (the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hereby certify as follows (capitalized terms used but not defined herein shall have the meanings assigned to such terms in the Credit Agreement):</w:t>
      </w:r>
    </w:p>
    <w:p>
      <w:pPr>
        <w:spacing w:after="0" w:line="209" w:lineRule="exact"/>
        <w:rPr>
          <w:sz w:val="20"/>
          <w:szCs w:val="20"/>
          <w:color w:val="auto"/>
        </w:rPr>
      </w:pPr>
    </w:p>
    <w:p>
      <w:pPr>
        <w:jc w:val="both"/>
        <w:ind w:firstLine="1304"/>
        <w:spacing w:after="0" w:line="273" w:lineRule="auto"/>
        <w:tabs>
          <w:tab w:leader="none" w:pos="1697"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made by (or on behalf of) the Subsidiary in the Credit Agreement and each of the Loan Documents to which it is a party are true and correct in all material respects (or, in the case of any representation or warranty qualified by materiality or Material Adverse Effect, in all respects) on and as of the date hereof as if made on and as of the date hereof [and after giving effect to the Loans requested to be made pursuant to the Credit Agreement],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spacing w:after="0" w:line="212" w:lineRule="exact"/>
        <w:rPr>
          <w:rFonts w:ascii="Times New Roman" w:cs="Times New Roman" w:eastAsia="Times New Roman" w:hAnsi="Times New Roman"/>
          <w:sz w:val="20"/>
          <w:szCs w:val="20"/>
          <w:color w:val="auto"/>
        </w:rPr>
      </w:pPr>
    </w:p>
    <w:p>
      <w:pPr>
        <w:jc w:val="both"/>
        <w:ind w:firstLine="1304"/>
        <w:spacing w:after="0" w:line="282" w:lineRule="auto"/>
        <w:tabs>
          <w:tab w:leader="none" w:pos="183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and immediately after the making of the Loans requested to be made pursuant to the Credit Agreement on the date hereof, no Default or Event of Default will have occurred and will be continuing under the Credit Agreement or any other Loan Document; and</w:t>
      </w:r>
    </w:p>
    <w:p>
      <w:pPr>
        <w:spacing w:after="0" w:line="201" w:lineRule="exact"/>
        <w:rPr>
          <w:rFonts w:ascii="Times New Roman" w:cs="Times New Roman" w:eastAsia="Times New Roman" w:hAnsi="Times New Roman"/>
          <w:sz w:val="20"/>
          <w:szCs w:val="20"/>
          <w:color w:val="auto"/>
        </w:rPr>
      </w:pPr>
    </w:p>
    <w:p>
      <w:pPr>
        <w:jc w:val="both"/>
        <w:ind w:firstLine="1304"/>
        <w:spacing w:after="0" w:line="282" w:lineRule="auto"/>
        <w:tabs>
          <w:tab w:leader="none" w:pos="1732"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_________________ is the duly elected and qualified Secretary of the Subsidiary and the signature set forth on the signature line for such officer below is such officer’s true and genuine signature, and the undersigned Secretary of the Subsidiary hereby certifies as follows:</w:t>
      </w:r>
    </w:p>
    <w:p>
      <w:pPr>
        <w:spacing w:after="0" w:line="201" w:lineRule="exact"/>
        <w:rPr>
          <w:rFonts w:ascii="Times New Roman" w:cs="Times New Roman" w:eastAsia="Times New Roman" w:hAnsi="Times New Roman"/>
          <w:sz w:val="20"/>
          <w:szCs w:val="20"/>
          <w:color w:val="auto"/>
        </w:rPr>
      </w:pPr>
    </w:p>
    <w:p>
      <w:pPr>
        <w:jc w:val="both"/>
        <w:ind w:left="1300" w:firstLine="652"/>
        <w:spacing w:after="0" w:line="277" w:lineRule="auto"/>
        <w:tabs>
          <w:tab w:leader="none" w:pos="2365"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a true and complete copy of resolutions duly adopted by the Board of Directors of the Subsidiary on the date thereof; such resolutions have not in any way been amended, modified, revoked or rescinded and have been in full force and effect since their adoption to and including the date hereof and are now in full force and effect; such resolutions are the only corporate proceedings of the Subsidiary now in force relating to or affecting the matters referred to therein;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is a true and complete copy of the By-laws of the Subsidiary as in effect on the date hereof; and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is a true and complete copy of the Certificate of Incorporation of the Subsidiary as in effect on the date hereof;</w:t>
      </w:r>
    </w:p>
    <w:p>
      <w:pPr>
        <w:spacing w:after="0" w:line="207" w:lineRule="exact"/>
        <w:rPr>
          <w:rFonts w:ascii="Times New Roman" w:cs="Times New Roman" w:eastAsia="Times New Roman" w:hAnsi="Times New Roman"/>
          <w:sz w:val="20"/>
          <w:szCs w:val="20"/>
          <w:color w:val="auto"/>
        </w:rPr>
      </w:pPr>
    </w:p>
    <w:p>
      <w:pPr>
        <w:jc w:val="both"/>
        <w:ind w:left="1300" w:right="20" w:firstLine="652"/>
        <w:spacing w:after="0" w:line="282" w:lineRule="auto"/>
        <w:tabs>
          <w:tab w:leader="none" w:pos="2515"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persons are now duly elected and qualified officers of the Subsidiary, holding the offices indicated next to their respective names below, and the signatures appearing opposite their respective names below are the true and genuine</w:t>
      </w:r>
    </w:p>
    <w:p>
      <w:pPr>
        <w:sectPr>
          <w:pgSz w:w="11900" w:h="16838" w:orient="portrait"/>
          <w:cols w:equalWidth="0" w:num="1">
            <w:col w:w="11240"/>
          </w:cols>
          <w:pgMar w:left="320" w:top="1413" w:right="339" w:bottom="1440" w:gutter="0" w:footer="0" w:header="0"/>
        </w:sectPr>
      </w:pPr>
    </w:p>
    <w:bookmarkStart w:id="244" w:name="page245"/>
    <w:bookmarkEnd w:id="244"/>
    <w:p>
      <w:pPr>
        <w:jc w:val="both"/>
        <w:ind w:left="1300"/>
        <w:spacing w:after="0" w:line="282" w:lineRule="auto"/>
        <w:rPr>
          <w:sz w:val="20"/>
          <w:szCs w:val="20"/>
          <w:color w:val="auto"/>
        </w:rPr>
      </w:pPr>
      <w:r>
        <w:rPr>
          <w:rFonts w:ascii="Times New Roman" w:cs="Times New Roman" w:eastAsia="Times New Roman" w:hAnsi="Times New Roman"/>
          <w:sz w:val="20"/>
          <w:szCs w:val="20"/>
          <w:color w:val="auto"/>
        </w:rPr>
        <w:t>signatures of such officers, and each of such officers is duly authorized to execute and deliver on behalf of the Subsidiary the Credit Documents to which the Subsidiary is or shall be a party and any certificate or other document to be delivered by the Subsidiary pursuant to the Credit Documents: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840"/>
        <w:spacing w:after="0"/>
        <w:tabs>
          <w:tab w:leader="none" w:pos="5340" w:val="left"/>
          <w:tab w:leader="none" w:pos="77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Office</w:t>
      </w:r>
      <w:r>
        <w:rPr>
          <w:sz w:val="20"/>
          <w:szCs w:val="20"/>
          <w:color w:val="auto"/>
        </w:rPr>
        <w:tab/>
      </w:r>
      <w:r>
        <w:rPr>
          <w:rFonts w:ascii="Times New Roman" w:cs="Times New Roman" w:eastAsia="Times New Roman" w:hAnsi="Times New Roman"/>
          <w:sz w:val="19"/>
          <w:szCs w:val="19"/>
          <w:color w:val="auto"/>
        </w:rPr>
        <w:t>Signature</w:t>
      </w:r>
    </w:p>
    <w:p>
      <w:pPr>
        <w:spacing w:after="0" w:line="3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31115</wp:posOffset>
            </wp:positionV>
            <wp:extent cx="17399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31115</wp:posOffset>
            </wp:positionV>
            <wp:extent cx="17316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31115</wp:posOffset>
            </wp:positionV>
            <wp:extent cx="1739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31115</wp:posOffset>
            </wp:positionV>
            <wp:extent cx="17316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WITNESS WHEREOF, the undersigned have executed this Certificate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[INSERT NAME OF SUBSIDIARY]</w:t>
            </w:r>
          </w:p>
        </w:tc>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[INSERT NAME OF SUBSIDIARY]</w:t>
            </w:r>
          </w:p>
        </w:tc>
      </w:tr>
      <w:tr>
        <w:trPr>
          <w:trHeight w:val="521"/>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169"/>
        </w:trPr>
        <w:tc>
          <w:tcPr>
            <w:tcW w:w="5860" w:type="dxa"/>
            <w:vAlign w:val="bottom"/>
            <w:tcBorders>
              <w:top w:val="single" w:sz="8" w:color="auto"/>
            </w:tcBorders>
          </w:tcPr>
          <w:p>
            <w:pPr>
              <w:ind w:left="360"/>
              <w:spacing w:after="0" w:line="169"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4"/>
                <w:szCs w:val="14"/>
                <w:color w:val="auto"/>
              </w:rPr>
            </w:pPr>
          </w:p>
        </w:tc>
        <w:tc>
          <w:tcPr>
            <w:tcW w:w="5200" w:type="dxa"/>
            <w:vAlign w:val="bottom"/>
            <w:tcBorders>
              <w:top w:val="single" w:sz="8" w:color="auto"/>
            </w:tcBorders>
          </w:tcPr>
          <w:p>
            <w:pPr>
              <w:ind w:left="340"/>
              <w:spacing w:after="0" w:line="169"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6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Title: Vice President</w:t>
            </w: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 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6" w:right="339" w:bottom="1440" w:gutter="0" w:footer="0" w:header="0"/>
        </w:sectPr>
      </w:pPr>
    </w:p>
    <w:bookmarkStart w:id="245" w:name="page246"/>
    <w:bookmarkEnd w:id="245"/>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Domestic Subsidiary Certificate</w:t>
      </w:r>
    </w:p>
    <w:p>
      <w:pPr>
        <w:spacing w:after="0" w:line="200" w:lineRule="exact"/>
        <w:rPr>
          <w:sz w:val="20"/>
          <w:szCs w:val="20"/>
          <w:color w:val="auto"/>
        </w:rPr>
      </w:pPr>
    </w:p>
    <w:p>
      <w:pPr>
        <w:spacing w:after="0" w:line="32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u w:val="single" w:color="auto"/>
          <w:color w:val="auto"/>
        </w:rPr>
        <w:t>Board of Directors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40"/>
          </w:cols>
          <w:pgMar w:left="1440" w:top="1440" w:right="419" w:bottom="1440" w:gutter="0" w:footer="0" w:header="0"/>
        </w:sectPr>
      </w:pPr>
    </w:p>
    <w:bookmarkStart w:id="246" w:name="page247"/>
    <w:bookmarkEnd w:id="246"/>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B</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 the</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Domestic Subsidiary Certificate</w:t>
      </w:r>
    </w:p>
    <w:p>
      <w:pPr>
        <w:spacing w:after="0" w:line="200" w:lineRule="exact"/>
        <w:rPr>
          <w:sz w:val="20"/>
          <w:szCs w:val="20"/>
          <w:color w:val="auto"/>
        </w:rPr>
      </w:pPr>
    </w:p>
    <w:p>
      <w:pPr>
        <w:spacing w:after="0" w:line="3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u w:val="single" w:color="auto"/>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040"/>
          </w:cols>
          <w:pgMar w:left="1440" w:top="1440" w:right="419" w:bottom="1440" w:gutter="0" w:footer="0" w:header="0"/>
        </w:sectPr>
      </w:pPr>
    </w:p>
    <w:bookmarkStart w:id="247" w:name="page248"/>
    <w:bookmarkEnd w:id="247"/>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C</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Domestic Subsidiary Certificate</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u w:val="single" w:color="auto"/>
          <w:color w:val="auto"/>
        </w:rPr>
        <w:t>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040"/>
          </w:cols>
          <w:pgMar w:left="1440" w:top="1440" w:right="4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SEVENTH AMENDED AND RESTATED GUARANTEE AND COLLATERAL AGREEMENT</w:t>
      </w:r>
    </w:p>
    <w:p>
      <w:pPr>
        <w:spacing w:after="0" w:line="24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made by</w:t>
      </w:r>
    </w:p>
    <w:p>
      <w:pPr>
        <w:spacing w:after="0" w:line="21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THE SCOTTS MIRACLE-GRO COMPANY,</w:t>
      </w:r>
    </w:p>
    <w:p>
      <w:pPr>
        <w:spacing w:after="0" w:line="22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EACH DOMESTIC SUBSIDIARY BORROWER</w:t>
      </w:r>
    </w:p>
    <w:p>
      <w:pPr>
        <w:spacing w:after="0" w:line="21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and certain of their Domestic Subsidiaries</w:t>
      </w:r>
    </w:p>
    <w:p>
      <w:pPr>
        <w:spacing w:after="0" w:line="22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in favor of</w:t>
      </w:r>
    </w:p>
    <w:p>
      <w:pPr>
        <w:spacing w:after="0" w:line="22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Dated as of November 21, 2025</w:t>
      </w:r>
    </w:p>
    <w:p>
      <w:pPr>
        <w:sectPr>
          <w:pgSz w:w="11900" w:h="16838" w:orient="portrait"/>
          <w:cols w:equalWidth="0" w:num="1">
            <w:col w:w="10120"/>
          </w:cols>
          <w:pgMar w:left="1440" w:top="608" w:right="339" w:bottom="1440" w:gutter="0" w:footer="0" w:header="0"/>
        </w:sectPr>
      </w:pPr>
    </w:p>
    <w:bookmarkStart w:id="249" w:name="page250"/>
    <w:bookmarkEnd w:id="249"/>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0" w:type="dxa"/>
            <w:vAlign w:val="bottom"/>
          </w:tcPr>
          <w:p>
            <w:pPr>
              <w:spacing w:after="0"/>
              <w:rPr>
                <w:sz w:val="22"/>
                <w:szCs w:val="22"/>
                <w:color w:val="auto"/>
              </w:rPr>
            </w:pPr>
          </w:p>
        </w:tc>
        <w:tc>
          <w:tcPr>
            <w:tcW w:w="8960" w:type="dxa"/>
            <w:vAlign w:val="bottom"/>
          </w:tcPr>
          <w:p>
            <w:pPr>
              <w:ind w:left="26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2"/>
              </w:rPr>
              <w:t>Page</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w:t>
            </w:r>
          </w:p>
        </w:tc>
        <w:tc>
          <w:tcPr>
            <w:tcW w:w="89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DEFINED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525"/>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1.1.</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Definitions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8"/>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 Definitional Provisions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526"/>
        </w:trPr>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SECTION 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BORROWER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525"/>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2.1.</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Company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Subrogation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2.3.</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Amendments, Etc. with respect to the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2.4.</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Guarantee Absolute and Unconditional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2.5.</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Reinstatement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2.6.</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Payments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8"/>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2.7.</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Keepwell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52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3.</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DOMESTIC SUBSIDIARY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525"/>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3.1.</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Domestic Subsidiary Guarantee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Right of Contribution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3.3.</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Subrogation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3.4.</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Amendments, Etc. with respect to the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3.5.</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Guarantees Absolute and Unconditional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3.6.</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Reinstatement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3.7.</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Payments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8"/>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3.8.</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Keepwell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527"/>
        </w:trPr>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SECTION 4.</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GRANT OF SECURITY INTEREST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526"/>
        </w:trPr>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SECTION 5.</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525"/>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5.1.</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 No Other Liens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5.2.</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Perfected First Priority Liens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5.3.</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Jurisdiction of Organization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5.4.</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Domestic Subsidiaries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5.5.</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Pledged Stock</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6"/>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5.6.</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Receivables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7"/>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5.7.</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Intellectual Property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8"/>
        </w:trPr>
        <w:tc>
          <w:tcPr>
            <w:tcW w:w="16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5.8.</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Pledged Note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526"/>
        </w:trPr>
        <w:tc>
          <w:tcPr>
            <w:tcW w:w="16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SECTION 6.</w:t>
            </w:r>
          </w:p>
        </w:tc>
        <w:tc>
          <w:tcPr>
            <w:tcW w:w="8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bl>
    <w:p>
      <w:pPr>
        <w:sectPr>
          <w:pgSz w:w="11900" w:h="16838" w:orient="portrait"/>
          <w:cols w:equalWidth="0" w:num="1">
            <w:col w:w="10940"/>
          </w:cols>
          <w:pgMar w:left="600" w:top="1440" w:right="3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Delivery of Certificated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Maintenance of Insurance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6.3.</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Payment of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6.4.</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Maintenance of Perfected Security Interest; Further Documentation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6.5.</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6.6.</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Pledged 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6.7.</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Receivables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14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6.8.</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Intellectual Property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14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6.9.</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Pledged Note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526"/>
        </w:trPr>
        <w:tc>
          <w:tcPr>
            <w:tcW w:w="14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5"/>
              </w:rPr>
              <w:t>SECTION 7.</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REMEDIAL PROVISIONS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525"/>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Certain Matters Relating to Receivables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Communications with Obligors; Grantors Remain Liable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7.3.</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Pledged 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7.4.</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Proceeds to be Turned Over to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7.5.</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Application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7.6.</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Code and Other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7.7.</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Registration Rights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8"/>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7.8.</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Deficiency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527"/>
        </w:trPr>
        <w:tc>
          <w:tcPr>
            <w:tcW w:w="14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5"/>
              </w:rPr>
              <w:t>SECTION 8.</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THE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525"/>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8.1.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Administrative Agent’s Appointment as Attorney-in-Fact, Etc.</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8.2.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Duty of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8.3.</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Execution of Financing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8.4.</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Further Assurances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8"/>
        </w:trPr>
        <w:tc>
          <w:tcPr>
            <w:tcW w:w="14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8.5.</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Authority of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526"/>
        </w:trPr>
        <w:tc>
          <w:tcPr>
            <w:tcW w:w="14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5"/>
              </w:rPr>
              <w:t>SECTION 9.</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525"/>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Amendments in Writing</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9.2.</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9.3.</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 Waiver by Course of Conduct; Cumulative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9.4.</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Expenses; Indemnity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9.5.</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9.6.</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Right of Set-Off</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9.7.</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Counterparts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9.8.</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6"/>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9"/>
              </w:rPr>
              <w:t>9.9.</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Headings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3"/>
        </w:trPr>
        <w:tc>
          <w:tcPr>
            <w:tcW w:w="1460" w:type="dxa"/>
            <w:vAlign w:val="bottom"/>
          </w:tcPr>
          <w:p>
            <w:pPr>
              <w:jc w:val="center"/>
              <w:ind w:left="321"/>
              <w:spacing w:after="0"/>
              <w:rPr>
                <w:sz w:val="20"/>
                <w:szCs w:val="20"/>
                <w:color w:val="auto"/>
              </w:rPr>
            </w:pPr>
            <w:r>
              <w:rPr>
                <w:rFonts w:ascii="Times New Roman" w:cs="Times New Roman" w:eastAsia="Times New Roman" w:hAnsi="Times New Roman"/>
                <w:sz w:val="20"/>
                <w:szCs w:val="20"/>
                <w:color w:val="auto"/>
                <w:w w:val="99"/>
              </w:rPr>
              <w:t>9.10.</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Integration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2"/>
        </w:trPr>
        <w:tc>
          <w:tcPr>
            <w:tcW w:w="146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4"/>
              </w:rPr>
              <w:t>9.11.</w:t>
            </w:r>
          </w:p>
        </w:tc>
        <w:tc>
          <w:tcPr>
            <w:tcW w:w="740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GOVERNING LAW</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bl>
    <w:p>
      <w:pPr>
        <w:sectPr>
          <w:pgSz w:w="11900" w:h="16838" w:orient="portrait"/>
          <w:cols w:equalWidth="0" w:num="1">
            <w:col w:w="10780"/>
          </w:cols>
          <w:pgMar w:left="760" w:top="369" w:right="359" w:bottom="1440" w:gutter="0" w:footer="0" w:header="0"/>
        </w:sectPr>
      </w:pPr>
    </w:p>
    <w:bookmarkStart w:id="251" w:name="page252"/>
    <w:bookmarkEnd w:id="251"/>
    <w:p>
      <w:pPr>
        <w:ind w:left="260"/>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256"/>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9.12.</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Submission to Jurisdiction; Waivers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7"/>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9.13.</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Acknowledgments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9.14.</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Additional Guarantors and Grantors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9.15.</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Releases; Reinstatement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3"/>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9.16.</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Conflict of Laws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60"/>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9.17.</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WAIVER OF JURY TRIAL</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8"/>
        </w:trPr>
        <w:tc>
          <w:tcPr>
            <w:tcW w:w="7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9.18.</w:t>
            </w:r>
          </w:p>
        </w:tc>
        <w:tc>
          <w:tcPr>
            <w:tcW w:w="61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Amendment and Restatement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SCHEDULES</w:t>
            </w:r>
          </w:p>
        </w:tc>
        <w:tc>
          <w:tcPr>
            <w:tcW w:w="46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389"/>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1</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Notice Addresses of Guarantors</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2</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Description of Pledged Stock</w:t>
            </w:r>
          </w:p>
        </w:tc>
      </w:tr>
      <w:tr>
        <w:trPr>
          <w:trHeight w:val="25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3</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Jurisdiction of Incorporation</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4</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Domestic Subsidiaries</w:t>
            </w:r>
          </w:p>
        </w:tc>
      </w:tr>
      <w:tr>
        <w:trPr>
          <w:trHeight w:val="25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5</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8"/>
              </w:rPr>
              <w:t>Subsidiaries Whose Capital Stock is not Pledged</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6</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5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7</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[Reserved]</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8</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Specified Excluded IP</w:t>
            </w:r>
          </w:p>
        </w:tc>
      </w:tr>
      <w:tr>
        <w:trPr>
          <w:trHeight w:val="258"/>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 9</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Pledged Note</w:t>
            </w:r>
          </w:p>
        </w:tc>
      </w:tr>
      <w:tr>
        <w:trPr>
          <w:trHeight w:val="52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ANNEXES</w:t>
            </w:r>
          </w:p>
        </w:tc>
        <w:tc>
          <w:tcPr>
            <w:tcW w:w="4320" w:type="dxa"/>
            <w:vAlign w:val="bottom"/>
          </w:tcPr>
          <w:p>
            <w:pPr>
              <w:spacing w:after="0"/>
              <w:rPr>
                <w:sz w:val="24"/>
                <w:szCs w:val="24"/>
                <w:color w:val="auto"/>
              </w:rPr>
            </w:pPr>
          </w:p>
        </w:tc>
      </w:tr>
      <w:tr>
        <w:trPr>
          <w:trHeight w:val="525"/>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 1</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Assumption Agreement</w:t>
            </w:r>
          </w:p>
        </w:tc>
      </w:tr>
      <w:tr>
        <w:trPr>
          <w:trHeight w:val="257"/>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 2</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Copyright Security Agreement</w:t>
            </w:r>
          </w:p>
        </w:tc>
      </w:tr>
      <w:tr>
        <w:trPr>
          <w:trHeight w:val="25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 3</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Patent Security Agreement</w:t>
            </w:r>
          </w:p>
        </w:tc>
      </w:tr>
      <w:tr>
        <w:trPr>
          <w:trHeight w:val="258"/>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Annex 4</w:t>
            </w:r>
          </w:p>
        </w:tc>
        <w:tc>
          <w:tcPr>
            <w:tcW w:w="4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Trademark Security Agreement</w:t>
            </w:r>
          </w:p>
        </w:tc>
      </w:tr>
    </w:tbl>
    <w:p>
      <w:pPr>
        <w:sectPr>
          <w:pgSz w:w="11900" w:h="16838" w:orient="portrait"/>
          <w:cols w:equalWidth="0" w:num="1">
            <w:col w:w="11040"/>
          </w:cols>
          <w:pgMar w:left="500" w:top="369" w:right="359" w:bottom="1440" w:gutter="0" w:footer="0" w:header="0"/>
        </w:sectPr>
      </w:pPr>
    </w:p>
    <w:bookmarkStart w:id="252" w:name="page253"/>
    <w:bookmarkEnd w:id="252"/>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THIS SEVENTH AMENDED AND RESTATED GUARANTEE AND COLLATERAL AGREEMENT, dated as of November 21, 2025 made by each of the signatories hereto (together with any other entity that may become a party hereto as provided herein, the “</w:t>
      </w:r>
      <w:r>
        <w:rPr>
          <w:rFonts w:ascii="Times New Roman" w:cs="Times New Roman" w:eastAsia="Times New Roman" w:hAnsi="Times New Roman"/>
          <w:sz w:val="20"/>
          <w:szCs w:val="20"/>
          <w:u w:val="single" w:color="auto"/>
          <w:color w:val="auto"/>
        </w:rPr>
        <w:t>Grantors</w:t>
      </w:r>
      <w:r>
        <w:rPr>
          <w:rFonts w:ascii="Times New Roman" w:cs="Times New Roman" w:eastAsia="Times New Roman" w:hAnsi="Times New Roman"/>
          <w:sz w:val="20"/>
          <w:szCs w:val="20"/>
          <w:color w:val="auto"/>
        </w:rPr>
        <w:t>”), in favor of JPMORGAN CHASE BANK,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banks and other financial institutions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from time to time parties to the Seventh Amended and Restated Credit Agreement, dated as of November 21, 2025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THE SCOTTS MIRACLE-GRO COMPANY, an Ohio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(as defined in the Credit Agreement) from time to time parties to the Credit Agreement, the Co-Syndication Agents and the Co-Documentation Agents named therein and the Administrative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WHEREAS, pursuant to the Credit Agreement, the Lenders have severally agreed to make extensions of credit to the Company and the Subsidiary Borrowers upon the terms and subject to the conditions set forth therein;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WHEREAS, the Company and each Subsidiary Borrower is a member of an affiliated group of companies that includes each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Grantor;</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the proceeds of the extensions of credit under the Credit Agreement will be used in part to enable the Company and each Subsidiary Borrower to make valuable transfers to one or more of the other Grantors in connection with the operation of their respective businesses;</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the Company, each Subsidiary Borrower and the other Grantors are engaged in related businesses, and each Grantor will derive substantial direct and indirect benefit from the making of the extensions of credit under the Credit Agreement;</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it is a condition precedent to the obligation of the Lenders to make their respective extensions of credit to the Company and any Subsidiary Borrower under the Credit Agreement that the Grantors shall have executed and delivered this Agreement to the Administrative Agent for the ratable benefit of the Secured Parties; and</w:t>
      </w:r>
    </w:p>
    <w:p>
      <w:pPr>
        <w:spacing w:after="0" w:line="16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WHEREAS, it is acknowledged and agreed by each party hereto that (i) this Agreement hereby amends and restates in all respects that certain Sixth Amended and Restated Guarantee and Collateral Agreement (the “</w:t>
      </w:r>
      <w:r>
        <w:rPr>
          <w:rFonts w:ascii="Times New Roman" w:cs="Times New Roman" w:eastAsia="Times New Roman" w:hAnsi="Times New Roman"/>
          <w:sz w:val="19"/>
          <w:szCs w:val="19"/>
          <w:u w:val="single" w:color="auto"/>
          <w:color w:val="auto"/>
        </w:rPr>
        <w:t>Existing Guarantee and Collateral Agreement</w:t>
      </w:r>
      <w:r>
        <w:rPr>
          <w:rFonts w:ascii="Times New Roman" w:cs="Times New Roman" w:eastAsia="Times New Roman" w:hAnsi="Times New Roman"/>
          <w:sz w:val="19"/>
          <w:szCs w:val="19"/>
          <w:color w:val="auto"/>
        </w:rPr>
        <w:t>”) dated as of April 8, 2022, among the Company, the Grantors party thereto, the several banks and other financial institutions parties thereto and the Administrative Agent, in accordance with the terms and conditions set forth in this Agreement, (ii) from and after the date hereof, each reference to the “Agreement” or other reference originally applicable to the Existing Guarantee and Collateral Agreement contained in any Loan Document shall be a reference to this Agreement, as amended, supplemented, restated or otherwise modified from time to time and</w:t>
      </w:r>
    </w:p>
    <w:p>
      <w:pPr>
        <w:spacing w:after="0" w:line="4" w:lineRule="exact"/>
        <w:rPr>
          <w:sz w:val="20"/>
          <w:szCs w:val="20"/>
          <w:color w:val="auto"/>
        </w:rPr>
      </w:pPr>
    </w:p>
    <w:p>
      <w:pPr>
        <w:jc w:val="both"/>
        <w:ind w:firstLine="8"/>
        <w:spacing w:after="0" w:line="250" w:lineRule="auto"/>
        <w:tabs>
          <w:tab w:leader="none" w:pos="352"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intent of the parties hereto that this Agreement not constitute a novation of the obligations and liabilities of the parties under the Existing Guarantee and Collateral Agreement nor impair the liens and security interests created thereunder, but that this Agreement amend and restate in its entirety the Existing Guarantee and Collateral Agreement and re-evidence the obligations and liabilities of each Grantor outstanding thereunder and that such obligations and liabilities shall remain in full force and effect and to the fullest extent permitted by applicable law this Agreement shall not adversely affect the liens and security interests created under the Original Security Agreement or the priority thereof.</w:t>
      </w:r>
    </w:p>
    <w:p>
      <w:pPr>
        <w:sectPr>
          <w:pgSz w:w="11900" w:h="16838" w:orient="portrait"/>
          <w:cols w:equalWidth="0" w:num="1">
            <w:col w:w="11240"/>
          </w:cols>
          <w:pgMar w:left="320" w:top="369" w:right="339" w:bottom="1440" w:gutter="0" w:footer="0" w:header="0"/>
        </w:sectPr>
      </w:pPr>
    </w:p>
    <w:bookmarkStart w:id="253" w:name="page254"/>
    <w:bookmarkEnd w:id="253"/>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premises and to induce the Administrative Agent and the Lenders to enter into the Credit Agreement and to induce the Lenders to make their respective extensions of credit to the Company and each Subsidiary Borrower thereunder, each Grantor hereby agrees with the Administrative Agent, for the ratable benefit of the Secured Parties, as follows:</w:t>
      </w:r>
    </w:p>
    <w:p>
      <w:pPr>
        <w:spacing w:after="0" w:line="18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1.</w:t>
      </w:r>
      <w:r>
        <w:rPr>
          <w:sz w:val="20"/>
          <w:szCs w:val="20"/>
          <w:color w:val="auto"/>
        </w:rPr>
        <w:tab/>
      </w:r>
      <w:r>
        <w:rPr>
          <w:rFonts w:ascii="Times New Roman" w:cs="Times New Roman" w:eastAsia="Times New Roman" w:hAnsi="Times New Roman"/>
          <w:sz w:val="19"/>
          <w:szCs w:val="19"/>
          <w:color w:val="auto"/>
        </w:rPr>
        <w:t>DEFINED TERMS</w:t>
      </w:r>
    </w:p>
    <w:p>
      <w:pPr>
        <w:spacing w:after="0" w:line="21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Definitions</w:t>
      </w:r>
    </w:p>
    <w:p>
      <w:pPr>
        <w:spacing w:after="0" w:line="229" w:lineRule="exact"/>
        <w:rPr>
          <w:sz w:val="20"/>
          <w:szCs w:val="20"/>
          <w:color w:val="auto"/>
        </w:rPr>
      </w:pPr>
    </w:p>
    <w:p>
      <w:pPr>
        <w:jc w:val="both"/>
        <w:ind w:firstLine="1304"/>
        <w:spacing w:after="0" w:line="261" w:lineRule="auto"/>
        <w:tabs>
          <w:tab w:leader="none" w:pos="1731"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 and the following terms are used herein as defined in the New York UCC: Accounts, Certificated Security, Chattel Paper, Equipment, Inventory, Instruments and Supporting Obligations.</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terms shall have the following meanings: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After-Acquired Intellectual Property</w:t>
      </w:r>
      <w:r>
        <w:rPr>
          <w:rFonts w:ascii="Times New Roman" w:cs="Times New Roman" w:eastAsia="Times New Roman" w:hAnsi="Times New Roman"/>
          <w:sz w:val="20"/>
          <w:szCs w:val="20"/>
          <w:color w:val="auto"/>
        </w:rPr>
        <w:t>”: as defined in Section 6.8(b).</w:t>
      </w:r>
    </w:p>
    <w:p>
      <w:pPr>
        <w:spacing w:after="0" w:line="256" w:lineRule="exact"/>
        <w:rPr>
          <w:sz w:val="20"/>
          <w:szCs w:val="20"/>
          <w:color w:val="auto"/>
        </w:rPr>
      </w:pPr>
    </w:p>
    <w:p>
      <w:pPr>
        <w:jc w:val="both"/>
        <w:ind w:left="6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this Seventh Amended and Restated Guarantee and Collateral Agreement, as the same may be amended, supplemented or otherwise modified from time to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as defined in Section 4.</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Licenses</w:t>
      </w:r>
      <w:r>
        <w:rPr>
          <w:rFonts w:ascii="Times New Roman" w:cs="Times New Roman" w:eastAsia="Times New Roman" w:hAnsi="Times New Roman"/>
          <w:sz w:val="20"/>
          <w:szCs w:val="20"/>
          <w:color w:val="auto"/>
        </w:rPr>
        <w:t>”: all agreements, licenses and covenants providing for the grant to or from a Grantor of a license or other right to use or exploit any Copyright or otherwise providing for a covenant not to sue for infringement or other violation of any Copyright.</w:t>
      </w:r>
    </w:p>
    <w:p>
      <w:pPr>
        <w:spacing w:after="0" w:line="181"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Copyrights</w:t>
      </w:r>
      <w:r>
        <w:rPr>
          <w:rFonts w:ascii="Times New Roman" w:cs="Times New Roman" w:eastAsia="Times New Roman" w:hAnsi="Times New Roman"/>
          <w:sz w:val="19"/>
          <w:szCs w:val="19"/>
          <w:color w:val="auto"/>
        </w:rPr>
        <w:t xml:space="preserve">”: with respect to any Grantor, all of such Grantor’s right, title and interest in and to all works of authorship and all intellectual property rights therein, all copyrights (whether or not the underlying works of authorship have been published), including but not limited to copyrights in software and databases, all designs (including but not limited to all industrial designs, “Protected Designs” within the meaning of 17 U.S.C. 1301 et. Seq. and Community designs), and all “Mask Works” (as defined in 17 U.S.C. 901 of the U.S. Copyright Act), whether registered or unregistered, and with respect to any and all of the foregoing: (i) all registrations and applications for registration thereof including, without limitation, the registrations and applications in the United States Copyright Office listed on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(ii) all extensions, renewals, and restorations thereof, (iii) all rights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but excluding any Excluded IP.</w:t>
      </w:r>
    </w:p>
    <w:p>
      <w:pPr>
        <w:spacing w:after="0" w:line="16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IP</w:t>
      </w:r>
      <w:r>
        <w:rPr>
          <w:rFonts w:ascii="Times New Roman" w:cs="Times New Roman" w:eastAsia="Times New Roman" w:hAnsi="Times New Roman"/>
          <w:sz w:val="20"/>
          <w:szCs w:val="20"/>
          <w:color w:val="auto"/>
        </w:rPr>
        <w:t xml:space="preserve">”: (i) [reserved], (ii) the Intellectual Property listed on </w:t>
      </w:r>
      <w:r>
        <w:rPr>
          <w:rFonts w:ascii="Times New Roman" w:cs="Times New Roman" w:eastAsia="Times New Roman" w:hAnsi="Times New Roman"/>
          <w:sz w:val="20"/>
          <w:szCs w:val="20"/>
          <w:u w:val="single" w:color="auto"/>
          <w:color w:val="auto"/>
        </w:rPr>
        <w:t>Schedule 8</w:t>
      </w:r>
      <w:r>
        <w:rPr>
          <w:rFonts w:ascii="Times New Roman" w:cs="Times New Roman" w:eastAsia="Times New Roman" w:hAnsi="Times New Roman"/>
          <w:sz w:val="20"/>
          <w:szCs w:val="20"/>
          <w:color w:val="auto"/>
        </w:rPr>
        <w:t>, (iii) any foreign Intellectual Property, (iv) any “intent-to-use” application for registration of a Trademark filed pursuant to Section 1(b) of the Lanham Act, 15 U.S.C. § 1051, prior to the filing and acceptance of a “Statement of Use” or an “Amendment to Allege Use”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(v) any Intellectual Property</w:t>
      </w:r>
    </w:p>
    <w:p>
      <w:pPr>
        <w:sectPr>
          <w:pgSz w:w="11900" w:h="16838" w:orient="portrait"/>
          <w:cols w:equalWidth="0" w:num="1">
            <w:col w:w="11240"/>
          </w:cols>
          <w:pgMar w:left="320" w:top="369"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20"/>
        <w:spacing w:after="0" w:line="283" w:lineRule="auto"/>
        <w:rPr>
          <w:sz w:val="20"/>
          <w:szCs w:val="20"/>
          <w:color w:val="auto"/>
        </w:rPr>
      </w:pPr>
      <w:r>
        <w:rPr>
          <w:rFonts w:ascii="Times New Roman" w:cs="Times New Roman" w:eastAsia="Times New Roman" w:hAnsi="Times New Roman"/>
          <w:sz w:val="20"/>
          <w:szCs w:val="20"/>
          <w:color w:val="auto"/>
        </w:rPr>
        <w:t>to the extent that, and for so long as, such Intellectual Property is excluded as Collateral pursuant to the penultimate paragraph of Section 4.</w:t>
      </w:r>
    </w:p>
    <w:p>
      <w:pPr>
        <w:spacing w:after="0" w:line="146" w:lineRule="exact"/>
        <w:rPr>
          <w:sz w:val="20"/>
          <w:szCs w:val="20"/>
          <w:color w:val="auto"/>
        </w:rPr>
      </w:pPr>
    </w:p>
    <w:p>
      <w:pPr>
        <w:jc w:val="both"/>
        <w:ind w:left="220"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any Subsidiary organized under the laws of any jurisdiction outside the United States of America, except for any such Subsidiary which is a “check-the-box” entity under Regulation section 301.7701-3 of the Code.</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Voting Stock</w:t>
      </w:r>
      <w:r>
        <w:rPr>
          <w:rFonts w:ascii="Times New Roman" w:cs="Times New Roman" w:eastAsia="Times New Roman" w:hAnsi="Times New Roman"/>
          <w:sz w:val="20"/>
          <w:szCs w:val="20"/>
          <w:color w:val="auto"/>
        </w:rPr>
        <w:t>”: the voting Capital Stock of any Foreign Subsidiary.</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Full Security Period</w:t>
      </w:r>
      <w:r>
        <w:rPr>
          <w:rFonts w:ascii="Times New Roman" w:cs="Times New Roman" w:eastAsia="Times New Roman" w:hAnsi="Times New Roman"/>
          <w:sz w:val="20"/>
          <w:szCs w:val="20"/>
          <w:color w:val="auto"/>
        </w:rPr>
        <w:t>”: any period from and after the Effective Date other than any Unsecured Period.</w:t>
      </w:r>
    </w:p>
    <w:p>
      <w:pPr>
        <w:spacing w:after="0" w:line="229" w:lineRule="exact"/>
        <w:rPr>
          <w:sz w:val="20"/>
          <w:szCs w:val="20"/>
          <w:color w:val="auto"/>
        </w:rPr>
      </w:pPr>
    </w:p>
    <w:p>
      <w:pPr>
        <w:jc w:val="both"/>
        <w:ind w:left="2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the collective reference to each Grantor other than the Company. For the avoidance of doubt, notwithstanding any other provision of this Agreement, the parties hereto expressly agree that no Foreign Subsidiary shall be a Guarantor.</w:t>
      </w:r>
    </w:p>
    <w:p>
      <w:pPr>
        <w:spacing w:after="0" w:line="151" w:lineRule="exact"/>
        <w:rPr>
          <w:sz w:val="20"/>
          <w:szCs w:val="20"/>
          <w:color w:val="auto"/>
        </w:rPr>
      </w:pPr>
    </w:p>
    <w:p>
      <w:pPr>
        <w:jc w:val="both"/>
        <w:ind w:left="2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with respect to any Grantor, the collective reference to all rights, priorities and privileges relating to intellectual property, including, without limitation, Copyrights, Copyright Licenses, Patents, Patent Licenses, Trademarks, Trademark Licenses, Trade Secrets and Trade Secret Licenses, and all rights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 but excluding any Excluded IP.</w:t>
      </w:r>
    </w:p>
    <w:p>
      <w:pPr>
        <w:spacing w:after="0" w:line="206" w:lineRule="exact"/>
        <w:rPr>
          <w:sz w:val="20"/>
          <w:szCs w:val="20"/>
          <w:color w:val="auto"/>
        </w:rPr>
      </w:pPr>
    </w:p>
    <w:p>
      <w:pPr>
        <w:jc w:val="both"/>
        <w:ind w:left="2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Security Agreements</w:t>
      </w:r>
      <w:r>
        <w:rPr>
          <w:rFonts w:ascii="Times New Roman" w:cs="Times New Roman" w:eastAsia="Times New Roman" w:hAnsi="Times New Roman"/>
          <w:sz w:val="20"/>
          <w:szCs w:val="20"/>
          <w:color w:val="auto"/>
        </w:rPr>
        <w:t>”: collectively, the Copyright Security Agreements, each substantially the form of Annex 2, the Patent Security Agreements, each substantially in the form of Annex 3 and the Trademark Security Agreements, each substantially in the form of Annex 4.</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Issuers</w:t>
      </w:r>
      <w:r>
        <w:rPr>
          <w:rFonts w:ascii="Times New Roman" w:cs="Times New Roman" w:eastAsia="Times New Roman" w:hAnsi="Times New Roman"/>
          <w:sz w:val="20"/>
          <w:szCs w:val="20"/>
          <w:color w:val="auto"/>
        </w:rPr>
        <w:t>”: the collective reference to each issuer of any Pledged Stock.</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has the meaning provided in the Credit Agreement.</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York UCC</w:t>
      </w:r>
      <w:r>
        <w:rPr>
          <w:rFonts w:ascii="Times New Roman" w:cs="Times New Roman" w:eastAsia="Times New Roman" w:hAnsi="Times New Roman"/>
          <w:sz w:val="20"/>
          <w:szCs w:val="20"/>
          <w:color w:val="auto"/>
        </w:rPr>
        <w:t>”: the Uniform Commercial Code as from time to time in effect in the State of New York.</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has the meaning provided in the Credit Agreement.</w:t>
      </w:r>
    </w:p>
    <w:p>
      <w:pPr>
        <w:spacing w:after="0" w:line="216" w:lineRule="exact"/>
        <w:rPr>
          <w:sz w:val="20"/>
          <w:szCs w:val="20"/>
          <w:color w:val="auto"/>
        </w:rPr>
      </w:pPr>
    </w:p>
    <w:p>
      <w:pPr>
        <w:jc w:val="both"/>
        <w:ind w:left="2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Licenses</w:t>
      </w:r>
      <w:r>
        <w:rPr>
          <w:rFonts w:ascii="Times New Roman" w:cs="Times New Roman" w:eastAsia="Times New Roman" w:hAnsi="Times New Roman"/>
          <w:sz w:val="20"/>
          <w:szCs w:val="20"/>
          <w:color w:val="auto"/>
        </w:rPr>
        <w:t>”: all agreements, licenses and covenants providing for the grant to or from a Grantor of a license or other right to use or exploit any Patent or otherwise providing for a covenant not to sue for infringement or other violation of any Patent.</w:t>
      </w:r>
    </w:p>
    <w:p>
      <w:pPr>
        <w:spacing w:after="0" w:line="187" w:lineRule="exact"/>
        <w:rPr>
          <w:sz w:val="20"/>
          <w:szCs w:val="20"/>
          <w:color w:val="auto"/>
        </w:rPr>
      </w:pPr>
    </w:p>
    <w:p>
      <w:pPr>
        <w:jc w:val="both"/>
        <w:ind w:left="2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xml:space="preserve">”: with respect to any Grantor, all of such Grantor’s right, title and interest in and to all patentable inventions and designs, all patents, certificates of invention, and similar industrial property rights, and applications for any of the foregoing, including, without limitation, (i) each patent and patent application in the United States Patent and Trademark Office listed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(ii) all reissues, substitutes, divisions, continuations, continuations-in-part, extensions, renewals, and reexaminations thereof, (iii) all inventions and improvements described and claimed therein, (iv) all rights to sue or otherwise recover for any past, present and future</w:t>
      </w:r>
    </w:p>
    <w:p>
      <w:pPr>
        <w:sectPr>
          <w:pgSz w:w="11900" w:h="16838" w:orient="portrait"/>
          <w:cols w:equalWidth="0" w:num="1">
            <w:col w:w="10800"/>
          </w:cols>
          <w:pgMar w:left="760" w:top="369"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20"/>
        <w:spacing w:after="0" w:line="261" w:lineRule="auto"/>
        <w:rPr>
          <w:sz w:val="20"/>
          <w:szCs w:val="20"/>
          <w:color w:val="auto"/>
        </w:rPr>
      </w:pPr>
      <w:r>
        <w:rPr>
          <w:rFonts w:ascii="Times New Roman" w:cs="Times New Roman" w:eastAsia="Times New Roman" w:hAnsi="Times New Roman"/>
          <w:sz w:val="20"/>
          <w:szCs w:val="20"/>
          <w:color w:val="auto"/>
        </w:rPr>
        <w:t>infringement or other violation thereof, (v) all Proceeds of the foregoing, including, without limitation, license fees, royalties, income, payments, claims, damages, proceeds of suit and other payments now or hereafter due and/or payable with respect thereto, and (vi) all other rights accruing thereunder or pertaining thereto; but excluding any Excluded IP.</w:t>
      </w:r>
    </w:p>
    <w:p>
      <w:pPr>
        <w:spacing w:after="0" w:line="208" w:lineRule="exact"/>
        <w:rPr>
          <w:sz w:val="20"/>
          <w:szCs w:val="20"/>
          <w:color w:val="auto"/>
        </w:rPr>
      </w:pPr>
    </w:p>
    <w:p>
      <w:pPr>
        <w:jc w:val="both"/>
        <w:ind w:left="2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Note</w:t>
      </w:r>
      <w:r>
        <w:rPr>
          <w:rFonts w:ascii="Times New Roman" w:cs="Times New Roman" w:eastAsia="Times New Roman" w:hAnsi="Times New Roman"/>
          <w:sz w:val="20"/>
          <w:szCs w:val="20"/>
          <w:color w:val="auto"/>
        </w:rPr>
        <w:t xml:space="preserve">”: that certain promissory note described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and shall include, without limitation, (i) the indebtedness now or hereafter represented thereby and all rights of any Grantor to receive moneys due and to become due to it thereunder or in connection therewith, (ii) all rights of any Grantor to receive proceeds of any insurance, indemnity, warranty or guaranty with respect thereto, (iii) all rights of any Grantor to damages arising thereunder, and (iv) all rights of any Grantor to terminate and to perform, compel performance and to exercise all remedies thereunder.</w:t>
      </w:r>
    </w:p>
    <w:p>
      <w:pPr>
        <w:spacing w:after="0" w:line="219" w:lineRule="exact"/>
        <w:rPr>
          <w:sz w:val="20"/>
          <w:szCs w:val="20"/>
          <w:color w:val="auto"/>
        </w:rPr>
      </w:pPr>
    </w:p>
    <w:p>
      <w:pPr>
        <w:jc w:val="both"/>
        <w:ind w:left="2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Stock</w:t>
      </w:r>
      <w:r>
        <w:rPr>
          <w:rFonts w:ascii="Times New Roman" w:cs="Times New Roman" w:eastAsia="Times New Roman" w:hAnsi="Times New Roman"/>
          <w:sz w:val="20"/>
          <w:szCs w:val="20"/>
          <w:color w:val="auto"/>
        </w:rPr>
        <w:t xml:space="preserve">”: the shares of Capital Stock listed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together with any other shares, stock certificates, options or rights of any nature whatsoever in respect of the Capital Stock of any Subsidiary of the Company (to the extent required to be pledged under Section 5.11 of the Credit Agreement) that may be issued or granted to, or held by, any Grantor while this Agreement is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“Pledged Stock” include the Capital Stock of any of the Subsidiaries listed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or more than 65% of the total outstanding Foreign Subsidiary Voting Stock of any Foreign Subsidiary be required to be pledged hereunder.</w:t>
      </w:r>
    </w:p>
    <w:p>
      <w:pPr>
        <w:spacing w:after="0" w:line="179" w:lineRule="exact"/>
        <w:rPr>
          <w:sz w:val="20"/>
          <w:szCs w:val="20"/>
          <w:color w:val="auto"/>
        </w:rPr>
      </w:pPr>
    </w:p>
    <w:p>
      <w:pPr>
        <w:jc w:val="both"/>
        <w:ind w:left="2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all “proceeds” as such term is defined in Section 9-102(a)(64) of the New York UCC and, in any event, shall include, without limitation, all dividends, distributions or other income from the Pledged Stock and the Pledged Note, collections thereon or distributions or payments with respect thereto.</w:t>
      </w:r>
    </w:p>
    <w:p>
      <w:pPr>
        <w:spacing w:after="0" w:line="161" w:lineRule="exact"/>
        <w:rPr>
          <w:sz w:val="20"/>
          <w:szCs w:val="20"/>
          <w:color w:val="auto"/>
        </w:rPr>
      </w:pPr>
    </w:p>
    <w:p>
      <w:pPr>
        <w:jc w:val="both"/>
        <w:ind w:left="220"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Keepwell Provider</w:t>
      </w:r>
      <w:r>
        <w:rPr>
          <w:rFonts w:ascii="Times New Roman" w:cs="Times New Roman" w:eastAsia="Times New Roman" w:hAnsi="Times New Roman"/>
          <w:sz w:val="19"/>
          <w:szCs w:val="19"/>
          <w:color w:val="auto"/>
        </w:rPr>
        <w:t>”: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pursuant to section 1a(18)(A)(v)(II) of the Commodity Exchange Act.”</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Release Date</w:t>
      </w:r>
      <w:r>
        <w:rPr>
          <w:rFonts w:ascii="Times New Roman" w:cs="Times New Roman" w:eastAsia="Times New Roman" w:hAnsi="Times New Roman"/>
          <w:sz w:val="20"/>
          <w:szCs w:val="20"/>
          <w:color w:val="auto"/>
        </w:rPr>
        <w:t>”: as defined in Section 9.15(c).</w:t>
      </w:r>
    </w:p>
    <w:p>
      <w:pPr>
        <w:spacing w:after="0" w:line="229" w:lineRule="exact"/>
        <w:rPr>
          <w:sz w:val="20"/>
          <w:szCs w:val="20"/>
          <w:color w:val="auto"/>
        </w:rPr>
      </w:pPr>
    </w:p>
    <w:p>
      <w:pPr>
        <w:jc w:val="both"/>
        <w:ind w:left="2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w:t>
      </w:r>
      <w:r>
        <w:rPr>
          <w:rFonts w:ascii="Times New Roman" w:cs="Times New Roman" w:eastAsia="Times New Roman" w:hAnsi="Times New Roman"/>
          <w:sz w:val="20"/>
          <w:szCs w:val="20"/>
          <w:color w:val="auto"/>
        </w:rPr>
        <w:t>”: shall mean any Account and any other right to payment for goods sold or leased or for services rendered, whether or not such right is evidenced by an Instrument or Chattel Paper and whether or not it has been earned by performance, other than Sold Receivables Assets.</w:t>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has the meaning provided in the Credit Agreement.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Securities Act of 1933, as amended.</w:t>
      </w:r>
    </w:p>
    <w:p>
      <w:pPr>
        <w:spacing w:after="0" w:line="229" w:lineRule="exact"/>
        <w:rPr>
          <w:sz w:val="20"/>
          <w:szCs w:val="20"/>
          <w:color w:val="auto"/>
        </w:rPr>
      </w:pPr>
    </w:p>
    <w:p>
      <w:pPr>
        <w:jc w:val="both"/>
        <w:ind w:left="2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Conditions</w:t>
      </w:r>
      <w:r>
        <w:rPr>
          <w:rFonts w:ascii="Times New Roman" w:cs="Times New Roman" w:eastAsia="Times New Roman" w:hAnsi="Times New Roman"/>
          <w:sz w:val="20"/>
          <w:szCs w:val="20"/>
          <w:color w:val="auto"/>
        </w:rPr>
        <w:t>” means, at any time of determination thereof, (a) no Incremental Term Loans in the form of an institutional term loan B facility have been issued and are outstanding pursuant to Section 2.20 of the Credit Agreement and (b) (i) the Company’s “corporate credit rating” from S&amp;P (or such other term as S&amp;P may from time to time use to describe the Company’s senior unsecured non-credit enhanced long term indebtedness, such</w:t>
      </w:r>
    </w:p>
    <w:p>
      <w:pPr>
        <w:sectPr>
          <w:pgSz w:w="11900" w:h="16838" w:orient="portrait"/>
          <w:cols w:equalWidth="0" w:num="1">
            <w:col w:w="10800"/>
          </w:cols>
          <w:pgMar w:left="760" w:top="369"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20"/>
        <w:spacing w:after="0" w:line="253" w:lineRule="auto"/>
        <w:rPr>
          <w:sz w:val="20"/>
          <w:szCs w:val="20"/>
          <w:color w:val="auto"/>
        </w:rPr>
      </w:pPr>
      <w:r>
        <w:rPr>
          <w:rFonts w:ascii="Times New Roman" w:cs="Times New Roman" w:eastAsia="Times New Roman" w:hAnsi="Times New Roman"/>
          <w:sz w:val="20"/>
          <w:szCs w:val="20"/>
          <w:color w:val="auto"/>
        </w:rPr>
        <w:t>rating, the “</w:t>
      </w:r>
      <w:r>
        <w:rPr>
          <w:rFonts w:ascii="Times New Roman" w:cs="Times New Roman" w:eastAsia="Times New Roman" w:hAnsi="Times New Roman"/>
          <w:sz w:val="20"/>
          <w:szCs w:val="20"/>
          <w:u w:val="single" w:color="auto"/>
          <w:color w:val="auto"/>
        </w:rPr>
        <w:t>S&amp;P Rating</w:t>
      </w:r>
      <w:r>
        <w:rPr>
          <w:rFonts w:ascii="Times New Roman" w:cs="Times New Roman" w:eastAsia="Times New Roman" w:hAnsi="Times New Roman"/>
          <w:sz w:val="20"/>
          <w:szCs w:val="20"/>
          <w:color w:val="auto"/>
        </w:rPr>
        <w:t>”) shall be at least BBB- (with a stable outlook) and the Company’s “corporate family rating” from Moody’s (or such other term as Moody’s may from time to time use to describe the Company’s senior unsecured non-credit enhanced long term indebtedness, such rating, the “</w:t>
      </w:r>
      <w:r>
        <w:rPr>
          <w:rFonts w:ascii="Times New Roman" w:cs="Times New Roman" w:eastAsia="Times New Roman" w:hAnsi="Times New Roman"/>
          <w:sz w:val="20"/>
          <w:szCs w:val="20"/>
          <w:u w:val="single" w:color="auto"/>
          <w:color w:val="auto"/>
        </w:rPr>
        <w:t>Moody’s Rating</w:t>
      </w:r>
      <w:r>
        <w:rPr>
          <w:rFonts w:ascii="Times New Roman" w:cs="Times New Roman" w:eastAsia="Times New Roman" w:hAnsi="Times New Roman"/>
          <w:sz w:val="20"/>
          <w:szCs w:val="20"/>
          <w:color w:val="auto"/>
        </w:rPr>
        <w:t>”) shall be at least Baa3 (with a stable outlook) or (ii) (x) the Company’s S&amp;P Rating shall be at least BBB- (with a stable outlook) or the Company’s Moody’s Rating shall be at least Baa3 (with a stable outlook) and (y) the Leverage Ratio is less than or equal to 2.50 to 1.00.</w:t>
      </w:r>
    </w:p>
    <w:p>
      <w:pPr>
        <w:spacing w:after="0" w:line="192" w:lineRule="exact"/>
        <w:rPr>
          <w:sz w:val="20"/>
          <w:szCs w:val="20"/>
          <w:color w:val="auto"/>
        </w:rPr>
      </w:pPr>
    </w:p>
    <w:p>
      <w:pPr>
        <w:ind w:left="220" w:right="1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shall mean any agreement, contract or transaction that constitutes a “swap” within the meaning of section 1a(47) of the Commodity Exchange Act.</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shall mean, with respect to any Person, any obligation to pay or perform under any Swap.</w:t>
      </w:r>
    </w:p>
    <w:p>
      <w:pPr>
        <w:spacing w:after="0" w:line="229" w:lineRule="exact"/>
        <w:rPr>
          <w:sz w:val="20"/>
          <w:szCs w:val="20"/>
          <w:color w:val="auto"/>
        </w:rPr>
      </w:pPr>
    </w:p>
    <w:p>
      <w:pPr>
        <w:jc w:val="both"/>
        <w:ind w:left="2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Licenses</w:t>
      </w:r>
      <w:r>
        <w:rPr>
          <w:rFonts w:ascii="Times New Roman" w:cs="Times New Roman" w:eastAsia="Times New Roman" w:hAnsi="Times New Roman"/>
          <w:sz w:val="20"/>
          <w:szCs w:val="20"/>
          <w:color w:val="auto"/>
        </w:rPr>
        <w:t xml:space="preserve">”: all agreements, licenses and covenants providing for the grant to or from a Grantor of a license or other right to use or exploit any Trademark or otherwise providing for a covenant not to sue for infringement, dilution, or other violation of any Trademark or permitting co-existence with respect to a Trademark (including, without limitation, those listed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left="22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 xml:space="preserve">”: with respect to any Grantor, all of such Grantor’s right, title and interest in and to all trademarks, service marks, trade names, corporate names, company names, business names, fictitious business names, trade dress, trade styles, logos, Internet domain names, other indicia of origin or source identification, and general intangibles of a like nature, whether registered or unregistered, and, with respect to any and all of the foregoing, (i) all registrations and applications for registration thereof including, without limitation, the registrations and applications listed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(ii) all extensions and renewals thereof, (iii) all of the goodwill of the business connected with the use of and symbolized by any of the foregoing, (iv) all rights to sue or otherwise recover for any past, present and future infringement, dilution, or other violation thereof, (v) all Proceeds of the foregoing, including, without limitation, license fees, royalties, income, payments, claims, damages, proceeds of suit and other payments now or hereafter due and/or payable with respect thereto, and (vi) all other rights of any kind accruing thereunder or pertaining thereto; but excluding any Excluded IP.</w:t>
      </w:r>
    </w:p>
    <w:p>
      <w:pPr>
        <w:spacing w:after="0" w:line="223" w:lineRule="exact"/>
        <w:rPr>
          <w:sz w:val="20"/>
          <w:szCs w:val="20"/>
          <w:color w:val="auto"/>
        </w:rPr>
      </w:pPr>
    </w:p>
    <w:p>
      <w:pPr>
        <w:jc w:val="both"/>
        <w:ind w:left="2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 Licenses</w:t>
      </w:r>
      <w:r>
        <w:rPr>
          <w:rFonts w:ascii="Times New Roman" w:cs="Times New Roman" w:eastAsia="Times New Roman" w:hAnsi="Times New Roman"/>
          <w:sz w:val="20"/>
          <w:szCs w:val="20"/>
          <w:color w:val="auto"/>
        </w:rPr>
        <w:t>”: all agreements, licenses and covenants providing for the grant to or from a Grantor of a license or other right to use or exploit any Trade Secret or otherwise providing for a covenant not to sue for misappropriation or other violation of a Trade Secret.</w:t>
      </w:r>
    </w:p>
    <w:p>
      <w:pPr>
        <w:spacing w:after="0" w:line="208" w:lineRule="exact"/>
        <w:rPr>
          <w:sz w:val="20"/>
          <w:szCs w:val="20"/>
          <w:color w:val="auto"/>
        </w:rPr>
      </w:pPr>
    </w:p>
    <w:p>
      <w:pPr>
        <w:jc w:val="both"/>
        <w:ind w:left="22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with respect to any Grantor, all of such Grantor’s right, title and interest in and to (i)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and with respect to any and all of the foregoing, (ii) all rights to sue or otherwise recover for any past, present and future misappropriation or other violation thereof, (iii) all Proceeds of the foregoing, including, without limitation, license fees, royalties, income, payments, claims, damages, proceeds of suit and other payments now or hereafter due and/or payable with respect thereto, and (iv) all other rights of any kind accruing thereunder or pertaining thereto; but excluding any Excluded IP.</w:t>
      </w:r>
    </w:p>
    <w:p>
      <w:pPr>
        <w:sectPr>
          <w:pgSz w:w="11900" w:h="16838" w:orient="portrait"/>
          <w:cols w:equalWidth="0" w:num="1">
            <w:col w:w="10800"/>
          </w:cols>
          <w:pgMar w:left="760" w:top="369" w:right="339" w:bottom="1440" w:gutter="0" w:footer="0" w:header="0"/>
        </w:sectPr>
      </w:pPr>
    </w:p>
    <w:bookmarkStart w:id="257" w:name="page258"/>
    <w:bookmarkEnd w:id="257"/>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Unsecured Period</w:t>
      </w:r>
      <w:r>
        <w:rPr>
          <w:rFonts w:ascii="Times New Roman" w:cs="Times New Roman" w:eastAsia="Times New Roman" w:hAnsi="Times New Roman"/>
          <w:sz w:val="20"/>
          <w:szCs w:val="20"/>
          <w:color w:val="auto"/>
        </w:rPr>
        <w:t>”: as defined in Section 9.15(c).</w:t>
      </w:r>
    </w:p>
    <w:p>
      <w:pPr>
        <w:spacing w:after="0" w:line="2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Definitional Provisions</w:t>
      </w:r>
      <w:r>
        <w:rPr>
          <w:rFonts w:ascii="Times New Roman" w:cs="Times New Roman" w:eastAsia="Times New Roman" w:hAnsi="Times New Roman"/>
          <w:sz w:val="20"/>
          <w:szCs w:val="20"/>
          <w:color w:val="auto"/>
        </w:rPr>
        <w:t xml:space="preserve">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68" w:lineRule="exact"/>
        <w:rPr>
          <w:sz w:val="20"/>
          <w:szCs w:val="20"/>
          <w:color w:val="auto"/>
        </w:rPr>
      </w:pPr>
    </w:p>
    <w:p>
      <w:pPr>
        <w:ind w:left="1780" w:hanging="476"/>
        <w:spacing w:after="0"/>
        <w:tabs>
          <w:tab w:leader="none" w:pos="178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w:t>
      </w:r>
    </w:p>
    <w:p>
      <w:pPr>
        <w:spacing w:after="0" w:line="214" w:lineRule="exact"/>
        <w:rPr>
          <w:sz w:val="20"/>
          <w:szCs w:val="20"/>
          <w:color w:val="auto"/>
        </w:rPr>
      </w:pPr>
    </w:p>
    <w:p>
      <w:pPr>
        <w:ind w:firstLine="1304"/>
        <w:spacing w:after="0" w:line="269" w:lineRule="auto"/>
        <w:tabs>
          <w:tab w:leader="none" w:pos="1723"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context requires, terms relating to the Collateral or any part thereof, when used in relation to a Grantor, shall refer to such Grantor’s Collateral or the relevant part thereof.</w:t>
      </w:r>
    </w:p>
    <w:p>
      <w:pPr>
        <w:spacing w:after="0" w:line="173"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2.</w:t>
      </w:r>
      <w:r>
        <w:rPr>
          <w:sz w:val="20"/>
          <w:szCs w:val="20"/>
          <w:color w:val="auto"/>
        </w:rPr>
        <w:tab/>
      </w:r>
      <w:r>
        <w:rPr>
          <w:rFonts w:ascii="Times New Roman" w:cs="Times New Roman" w:eastAsia="Times New Roman" w:hAnsi="Times New Roman"/>
          <w:sz w:val="19"/>
          <w:szCs w:val="19"/>
          <w:color w:val="auto"/>
        </w:rPr>
        <w:t>BORROWER GUARANTEE</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Company Guarantee</w:t>
      </w:r>
      <w:r>
        <w:rPr>
          <w:rFonts w:ascii="Times New Roman" w:cs="Times New Roman" w:eastAsia="Times New Roman" w:hAnsi="Times New Roman"/>
          <w:sz w:val="20"/>
          <w:szCs w:val="20"/>
          <w:color w:val="auto"/>
        </w:rPr>
        <w:t xml:space="preserve"> (a) The Company hereby, unconditionally and irrevocably, guarantees to the Administrative Agent, for the ratable benefit of the Secured Parties and their respective successors, indorsees, transferees and assigns, the prompt and complete payment and performance by each Subsidiary when due (whether at the stated maturity, by acceleration or otherwise) of the Obligations (other than with respect to any Guarantor any Excluded Swap Obligations of such Guarantor).</w:t>
      </w:r>
    </w:p>
    <w:p>
      <w:pPr>
        <w:spacing w:after="0" w:line="186" w:lineRule="exact"/>
        <w:rPr>
          <w:sz w:val="20"/>
          <w:szCs w:val="20"/>
          <w:color w:val="auto"/>
        </w:rPr>
      </w:pPr>
    </w:p>
    <w:p>
      <w:pPr>
        <w:jc w:val="both"/>
        <w:ind w:firstLine="1304"/>
        <w:spacing w:after="0" w:line="261" w:lineRule="auto"/>
        <w:tabs>
          <w:tab w:leader="none" w:pos="1873"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or in any other Loan Document to the contrary notwithstanding, the maximum liability of the Company hereunder and under the other Loan Documents shall in no event exceed the amount which can be guaranteed by the Company under applicable federal and state laws relating to the insolvency of debtors.</w:t>
      </w:r>
    </w:p>
    <w:p>
      <w:pPr>
        <w:spacing w:after="0" w:line="18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858"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in this Section 2 shall remain in full force and effect until all the Obligations and the obligations of the Company under the guarantee contained in this Section 2 shall have been satisfied by payment in full, no Letter of Credit shall be outstanding and the Commitments and Loans shall be terminated, notwithstanding that from time to time during the term of the Credit Agreement each applicable Subsidiary may be free from any Obligations.</w:t>
      </w:r>
    </w:p>
    <w:p>
      <w:pPr>
        <w:spacing w:after="0" w:line="187"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48"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made by any Subsidiary, any of the other Guarantors, any other guarantor or any other Person or received or collected by the Administrative Agent or any Lender from any Subsidiary, any of the other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the Company hereunder which shall, notwithstanding any such payment (other than any payment made by the Company in respect of the Obligations or any payment received or collected from the Company in respect of the Obligations), remain liable for the Obligations up to the maximum liability of the Company hereunder until the Obligations are paid in full, no Letter of Credit shall be outstanding and the Commitments and Loans are terminated.</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No Subrogation</w:t>
      </w:r>
      <w:r>
        <w:rPr>
          <w:rFonts w:ascii="Times New Roman" w:cs="Times New Roman" w:eastAsia="Times New Roman" w:hAnsi="Times New Roman"/>
          <w:sz w:val="20"/>
          <w:szCs w:val="20"/>
          <w:color w:val="auto"/>
        </w:rPr>
        <w:t>. Notwithstanding any payment or payments made by the Company hereunder, or any set-off or application of funds of the Company by the Administrative Agent or any Lender, the Company shall not be entitled to be subrogated to any of the rights of the Administrative Agent or any Lender against the applicable Subsidiary or against any collateral security or</w:t>
      </w:r>
    </w:p>
    <w:p>
      <w:pPr>
        <w:sectPr>
          <w:pgSz w:w="11900" w:h="16838" w:orient="portrait"/>
          <w:cols w:equalWidth="0" w:num="1">
            <w:col w:w="11240"/>
          </w:cols>
          <w:pgMar w:left="320" w:top="369" w:right="339" w:bottom="1440" w:gutter="0" w:footer="0" w:header="0"/>
        </w:sectPr>
      </w:pPr>
    </w:p>
    <w:bookmarkStart w:id="258" w:name="page259"/>
    <w:bookmarkEnd w:id="258"/>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guarantee or right of offset held by the Administrative Agent or any Lender for the payment of the Obligations, nor shall the Company seek or be entitled to seek any contribution or reimbursement from the Subsidiaries in respect of payments made by the Company hereunder, until all amounts owing to the Administrative Agent and the Lenders by the Subsidiaries on account of the Obligations are paid in full, no Letter of Credit shall be outstanding and the Commitments and Loans are terminated. If any amount shall be paid to the Company on account of such subrogation rights at any time when all of the Obligations shall not have been paid in full, such amount shall be held by the Company in trust for the Administrative Agent and the Lenders, segregated from other funds of the Company, and shall, forthwith upon receipt by the Company, be turned over to the Administrative Agent in the exact form received by the Company (duly indorsed by the Company to the Administrative Agent, if required), to be applied against the Obligations, whether matured or unmatured, in such order as the Administrative Agent may determine.</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Amendments, Etc. with respect to the Obligations</w:t>
      </w:r>
      <w:r>
        <w:rPr>
          <w:rFonts w:ascii="Times New Roman" w:cs="Times New Roman" w:eastAsia="Times New Roman" w:hAnsi="Times New Roman"/>
          <w:sz w:val="20"/>
          <w:szCs w:val="20"/>
          <w:color w:val="auto"/>
        </w:rPr>
        <w:t>. The Company shall remain obligated hereunder notwithstanding that, without any reservation of rights against the Company and without notice to or further assent by the Company, any demand for payment of any of the Obligations made by the Administrative Agent or any Lender may be rescinded by the Administrative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by it as security for the Obligations or for the guarantee contained in this Section 2 or any property subject thereto.</w:t>
      </w:r>
    </w:p>
    <w:p>
      <w:pPr>
        <w:spacing w:after="0" w:line="17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2.4. </w:t>
      </w:r>
      <w:r>
        <w:rPr>
          <w:rFonts w:ascii="Times New Roman" w:cs="Times New Roman" w:eastAsia="Times New Roman" w:hAnsi="Times New Roman"/>
          <w:sz w:val="19"/>
          <w:szCs w:val="19"/>
          <w:u w:val="single" w:color="auto"/>
          <w:color w:val="auto"/>
        </w:rPr>
        <w:t>Guarantee Absolute and Unconditional</w:t>
      </w:r>
      <w:r>
        <w:rPr>
          <w:rFonts w:ascii="Times New Roman" w:cs="Times New Roman" w:eastAsia="Times New Roman" w:hAnsi="Times New Roman"/>
          <w:sz w:val="19"/>
          <w:szCs w:val="19"/>
          <w:color w:val="auto"/>
        </w:rPr>
        <w:t>. The Company waives any and all notice of the creation, renewal, extension or accrual of any of the Obligations and notice of or proof of reliance by the Administrative Agent or any Lender upon the guarantee contained in this Section 2 or acceptance of the guarantee contained in this Section 2; the Obligations, and any of them, shall conclusively be deemed to have been created, contracted or incurred, or renewed, extended, amended or waived, in reliance upon the guarantee contained in this Section 2; and all dealings between the Company and the Subsidiaries, on the one hand, and the Administrative Agent and the Lenders, on the other hand, likewise shall be conclusively presumed to have been had or consummated in reliance upon the guarantee contained in this Section 2. The Company waives diligence, presentment, protest, demand for payment and notice of default or nonpayment to or upon the Company or the applicable Subsidiary with respect to the Obligations. The Company understands and agrees that the guarantee contained in this Section 2 shall be construed as a continuing, absolute and unconditional guarantee of payment without regard to (a) the validity or enforceability of the Credit Agreement or any other Loan Document, any of the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or any other Person against the Administrative Agent or any Lender, or (c) any other circumstance whatsoever (with or without notice to or knowledge of the Company or any Subsidiary) which constitutes, or might be construed to constitute, an equitable or legal discharge of the</w:t>
      </w:r>
    </w:p>
    <w:p>
      <w:pPr>
        <w:sectPr>
          <w:pgSz w:w="11900" w:h="16838" w:orient="portrait"/>
          <w:cols w:equalWidth="0" w:num="1">
            <w:col w:w="11240"/>
          </w:cols>
          <w:pgMar w:left="320" w:top="369" w:right="339" w:bottom="1440" w:gutter="0" w:footer="0" w:header="0"/>
        </w:sectPr>
      </w:pPr>
    </w:p>
    <w:bookmarkStart w:id="259" w:name="page260"/>
    <w:bookmarkEnd w:id="259"/>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Subsidiaries for the Obligations, or of the Company under the guarantee contained in this Section 2, in bankruptcy or in any other instance. When making any demand hereunder or otherwise pursuing its rights and remedies hereunder against the Company, the Administrative Agent or any Lender may, but shall be under no obligation to, make a similar demand on or otherwise pursue such rights and remedies as it may have against the Subsidiaries or any other Person or against any collateral security or guarantee for the Obligations or any right of offset with respect thereto, and any failure by the Administrative Agent or any Lender to make any such demand, to pursue such other rights or remedies or to collect any payments from the Company, any Subsidiary, or any other Person or to realize upon any such collateral security or guarantee or to exercise any such right of offset, or any release of the Company, any Subsidiary or any other Person or any such collateral security, guarantee or right of offset, shall not relieve the Company of any obligation or liability hereunder, and shall not impair or affect the rights and remedies, whether express, implied or available as a matter of law, of the Administrative Agent or any Lender against the Company. For the purposes hereof, “demand” shall include the commencement and continuance of any legal proceedings.</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The guarantee contained in this Section 2 shall continue to be effective, or be reinstated, as the case may be, if at any time payment, or any part thereof, of any of the Obligations is rescinded or must otherwise be restored or returned by the Administrative Agent or any Lender upon the insolvency, bankruptcy, dissolution, liquidation or reorganization of the Company, any Borrower or any other Guarantor, or upon or as a result of the appointment of a receiver, intervenor or conservator of, or trustee or similar officer for, the Company, any Borrower or any other Guarantor or any substantial part of its property, or otherwise, all as though such payments had not been made.</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The Company hereby guarantees that payments hereunder will be paid to the Administrative Agent without set-off or counterclaim in the applicable Agreed Currency at the office of the Administrative Agent located at 500 Stanton Christiana Road, NCC5, Floor 01, Newark, Delaware 19713-2107 or at such other place and time specified by the Administrative Agent.</w:t>
      </w:r>
    </w:p>
    <w:p>
      <w:pPr>
        <w:spacing w:after="0" w:line="16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 Each Qualified Keepwell Provider hereby jointly and severally absolutely, unconditionally, and irrevocably undertakes to provide such funds or other support as may be needed from time to time by each other Loan Party to honor all of its obligations under this guarantee in respect of any Swap Obligation (provided, however, that each Qualified Keepwell Provider shall only be liable under this Section 2.7 for the maximum amount of such liability that can be hereby incurred without rendering its obligations under this Section 2.7, or otherwise under this guarantee, voidable under applicable law relating to fraudulent conveyance or fraudulent transfer, and not for any greater amount). The obligations of each Qualified Keepwell Provider under this Section 2.7 shall remain in full force and effect until such time as the Loans, the Reimbursement Obligations and the other Obligations shall have been paid in full (other than unasserted contingent obligations not yet due and payable), the Commitments have been terminated and no Letters of Credit shall be outstanding. Each Qualified Keepwell Provider intends that this Section 2.7 constitute, and this Section 2.7 shall be deemed to constitute, a “keepwell, support, or other agreement” for the benefit of each other Loan Party for all purposes of section 1a(18)(A)(v)(II) of the Commodity Exchange Act.</w:t>
      </w:r>
    </w:p>
    <w:p>
      <w:pPr>
        <w:spacing w:after="0" w:line="17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3.</w:t>
      </w:r>
      <w:r>
        <w:rPr>
          <w:sz w:val="20"/>
          <w:szCs w:val="20"/>
          <w:color w:val="auto"/>
        </w:rPr>
        <w:tab/>
      </w:r>
      <w:r>
        <w:rPr>
          <w:rFonts w:ascii="Times New Roman" w:cs="Times New Roman" w:eastAsia="Times New Roman" w:hAnsi="Times New Roman"/>
          <w:sz w:val="19"/>
          <w:szCs w:val="19"/>
          <w:color w:val="auto"/>
        </w:rPr>
        <w:t>DOMESTIC SUBSIDIARY GUARANTEE</w:t>
      </w:r>
    </w:p>
    <w:p>
      <w:pPr>
        <w:spacing w:after="0" w:line="22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Domestic Subsidiary Guarantee</w:t>
      </w:r>
    </w:p>
    <w:p>
      <w:pPr>
        <w:spacing w:after="0" w:line="216" w:lineRule="exact"/>
        <w:rPr>
          <w:sz w:val="20"/>
          <w:szCs w:val="20"/>
          <w:color w:val="auto"/>
        </w:rPr>
      </w:pPr>
    </w:p>
    <w:p>
      <w:pPr>
        <w:ind w:firstLine="1304"/>
        <w:spacing w:after="0" w:line="283" w:lineRule="auto"/>
        <w:tabs>
          <w:tab w:leader="none" w:pos="174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Guarantors hereby, jointly and severally, unconditionally and irrevocably, guarantees to the Administrative Agent, for the ratable benefit of the Secured Parties and</w:t>
      </w:r>
    </w:p>
    <w:p>
      <w:pPr>
        <w:sectPr>
          <w:pgSz w:w="11900" w:h="16838" w:orient="portrait"/>
          <w:cols w:equalWidth="0" w:num="1">
            <w:col w:w="11240"/>
          </w:cols>
          <w:pgMar w:left="320" w:top="369" w:right="339" w:bottom="1440" w:gutter="0" w:footer="0" w:header="0"/>
        </w:sectPr>
      </w:pPr>
    </w:p>
    <w:bookmarkStart w:id="260" w:name="page261"/>
    <w:bookmarkEnd w:id="260"/>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their respective successors, indorsees, transferees and assigns, the prompt and complete payment and performance by the Company and its Subsidiaries when due (whether at the stated maturity, by acceleration or otherwise) of the Obligations (other than with respect to any Guarantor any Excluded Swap Obligations of such Guarantor).</w:t>
      </w:r>
    </w:p>
    <w:p>
      <w:pPr>
        <w:spacing w:after="0" w:line="181" w:lineRule="exact"/>
        <w:rPr>
          <w:sz w:val="20"/>
          <w:szCs w:val="20"/>
          <w:color w:val="auto"/>
        </w:rPr>
      </w:pPr>
    </w:p>
    <w:p>
      <w:pPr>
        <w:jc w:val="both"/>
        <w:ind w:firstLine="1304"/>
        <w:spacing w:after="0" w:line="258" w:lineRule="auto"/>
        <w:tabs>
          <w:tab w:leader="none" w:pos="1849"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Section 3.2).</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2"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agrees that the Obligations either solely or collectively, may at any time and from time to time exceed the amount of the liability of such Guarantor hereunder without impairing the guarantee contained in this Section 3 or affecting the rights and remedies of the Administrative Agent or any Lender hereunder.</w:t>
      </w:r>
    </w:p>
    <w:p>
      <w:pPr>
        <w:spacing w:after="0" w:line="18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55"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guarantees contained in this Section 3 shall remain in full force and effect until all the Obligations and the obligations of each Guarantor under the guarantees contained in this Section 3 shall have been satisfied by payment in full, no Letter of Credit shall be outstanding and the Commitments and Loans shall be terminated, notwithstanding that from time to time during the term of the Credit Agreement, the Company and its Subsidiaries may be free from any Obligations.</w:t>
      </w:r>
    </w:p>
    <w:p>
      <w:pPr>
        <w:spacing w:after="0" w:line="172" w:lineRule="exact"/>
        <w:rPr>
          <w:rFonts w:ascii="Times New Roman" w:cs="Times New Roman" w:eastAsia="Times New Roman" w:hAnsi="Times New Roman"/>
          <w:sz w:val="20"/>
          <w:szCs w:val="20"/>
          <w:color w:val="auto"/>
        </w:rPr>
      </w:pPr>
    </w:p>
    <w:p>
      <w:pPr>
        <w:jc w:val="both"/>
        <w:ind w:firstLine="1304"/>
        <w:spacing w:after="0" w:line="269" w:lineRule="auto"/>
        <w:tabs>
          <w:tab w:leader="none" w:pos="1803"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payment made by the Company, any of the Guarantors, any other guarantor or any other Person or received or collected by the Administrative Agent or any Lender from the Company,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no Letter of Credit shall be outstanding and the Commitments and Loans are terminated.</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Right of Contribution</w:t>
      </w:r>
      <w:r>
        <w:rPr>
          <w:rFonts w:ascii="Times New Roman" w:cs="Times New Roman" w:eastAsia="Times New Roman" w:hAnsi="Times New Roman"/>
          <w:sz w:val="20"/>
          <w:szCs w:val="20"/>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3.3. The provisions of this Section 3.2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No Subrogation</w:t>
      </w:r>
      <w:r>
        <w:rPr>
          <w:rFonts w:ascii="Times New Roman" w:cs="Times New Roman" w:eastAsia="Times New Roman" w:hAnsi="Times New Roman"/>
          <w:sz w:val="20"/>
          <w:szCs w:val="20"/>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Company or any other Guarantor or any collateral security or guarantee or right of offset held by the Administrative Agent or any Lender for the payment of the Obligations nor shall any Guarantor seek or be entitled to seek any contribution or reimbursement from the Company or any other Guarantor in respect of payments made by such Guarantor hereunder, until all amounts owing to the</w:t>
      </w:r>
    </w:p>
    <w:p>
      <w:pPr>
        <w:sectPr>
          <w:pgSz w:w="11900" w:h="16838" w:orient="portrait"/>
          <w:cols w:equalWidth="0" w:num="1">
            <w:col w:w="11240"/>
          </w:cols>
          <w:pgMar w:left="320" w:top="369" w:right="339" w:bottom="1440" w:gutter="0" w:footer="0" w:header="0"/>
        </w:sectPr>
      </w:pPr>
    </w:p>
    <w:bookmarkStart w:id="261" w:name="page262"/>
    <w:bookmarkEnd w:id="261"/>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Administrative Agent and the Lenders by the Company or any Subsidiary on account of the Obligations are paid in full, no Letter of Credit shall be outstanding and the Commitments and Loans are terminated. If any amount shall be paid to any Guarantor on account of such subrogation rights at any time when all of the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Amendments, Etc. with respect to the Obligations</w:t>
      </w:r>
      <w:r>
        <w:rPr>
          <w:rFonts w:ascii="Times New Roman" w:cs="Times New Roman" w:eastAsia="Times New Roman" w:hAnsi="Times New Roman"/>
          <w:sz w:val="20"/>
          <w:szCs w:val="20"/>
          <w:color w:val="auto"/>
        </w:rPr>
        <w:t>. Each Guarantor shall remain obligated hereunder notwithstanding that, without any reservation of rights against any Guarantor and without notice to or further assent by any Guarantor, any demand for payment of any of the Obligations made by the Administrative Agent or any Lender may be rescinded by the Administrative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by it as security for the Obligations or for the guarantee contained in this Section 3 or any property subject thereto.</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Guarantees Absolute and Unconditional</w:t>
      </w:r>
      <w:r>
        <w:rPr>
          <w:rFonts w:ascii="Times New Roman" w:cs="Times New Roman" w:eastAsia="Times New Roman" w:hAnsi="Times New Roman"/>
          <w:sz w:val="19"/>
          <w:szCs w:val="19"/>
          <w:color w:val="auto"/>
        </w:rPr>
        <w:t>. Each Guarantor waives any and all notice of the creation, renewal, extension or accrual of any of the Obligations and notice of or proof of reliance by the Administrative Agent or any Lender upon any of the guarantees contained in this Section 3 or acceptance of the guarantees contained in this Section 3; the Obligations and any of them, shall conclusively be deemed to have been created, contracted or incurred, or renewed, extended, amended or waived, in reliance upon the guarantee contained in this Section 3; and all dealings between the Company and any of the Guarantors, on the one hand, and the Administrative Agent and the Lenders, on the other hand, likewise shall be conclusively presumed to have been had or consummated in reliance upon the guarantee contained in this Section 3. Each Guarantor waives diligence, presentment, protest, demand for payment and notice of default or nonpayment to or upon the Company or any of the Guarantors with respect to the Obligations. Each Guarantor understands and agrees that the guarantees contained in this Section 3 shall be construed as a continuing, absolute and unconditional guarantee of payment without regard to (a) the validity or enforceability of the Credit Agreement or any other Loan Document, any of the Obligations or any other collateral security therefor or guarantee or right of offset with respect thereto at any time or from time to time held by the Administrative Agent or any Lender,</w:t>
      </w:r>
    </w:p>
    <w:p>
      <w:pPr>
        <w:spacing w:after="0" w:line="1" w:lineRule="exact"/>
        <w:rPr>
          <w:sz w:val="20"/>
          <w:szCs w:val="20"/>
          <w:color w:val="auto"/>
        </w:rPr>
      </w:pPr>
    </w:p>
    <w:p>
      <w:pPr>
        <w:jc w:val="both"/>
        <w:ind w:firstLine="8"/>
        <w:spacing w:after="0" w:line="250" w:lineRule="auto"/>
        <w:tabs>
          <w:tab w:leader="none" w:pos="307"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defense, set-off or counterclaim (other than a defense of payment or performance) which may at any time be available to or be asserted by the Company or any other Person against the Administrative Agent or any Lender, or (c) any other circumstance whatsoever (with or without notice to or knowledge of the Company or such Guarantor) which constitutes, or might be construed to constitute, an equitable or legal discharge of the Obligations, or of such Guarantor under the guarantee contained in this Section 3, in bankruptcy or in any other instance. When making any demand hereunder or otherwise pursuing its rights and remedies hereunder against any Guarantor, the Administrative Agent or any Lender may, but shall be under no</w:t>
      </w:r>
    </w:p>
    <w:p>
      <w:pPr>
        <w:sectPr>
          <w:pgSz w:w="11900" w:h="16838" w:orient="portrait"/>
          <w:cols w:equalWidth="0" w:num="1">
            <w:col w:w="11240"/>
          </w:cols>
          <w:pgMar w:left="320" w:top="369" w:right="339" w:bottom="1440" w:gutter="0" w:footer="0" w:header="0"/>
        </w:sectPr>
      </w:pPr>
    </w:p>
    <w:bookmarkStart w:id="262" w:name="page263"/>
    <w:bookmarkEnd w:id="262"/>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obligation to, make a similar demand on or otherwise pursue such rights and remedies as it may have against the Company, any other Guarantor or any other Person or against any collateral security or guarantee for the Obligations or any right of offset with respect thereto, and any failure by the Administrative Agent or any Lender to make any such demand, to pursue such other rights or remedies or to collect any payments from the Company, any other Guarantor or any other Person or to realize upon any such collateral security or guarantee or to exercise any such right of offset, or any release of the Company,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9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The guarantees contained in this Section 3 shall continue to be effective, or be reinstated, as the case may be, if at any time payment, or any part thereof, of any of the Obligations, is rescinded or must otherwise be restored or returned by the Administrative Agent or any Lender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w:t>
      </w:r>
    </w:p>
    <w:p>
      <w:pPr>
        <w:spacing w:after="0" w:line="192"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 xml:space="preserve">3.7. </w:t>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Each Guarantor hereby guarantees that payments hereunder will be paid to the Administrative Agent without set-off or counterclaim in Dollars or the applicable Agreed Currency at the office of the Administrative Agent located at 500 Stanton Christiana Road, NCC5, Floor 01, Newark, Delaware 19713-2107 or at such other place and time specified by the Administrative Agent.</w:t>
      </w:r>
    </w:p>
    <w:p>
      <w:pPr>
        <w:spacing w:after="0" w:line="16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 Each Qualified Keepwell Provider hereby jointly and severally absolutely, unconditionally, and irrevocably undertakes to provide such funds or other support as may be needed from time to time by each other Loan Party to honor all of its obligations under this guarantee in respect of any Swap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each Qualified Keepwell Provider shall only be liable under this Section 3.8 for the maximum amount of such liability that can be hereby incurred without rendering its obligations under this Section 3.8, or otherwise under this guarantee, voidable under applicable law relating to fraudulent conveyance or fraudulent transfer, and not for any greater amount). The obligations of each Qualified Keepwell Provider under this Section 3.8 shall remain in full force and effect until such time as the Loans, the Reimbursement Obligations and the other Obligations shall have been paid in full (other than unasserted contingent obligations not yet due and payable), the Commitments have been terminated and no Letters of Credit shall be outstanding. Each Qualified Keepwell Provider intends that this Section 3.8 constitute, and this Section 3.8 shall be deemed to constitute, a “keepwell, support, or other agreement” for the benefit of each other Loan Party for all purposes of section 1a(18)(A)(v)(II) of the Commodity Exchange Act.</w:t>
      </w:r>
    </w:p>
    <w:p>
      <w:pPr>
        <w:spacing w:after="0" w:line="166"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4.</w:t>
      </w:r>
      <w:r>
        <w:rPr>
          <w:sz w:val="20"/>
          <w:szCs w:val="20"/>
          <w:color w:val="auto"/>
        </w:rPr>
        <w:tab/>
      </w:r>
      <w:r>
        <w:rPr>
          <w:rFonts w:ascii="Times New Roman" w:cs="Times New Roman" w:eastAsia="Times New Roman" w:hAnsi="Times New Roman"/>
          <w:sz w:val="19"/>
          <w:szCs w:val="19"/>
          <w:color w:val="auto"/>
        </w:rPr>
        <w:t>GRANT OF SECURITY INTEREST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Subject to Section 9.15, each Grantor hereby assigns and transfers to the Administrative Agent, and hereby grants to the 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as collateral security for the prompt and complete payment and performance when due (whether at the stated maturity, by acceleration or otherwise) of the Obligations:</w:t>
      </w:r>
    </w:p>
    <w:p>
      <w:pPr>
        <w:sectPr>
          <w:pgSz w:w="11900" w:h="16838" w:orient="portrait"/>
          <w:cols w:equalWidth="0" w:num="1">
            <w:col w:w="11240"/>
          </w:cols>
          <w:pgMar w:left="320" w:top="369" w:right="339" w:bottom="1440" w:gutter="0" w:footer="0" w:header="0"/>
        </w:sectPr>
      </w:pPr>
    </w:p>
    <w:bookmarkStart w:id="263" w:name="page264"/>
    <w:bookmarkEnd w:id="263"/>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720" w:hanging="416"/>
        <w:spacing w:after="0"/>
        <w:tabs>
          <w:tab w:leader="none" w:pos="172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Receivables;</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Equipment;</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Inventory;</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Pledged Stock;</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Intellectual Property;</w:t>
      </w:r>
    </w:p>
    <w:p>
      <w:pPr>
        <w:spacing w:after="0" w:line="22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Pledged Note;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books and records pertaining to the Collateral; and</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otherwise included, all Proceeds, Supporting Obligations and products of any and all of the foregoing.</w:t>
      </w:r>
    </w:p>
    <w:p>
      <w:pPr>
        <w:spacing w:after="0" w:line="24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Notwithstanding any of the other provisions set forth in this Section 4, this Agreement shall not constitute a grant of a security interest in 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or, in the case of any Pledged Stock,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For the avoidance of doubt, the grant of a security interest herein shall not be deemed to be an assignment of Intellectual Property rights owned by the Grantors.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Without limiting the foregoing, each of the Grantors that is a party to the Existing Guarantee and Collateral Agreement hereby regrants, confirms, ratifies and reaffirms the security interest granted to the Administrative Agent, for the benefit of the Secured Parties, pursuant to the Existing Guarantee and Collateral Agreement and agrees that such security interest (including, without limitation, any filings made in connection therewith) remains in full force and effect and is hereby ratified, reaffirmed and confirmed.</w:t>
      </w:r>
    </w:p>
    <w:p>
      <w:pPr>
        <w:spacing w:after="0" w:line="17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5.</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the Credit Agreement and to induce the Lenders to make their respective extensions of credit to the Company and each Subsidiary Borrower thereunder, each Grantor hereby represents and warrants to the Administrative Agent and each Lender that other than during any Unsecured Period:</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Title; No Other Liens</w:t>
      </w:r>
      <w:r>
        <w:rPr>
          <w:rFonts w:ascii="Times New Roman" w:cs="Times New Roman" w:eastAsia="Times New Roman" w:hAnsi="Times New Roman"/>
          <w:sz w:val="20"/>
          <w:szCs w:val="20"/>
          <w:color w:val="auto"/>
        </w:rPr>
        <w:t>. Except for the security interest granted to the Administrative Agent for the ratable benefit of the Secured Parties pursuant to this Agreement and the other Liens permitted to exist on the Collateral by the Credit Agreement, such Grantor owns each item of the Collateral free and clear of any and all Liens or claims of others. No financing statement or other public notice with respect to all or any part of the Collateral is on file or of record in any public office,</w:t>
      </w:r>
    </w:p>
    <w:p>
      <w:pPr>
        <w:sectPr>
          <w:pgSz w:w="11900" w:h="16838" w:orient="portrait"/>
          <w:cols w:equalWidth="0" w:num="1">
            <w:col w:w="11240"/>
          </w:cols>
          <w:pgMar w:left="320" w:top="369" w:right="339" w:bottom="1440" w:gutter="0" w:footer="0" w:header="0"/>
        </w:sectPr>
      </w:pPr>
    </w:p>
    <w:bookmarkStart w:id="264" w:name="page265"/>
    <w:bookmarkEnd w:id="264"/>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except such as have been filed in favor of the Administrative Agent, for the ratable benefit of the Secured Parties, pursuant to this Agreement or as are permitted by the Credit Agreement.</w:t>
      </w:r>
    </w:p>
    <w:p>
      <w:pPr>
        <w:spacing w:after="0" w:line="14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Perfected First Priority Liens</w:t>
      </w:r>
      <w:r>
        <w:rPr>
          <w:rFonts w:ascii="Times New Roman" w:cs="Times New Roman" w:eastAsia="Times New Roman" w:hAnsi="Times New Roman"/>
          <w:sz w:val="20"/>
          <w:szCs w:val="20"/>
          <w:color w:val="auto"/>
        </w:rPr>
        <w:t xml:space="preserve">. The security interests granted pursuant to this Agreement will constitute valid perfected security interests in all of the Collateral in favor of the Administrative Agent, for the ratable benefit of the Secured Parties, as collateral security for the Obligations, enforceable in accordance with the terms hereof against all creditors of such Grantor and any Persons purporting to purchase any Collateral from such Grantor (other than Inventory sold by such Grantor in the ordinary course of business and except as otherwise permitted by the Credit Agreement), to the extent that perfection or enforceability against third parties is obtainable by completion of the filings and other actions 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or any similar filings or other actions in other jurisdictions in the United States of America and are prior to all other Liens on the Collateral which have priority over the Liens on the Collateral by operation of law and other Liens on the Collateral permitted by the Credit Agreement.</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Jurisdiction of Organization</w:t>
      </w:r>
      <w:r>
        <w:rPr>
          <w:rFonts w:ascii="Times New Roman" w:cs="Times New Roman" w:eastAsia="Times New Roman" w:hAnsi="Times New Roman"/>
          <w:sz w:val="20"/>
          <w:szCs w:val="20"/>
          <w:color w:val="auto"/>
        </w:rPr>
        <w:t>. On the Effective Date, such Grantor’s jurisdiction of organization and identification number from the jurisdiction of organization (if any) are set forth on Schedule 3. Such Grantor has furnished to the Administrative Agent a certified charter, certificate of incorporation or other organizational document and good standing certificate as of a date which is recent to the Effective Date.</w:t>
      </w:r>
    </w:p>
    <w:p>
      <w:pPr>
        <w:spacing w:after="0" w:line="17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u w:val="single" w:color="auto"/>
          <w:color w:val="auto"/>
        </w:rPr>
        <w:t>Domestic Subsidiaries</w:t>
      </w:r>
      <w:r>
        <w:rPr>
          <w:rFonts w:ascii="Times New Roman" w:cs="Times New Roman" w:eastAsia="Times New Roman" w:hAnsi="Times New Roman"/>
          <w:sz w:val="20"/>
          <w:szCs w:val="20"/>
          <w:color w:val="auto"/>
        </w:rPr>
        <w:t>. On the Effective Date,</w:t>
      </w:r>
      <w:r>
        <w:rPr>
          <w:rFonts w:ascii="Times New Roman" w:cs="Times New Roman" w:eastAsia="Times New Roman" w:hAnsi="Times New Roman"/>
          <w:sz w:val="20"/>
          <w:szCs w:val="20"/>
          <w:u w:val="single" w:color="auto"/>
          <w:color w:val="auto"/>
        </w:rPr>
        <w:t xml:space="preserve"> Schedule 4 </w:t>
      </w:r>
      <w:r>
        <w:rPr>
          <w:rFonts w:ascii="Times New Roman" w:cs="Times New Roman" w:eastAsia="Times New Roman" w:hAnsi="Times New Roman"/>
          <w:sz w:val="20"/>
          <w:szCs w:val="20"/>
          <w:color w:val="auto"/>
        </w:rPr>
        <w:t>sets forth a true and complete list of the Domestic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w:t>
      </w:r>
    </w:p>
    <w:p>
      <w:pPr>
        <w:spacing w:after="0" w:line="21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Pledged Stock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61" w:lineRule="auto"/>
        <w:tabs>
          <w:tab w:leader="none" w:pos="1739"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of the Pledged Stock pledged by such Grantor hereunder constitute all the issued and outstanding shares of all classes of the Capital Stock of each Issuer owned by such Grantor or, in the case of Foreign Subsidiary Voting Stock, if less, 65% of the outstanding Foreign Subsidiary Voting Stock of each relevant Issuer.</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the shares of the Pledged Stock have been duly and validly issued and are fully paid and nonassessable.</w:t>
      </w:r>
    </w:p>
    <w:p>
      <w:pPr>
        <w:spacing w:after="0" w:line="215"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2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is the record and beneficial owner of, and has good and marketable title to, the Pledged Stock pledged by it hereunder, free of any and all Liens or options in favor of, or claims of, any other Person, except the security interest created by this Agreement and except as permitted under Section 6.01 of the Credit Agreement.</w:t>
      </w:r>
    </w:p>
    <w:p>
      <w:pPr>
        <w:spacing w:after="0" w:line="16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Receivables</w:t>
      </w:r>
      <w:r>
        <w:rPr>
          <w:rFonts w:ascii="Times New Roman" w:cs="Times New Roman" w:eastAsia="Times New Roman" w:hAnsi="Times New Roman"/>
          <w:sz w:val="19"/>
          <w:szCs w:val="19"/>
          <w:color w:val="auto"/>
        </w:rPr>
        <w:t>. During any Full Security Period,</w:t>
      </w:r>
    </w:p>
    <w:p>
      <w:pPr>
        <w:spacing w:after="0" w:line="229" w:lineRule="exact"/>
        <w:rPr>
          <w:sz w:val="20"/>
          <w:szCs w:val="20"/>
          <w:color w:val="auto"/>
        </w:rPr>
      </w:pPr>
    </w:p>
    <w:p>
      <w:pPr>
        <w:ind w:firstLine="1304"/>
        <w:spacing w:after="0" w:line="269" w:lineRule="auto"/>
        <w:tabs>
          <w:tab w:leader="none" w:pos="1719"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obligors on any Receivables (other than Receivables which, when taken together with all other Receivables of each Grantor, have an aggregate value less than or equal to $25,000,000) is a Governmental Authority.</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756"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represented by such Grantor to the Lenders from time to time as owing to such Grantor in respect of the Receivables will at such times be accurate in all material respects.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5.7. Intellectual Property.</w:t>
      </w:r>
    </w:p>
    <w:p>
      <w:pPr>
        <w:sectPr>
          <w:pgSz w:w="11900" w:h="16838" w:orient="portrait"/>
          <w:cols w:equalWidth="0" w:num="1">
            <w:col w:w="11240"/>
          </w:cols>
          <w:pgMar w:left="320" w:top="369"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40" w:firstLine="1304"/>
        <w:spacing w:after="0" w:line="253" w:lineRule="auto"/>
        <w:tabs>
          <w:tab w:leader="none" w:pos="1125"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lists all of the following Intellectual Property as of the Effective Date, to the extent owned by such Grantor in its own name: (i) issued Patents and pending Patent applications, (ii) trademarks, service marks and trade dress registered with the United States Patent and Trademark Office, and applications for the registration thereof, and (iii) registered Copyrights, and applications to register Copyrights. All Material Intellectual Property is recorded or in the process of being recorded in the name of such Grantor. Except as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such Grantor is the sole and exclusive owner of the entire and unencumbered right, title and interest in and to all Material Intellectual Property owned by such Grantor, in each case free and clear of all Liens other than Permitted Liens.</w:t>
      </w:r>
    </w:p>
    <w:p>
      <w:pPr>
        <w:spacing w:after="0" w:line="219" w:lineRule="exact"/>
        <w:rPr>
          <w:rFonts w:ascii="Times New Roman" w:cs="Times New Roman" w:eastAsia="Times New Roman" w:hAnsi="Times New Roman"/>
          <w:sz w:val="20"/>
          <w:szCs w:val="20"/>
          <w:color w:val="auto"/>
        </w:rPr>
      </w:pPr>
    </w:p>
    <w:p>
      <w:pPr>
        <w:jc w:val="both"/>
        <w:ind w:left="-440" w:firstLine="1304"/>
        <w:spacing w:after="0" w:line="253" w:lineRule="auto"/>
        <w:tabs>
          <w:tab w:leader="none" w:pos="1163"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all Material Intellectual Property of such Grantor is subsisting and has not been adjudged invalid or unenforceable, in whole or in part, and such Grantor has performed in all material respects all acts and has paid all renewal, maintenance, and other fees and taxes required to maintain each and every registration and application of Copyrights, Patents and Trademarks of such Grantor constituting Material Intellectual Property in full force and effect, unless, to the extent that such Intellectual Property no longer constitutes Material Intellectual Property, such Grantor has reasonably determined that the preservation thereof is no longer desirable in the conduct of such Grantor’s business.</w:t>
      </w:r>
    </w:p>
    <w:p>
      <w:pPr>
        <w:spacing w:after="0" w:line="205" w:lineRule="exact"/>
        <w:rPr>
          <w:rFonts w:ascii="Times New Roman" w:cs="Times New Roman" w:eastAsia="Times New Roman" w:hAnsi="Times New Roman"/>
          <w:sz w:val="20"/>
          <w:szCs w:val="20"/>
          <w:color w:val="auto"/>
        </w:rPr>
      </w:pPr>
    </w:p>
    <w:p>
      <w:pPr>
        <w:jc w:val="both"/>
        <w:ind w:left="-440" w:firstLine="1304"/>
        <w:spacing w:after="0" w:line="257" w:lineRule="auto"/>
        <w:tabs>
          <w:tab w:leader="none" w:pos="1125"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have a Material Adverse Effect, (i) no action or proceeding is pending, or, to the knowledge of a Responsible Officer of such Grantor, threatened, alleging that such Grantor, or the conduct of such Grantor’s business, infringes, misappropriates, dilutes, or otherwise violates the intellectual property rights of any other Person, and (ii) to the knowledge of a Responsible Officer of such Grantor, no Person is engaging in any activity that infringes, misappropriates, dilutes or violates any Intellectual Property of such Grantor.</w:t>
      </w:r>
    </w:p>
    <w:p>
      <w:pPr>
        <w:spacing w:after="0" w:line="199" w:lineRule="exact"/>
        <w:rPr>
          <w:rFonts w:ascii="Times New Roman" w:cs="Times New Roman" w:eastAsia="Times New Roman" w:hAnsi="Times New Roman"/>
          <w:sz w:val="20"/>
          <w:szCs w:val="20"/>
          <w:color w:val="auto"/>
        </w:rPr>
      </w:pPr>
    </w:p>
    <w:p>
      <w:pPr>
        <w:jc w:val="both"/>
        <w:ind w:left="-440" w:firstLine="1304"/>
        <w:spacing w:after="0" w:line="261" w:lineRule="auto"/>
        <w:tabs>
          <w:tab w:leader="none" w:pos="113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controls the nature and quality of all products sold and all services rendered under or in connection with all Trademarks of such Grantor that constitute Material Intellectual Property, in each case consistent with industry standards, and has taken commercially reasonable measures to ensure that all licensees of all such Trademarks comply with such Grantor’s standards of quality.</w:t>
      </w:r>
    </w:p>
    <w:p>
      <w:pPr>
        <w:spacing w:after="0" w:line="208" w:lineRule="exact"/>
        <w:rPr>
          <w:rFonts w:ascii="Times New Roman" w:cs="Times New Roman" w:eastAsia="Times New Roman" w:hAnsi="Times New Roman"/>
          <w:sz w:val="20"/>
          <w:szCs w:val="20"/>
          <w:color w:val="auto"/>
        </w:rPr>
      </w:pPr>
    </w:p>
    <w:p>
      <w:pPr>
        <w:jc w:val="both"/>
        <w:ind w:left="-440" w:firstLine="1304"/>
        <w:spacing w:after="0" w:line="258" w:lineRule="auto"/>
        <w:tabs>
          <w:tab w:leader="none" w:pos="1165"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has been using appropriate statutory notice of registration in connection with its use of registered Trademarks, appropriate notice of its trademark rights in common law Trademarks, proper marking practices in connection with its Patents, and appropriate notice of copyright in connection with the publication of its Copyrights, in each case, to the extent such Trademarks, Patents or Copyrights constitute Material Intellectual Property.</w:t>
      </w:r>
    </w:p>
    <w:p>
      <w:pPr>
        <w:spacing w:after="0" w:line="199" w:lineRule="exact"/>
        <w:rPr>
          <w:rFonts w:ascii="Times New Roman" w:cs="Times New Roman" w:eastAsia="Times New Roman" w:hAnsi="Times New Roman"/>
          <w:sz w:val="20"/>
          <w:szCs w:val="20"/>
          <w:color w:val="auto"/>
        </w:rPr>
      </w:pPr>
    </w:p>
    <w:p>
      <w:pPr>
        <w:ind w:left="-440" w:firstLine="1304"/>
        <w:spacing w:after="0" w:line="283" w:lineRule="auto"/>
        <w:tabs>
          <w:tab w:leader="none" w:pos="1117"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the transactions contemplated by this Agreement will not result in the termination, limitation or other material impairment of any of such Grantor’s rights in its Material Intellectual Property.</w:t>
      </w:r>
    </w:p>
    <w:p>
      <w:pPr>
        <w:spacing w:after="0" w:line="173" w:lineRule="exact"/>
        <w:rPr>
          <w:rFonts w:ascii="Times New Roman" w:cs="Times New Roman" w:eastAsia="Times New Roman" w:hAnsi="Times New Roman"/>
          <w:sz w:val="20"/>
          <w:szCs w:val="20"/>
          <w:color w:val="auto"/>
        </w:rPr>
      </w:pPr>
    </w:p>
    <w:p>
      <w:pPr>
        <w:jc w:val="both"/>
        <w:ind w:left="-440" w:firstLine="1304"/>
        <w:spacing w:after="0" w:line="253" w:lineRule="auto"/>
        <w:tabs>
          <w:tab w:leader="none" w:pos="115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has taken commercially reasonable steps to protect the confidentiality of its Trade Secrets in accordance with industry standards. Except as could not reasonably be expected to have a Material Adverse Effect, (i) none of the Trade Secrets of such Grantor has been used, divulged, disclosed or misappropriated to the detriment of such Grantor for the benefit of any other Person,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term of any employment agreement, non-disclosure agreement,</w:t>
      </w:r>
    </w:p>
    <w:p>
      <w:pPr>
        <w:sectPr>
          <w:pgSz w:w="11900" w:h="16838" w:orient="portrait"/>
          <w:cols w:equalWidth="0" w:num="1">
            <w:col w:w="10800"/>
          </w:cols>
          <w:pgMar w:left="760" w:top="369" w:right="339" w:bottom="1440" w:gutter="0" w:footer="0" w:header="0"/>
        </w:sectPr>
      </w:pPr>
    </w:p>
    <w:bookmarkStart w:id="266" w:name="page267"/>
    <w:bookmarkEnd w:id="266"/>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assignment of inventions agreement or similar agreement or contract relating in any way to the protection, ownership, development, use or transfer of such Grantor’s Intellectual Property.</w:t>
      </w:r>
    </w:p>
    <w:p>
      <w:pPr>
        <w:spacing w:after="0" w:line="173" w:lineRule="exact"/>
        <w:rPr>
          <w:sz w:val="20"/>
          <w:szCs w:val="20"/>
          <w:color w:val="auto"/>
        </w:rPr>
      </w:pPr>
    </w:p>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Pledged Note</w:t>
      </w:r>
      <w:r>
        <w:rPr>
          <w:rFonts w:ascii="Times New Roman" w:cs="Times New Roman" w:eastAsia="Times New Roman" w:hAnsi="Times New Roman"/>
          <w:sz w:val="19"/>
          <w:szCs w:val="19"/>
          <w:color w:val="auto"/>
        </w:rPr>
        <w:t>. The Pledged Note has been, to the knowledge of the Company, duly authorized, authenticated, issued, and delivered and is the legal, valid and binding obligation of the issuer thereof enforceable in accordance with its terms and is not in default.</w:t>
      </w:r>
    </w:p>
    <w:p>
      <w:pPr>
        <w:spacing w:after="0" w:line="15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6.</w:t>
      </w:r>
      <w:r>
        <w:rPr>
          <w:sz w:val="20"/>
          <w:szCs w:val="20"/>
          <w:color w:val="auto"/>
        </w:rPr>
        <w:tab/>
      </w:r>
      <w:r>
        <w:rPr>
          <w:rFonts w:ascii="Times New Roman" w:cs="Times New Roman" w:eastAsia="Times New Roman" w:hAnsi="Times New Roman"/>
          <w:sz w:val="19"/>
          <w:szCs w:val="19"/>
          <w:color w:val="auto"/>
        </w:rPr>
        <w:t>COVENANTS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Each Grantor covenants and agrees with the Administrative Agent and the Lenders that, from and after the date of this Agreement until the Obligations shall have been paid in full, no Letter of Credit shall be outstanding and the Commitments and Loans shall have terminated (other than Unliquidated Obligations), other than during any Unsecured Period,</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Delivery of Certificated Securities</w:t>
      </w:r>
      <w:r>
        <w:rPr>
          <w:rFonts w:ascii="Times New Roman" w:cs="Times New Roman" w:eastAsia="Times New Roman" w:hAnsi="Times New Roman"/>
          <w:sz w:val="20"/>
          <w:szCs w:val="20"/>
          <w:color w:val="auto"/>
        </w:rPr>
        <w:t>. If any amount payable under or in connection with any of the Collateral shall be or become evidenced by any Certificated Security, such Certificated Security shall be promptly delivered to the Administrative Agent, duly indorsed (including by delivery of related stock powers) in a manner satisfactory to the Administrative Agent, to be held as Collateral pursuant to this Agreement.</w:t>
      </w:r>
    </w:p>
    <w:p>
      <w:pPr>
        <w:spacing w:after="0" w:line="17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 During any Full Security Period,</w:t>
      </w:r>
    </w:p>
    <w:p>
      <w:pPr>
        <w:spacing w:after="0" w:line="229" w:lineRule="exact"/>
        <w:rPr>
          <w:sz w:val="20"/>
          <w:szCs w:val="20"/>
          <w:color w:val="auto"/>
        </w:rPr>
      </w:pPr>
    </w:p>
    <w:p>
      <w:pPr>
        <w:jc w:val="both"/>
        <w:ind w:firstLine="1304"/>
        <w:spacing w:after="0" w:line="253" w:lineRule="auto"/>
        <w:tabs>
          <w:tab w:leader="none" w:pos="1872"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will maintain, with financially sound and reputable companies, insurance policies (i) insuring the Inventory and Equipment against loss by fire, explosion, theft and such other casualties as may be reasonably satisfactory to the Administrative Agent and (ii) to the extent requested by the Administrative Agent, insuring such Grantor, the Administrative Agent and the Lenders against liability for personal injury and property damage relating to such Inventory and Equipment, such policies to be in such form and amounts and having such coverage as may be reasonably satisfactory to the Administrative Agent and the Lenders.</w:t>
      </w:r>
    </w:p>
    <w:p>
      <w:pPr>
        <w:spacing w:after="0" w:line="19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insurance shall name the Administrative Agent as insured party or loss payee.</w:t>
      </w:r>
    </w:p>
    <w:p>
      <w:pPr>
        <w:spacing w:after="0" w:line="215" w:lineRule="exact"/>
        <w:rPr>
          <w:rFonts w:ascii="Times New Roman" w:cs="Times New Roman" w:eastAsia="Times New Roman" w:hAnsi="Times New Roman"/>
          <w:sz w:val="20"/>
          <w:szCs w:val="20"/>
          <w:color w:val="auto"/>
        </w:rPr>
      </w:pPr>
    </w:p>
    <w:p>
      <w:pPr>
        <w:ind w:right="20" w:firstLine="1304"/>
        <w:spacing w:after="0" w:line="283" w:lineRule="auto"/>
        <w:tabs>
          <w:tab w:leader="none" w:pos="173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Administrative Agent, the Company shall deliver to the Administrative Agent (for distribution to the Lenders) a certificate of insurance from a reputable insurance broker with respect to such insurance.</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Such Grantor will pay and discharge or otherwise satisfy at or before maturity or before they become delinquent, as the case may be, all taxes, assessments and governmental charges or levies imposed upon a material portion of the Collateral or in respect of income or profits therefrom, as well as all claims of any kind against or with respect to the Collateral, except that no such charge need be paid if the amount or validity thereof is currently being contested in good faith by appropriate proceedings, reserves in conformity with GAAP with respect thereto have been provided on the books of such Grantor and such proceedings could not reasonably be expected to result in the sale, forfeiture or loss of any material portion of the Collateral or any interest therein.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Maintenance of Perfected Security Interest; Further Documentation</w:t>
      </w:r>
      <w:r>
        <w:rPr>
          <w:rFonts w:ascii="Times New Roman" w:cs="Times New Roman" w:eastAsia="Times New Roman" w:hAnsi="Times New Roman"/>
          <w:sz w:val="20"/>
          <w:szCs w:val="20"/>
          <w:color w:val="auto"/>
        </w:rPr>
        <w:t>. Such Grantor shall maintain the security interest created by this Agreement as a perfected security interest having at least the priority described in Section 5.2 and shall take commercially reasonable steps to</w:t>
      </w:r>
    </w:p>
    <w:p>
      <w:pPr>
        <w:sectPr>
          <w:pgSz w:w="11900" w:h="16838" w:orient="portrait"/>
          <w:cols w:equalWidth="0" w:num="1">
            <w:col w:w="11240"/>
          </w:cols>
          <w:pgMar w:left="320" w:top="369" w:right="339" w:bottom="1440" w:gutter="0" w:footer="0" w:header="0"/>
        </w:sectPr>
      </w:pPr>
    </w:p>
    <w:bookmarkStart w:id="267" w:name="page268"/>
    <w:bookmarkEnd w:id="267"/>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defend such security interest against the claims and demands of all Persons whomsoever other than with respect to liens permitted by the Credit Agreement.</w:t>
      </w:r>
    </w:p>
    <w:p>
      <w:pPr>
        <w:spacing w:after="0" w:line="14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The Company will advise the Administrative Agent (who will advise the Lenders) promptly, in reasonable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 of:</w:t>
      </w:r>
    </w:p>
    <w:p>
      <w:pPr>
        <w:spacing w:after="0" w:line="200" w:lineRule="exact"/>
        <w:rPr>
          <w:sz w:val="20"/>
          <w:szCs w:val="20"/>
          <w:color w:val="auto"/>
        </w:rPr>
      </w:pPr>
    </w:p>
    <w:p>
      <w:pPr>
        <w:jc w:val="both"/>
        <w:ind w:firstLine="1304"/>
        <w:spacing w:after="0" w:line="268" w:lineRule="auto"/>
        <w:tabs>
          <w:tab w:leader="none" w:pos="1749"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(other than security interests created hereby or Liens permitted under the Credit Agreement) on any material portion of the Collateral which would materially and adversely affect the ability of the Administrative Agent to exercise any of its remedies hereunder; and</w:t>
      </w:r>
    </w:p>
    <w:p>
      <w:pPr>
        <w:spacing w:after="0" w:line="161" w:lineRule="exact"/>
        <w:rPr>
          <w:rFonts w:ascii="Times New Roman" w:cs="Times New Roman" w:eastAsia="Times New Roman" w:hAnsi="Times New Roman"/>
          <w:sz w:val="20"/>
          <w:szCs w:val="20"/>
          <w:color w:val="auto"/>
        </w:rPr>
      </w:pPr>
    </w:p>
    <w:p>
      <w:pPr>
        <w:ind w:firstLine="1304"/>
        <w:spacing w:after="0" w:line="283" w:lineRule="auto"/>
        <w:tabs>
          <w:tab w:leader="none" w:pos="1869"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other event which could reasonably be expected to have a material adverse effect on the aggregate value of the Collateral or on the security interests created hereby.</w:t>
      </w:r>
    </w:p>
    <w:p>
      <w:pPr>
        <w:spacing w:after="0" w:line="146"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5"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and from time to time, upon the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Pledged Stock and any other relevant Collateral, taking any actions necessary to enable the Administrative Agent to obtain “control” (within the meaning of the applicable Uniform Commercial Code) with respect thereto.</w:t>
      </w:r>
    </w:p>
    <w:p>
      <w:pPr>
        <w:spacing w:after="0" w:line="19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Pledged Stock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9" w:lineRule="auto"/>
        <w:tabs>
          <w:tab w:leader="none" w:pos="1729"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Grantor shall become entitled to receive or shall receive any stock certificate (including, without limitation, any certificate representing a stock dividend or a distribution in connection with any reclassification, increase or reduction of capital or any certificate issued in connection with any reorganization), option or rights in respect of the Capital Stock of any Issuer which is a direct or indirect Domestic Subsidiary of such Grantor and which is Pledged Stock, whether in addition to, in substitution of, as a conversion of, or in exchange for, any shares of the Pledged Stock, or otherwise in respect thereof, such Grantor shall accept the same as the agent of the Administrative Agent and the Lenders, hold the same in trust for the Administrative Agent and the Lenders and deliver the same forthwith to the Administrative Agent in the exact form received, duly indorsed (including by delivery of related stock or bond powers) by such Grantor to the Administrative Agent, if required by the Credit Agreement, together with an undated stock power covering such certificate duly executed in blank by such Grantor to be held by the Administrative Agent, subject to the terms hereof, as additional collateral security for the Obligations. Except as otherwise permitted by the Credit Agreement, after an Event of Default has occurred and any sums paid upon or in respect of the Collateral upon the liquidation or dissolution of any Issuer shall be paid over to the Administrative Agent to be held by it hereunder as additional collateral security for the Obligations, and in case any distribution of capital shall be made on or in respect of the Collateral or any property shall be distributed upon or with respect to the Collateral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such Obligations except to the extent permitted under Section 7.3. If any sums of money or property so paid or distributed in respect of the Collateral upon the liquidation or dissolution of any issuer not permitted by the Credit Agreement shall be received by such</w:t>
      </w:r>
    </w:p>
    <w:p>
      <w:pPr>
        <w:sectPr>
          <w:pgSz w:w="11900" w:h="16838" w:orient="portrait"/>
          <w:cols w:equalWidth="0" w:num="1">
            <w:col w:w="11240"/>
          </w:cols>
          <w:pgMar w:left="320" w:top="369" w:right="339" w:bottom="1440" w:gutter="0" w:footer="0" w:header="0"/>
        </w:sectPr>
      </w:pPr>
    </w:p>
    <w:bookmarkStart w:id="268" w:name="page269"/>
    <w:bookmarkEnd w:id="268"/>
    <w:p>
      <w:pPr>
        <w:ind w:left="440"/>
        <w:spacing w:after="0"/>
        <w:rPr>
          <w:sz w:val="20"/>
          <w:szCs w:val="20"/>
          <w:color w:val="auto"/>
        </w:rPr>
      </w:pPr>
      <w:r>
        <w:rPr>
          <w:rFonts w:ascii="Times New Roman" w:cs="Times New Roman" w:eastAsia="Times New Roman" w:hAnsi="Times New Roman"/>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Grantor, such Grantor shall, until such money or property is paid or delivered to the Administrative Agent, hold such money or property in trust for the Lenders, segregated from other funds of such Grantor, as additional collateral security for the Obligations.</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Without the prior written consent of the Administrative Agent or unless not otherwise prohibited by the Credit Agreement, such Grantor will not (i) sell, assign, transfer, exchange, or otherwise dispose of, or grant any option with respect to, the Collateral (except pursuant to a transaction not prohibited by the Credit Agreement), (ii) create, incur or permit to exist any Lien or option in favor of, or any claim of any Person with respect to, any of the Collateral, or any interest therein, except for the security interests created by this Agreement or otherwise permitted by the Credit Agreement or (iii) enter into any agreement or undertaking restricting the right or ability of such Grantor or the Administrative Agent to sell, assign or transfer any of the Collateral.</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In the case of each Grantor which is an Issuer, such Issuer agrees that (i) it will be bound by the terms of this Agreement relating to the Pledged Stock issued by it and will comply with such terms insofar as such terms are applicable to it, (ii) it will notify the Administrative Agent promptly in writing of the occurrence of any of the events described in Section 6.5 with respect to the Pledged Stock issued by it and (iii) the terms of Sections 7.3(c) and 7.7 shall apply to it,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with respect to all actions that may be required of it pursuant to Section 7.3(c) or 7.7 with respect to the Pledged Stock issued by it.</w:t>
      </w:r>
    </w:p>
    <w:p>
      <w:pPr>
        <w:spacing w:after="0" w:line="19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Receivables</w:t>
      </w:r>
      <w:r>
        <w:rPr>
          <w:rFonts w:ascii="Times New Roman" w:cs="Times New Roman" w:eastAsia="Times New Roman" w:hAnsi="Times New Roman"/>
          <w:sz w:val="19"/>
          <w:szCs w:val="19"/>
          <w:color w:val="auto"/>
        </w:rPr>
        <w:t>. During any Full Security Period,</w:t>
      </w:r>
    </w:p>
    <w:p>
      <w:pPr>
        <w:spacing w:after="0" w:line="216" w:lineRule="exact"/>
        <w:rPr>
          <w:sz w:val="20"/>
          <w:szCs w:val="20"/>
          <w:color w:val="auto"/>
        </w:rPr>
      </w:pPr>
    </w:p>
    <w:p>
      <w:pPr>
        <w:jc w:val="both"/>
        <w:ind w:firstLine="1304"/>
        <w:spacing w:after="0" w:line="258" w:lineRule="auto"/>
        <w:tabs>
          <w:tab w:leader="none" w:pos="1757"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ordinary course of business, such Grantor will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each case, in any manner that could materially adversely affect the value thereof.</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1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contained in this Agreement to the contrary notwithstanding, the Grantors, or any of them, shall have the right to enter into one or more Receivables Purchase Facilities, as contemplated by the Credit Agreement, and the Administrative Agent shall execute any and all documents reasonably necessary to release its security interest in the Receivables which become Sold Receivables Assets upon the consummation of such Receivables Purchase Facility(ies).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1304"/>
        <w:spacing w:after="0" w:line="253" w:lineRule="auto"/>
        <w:tabs>
          <w:tab w:leader="none" w:pos="157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will not do any act or omit to do any act whereby any Material Intellectual Property may lapse, become abandoned, cancelled, dedicated to the public, forfeited, or otherwise impaired, or abandon any application or any right to file an application for a Copyright, Patent, or Trademark constituting Material Intellectual Property; provided that no Grantor shall be required to preserve any Intellectual Property that no longer constitutes Material Intellectual Property if such Grantor reasonably determines that the preservation thereof is no longer desirable in the conduct of such Grantor’s business.</w:t>
      </w:r>
    </w:p>
    <w:p>
      <w:pPr>
        <w:spacing w:after="0" w:line="19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576"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agrees that, should it hereafter (i) obtain an ownership interest in any item of Intellectual Property, (ii) file (either by itself or through any agent, employee, licensee, or designee) any application for the registration or issuance of any Intellectual Property with the United</w:t>
      </w:r>
    </w:p>
    <w:p>
      <w:pPr>
        <w:sectPr>
          <w:pgSz w:w="11900" w:h="16838" w:orient="portrait"/>
          <w:cols w:equalWidth="0" w:num="1">
            <w:col w:w="11240"/>
          </w:cols>
          <w:pgMar w:left="320" w:top="369" w:right="339" w:bottom="1440" w:gutter="0" w:footer="0" w:header="0"/>
        </w:sectPr>
      </w:pPr>
    </w:p>
    <w:bookmarkStart w:id="269" w:name="page270"/>
    <w:bookmarkEnd w:id="269"/>
    <w:p>
      <w:pPr>
        <w:ind w:left="440"/>
        <w:spacing w:after="0"/>
        <w:rPr>
          <w:sz w:val="20"/>
          <w:szCs w:val="20"/>
          <w:color w:val="auto"/>
        </w:rPr>
      </w:pPr>
      <w:r>
        <w:rPr>
          <w:rFonts w:ascii="Times New Roman" w:cs="Times New Roman" w:eastAsia="Times New Roman" w:hAnsi="Times New Roman"/>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States Patent and Trademark Office or the United States Copyright Office or (iii) file an accepted Statement of Use or Amendment to Allege Use with respect to any “intent-to-use” Trademark application (the items in clauses (i), (ii) and (iii), collectively, the “</w:t>
      </w:r>
      <w:r>
        <w:rPr>
          <w:rFonts w:ascii="Times New Roman" w:cs="Times New Roman" w:eastAsia="Times New Roman" w:hAnsi="Times New Roman"/>
          <w:sz w:val="20"/>
          <w:szCs w:val="20"/>
          <w:u w:val="single" w:color="auto"/>
          <w:color w:val="auto"/>
        </w:rPr>
        <w:t>After-Acquired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then the provisions of Section 4 shall automatically apply thereto, and any such After-Acquired Intellectual Property shall automatically become part of the Collateral, and such Grantor shall give prompt (and, in any event simultaneously with delivery of the compliance certificate required by Section 5.02(a) of the Credit Agreement for the fiscal quarter in which such Grantor acquires such ownership interest) written notice thereof to the Administrative Agent in accordance herewith, and shall promptly take the actions specified in Section 6.8(c) with respect thereto.</w:t>
      </w:r>
    </w:p>
    <w:p>
      <w:pPr>
        <w:spacing w:after="0" w:line="179" w:lineRule="exact"/>
        <w:rPr>
          <w:sz w:val="20"/>
          <w:szCs w:val="20"/>
          <w:color w:val="auto"/>
        </w:rPr>
      </w:pPr>
    </w:p>
    <w:p>
      <w:pPr>
        <w:jc w:val="both"/>
        <w:ind w:firstLine="1304"/>
        <w:spacing w:after="0" w:line="258" w:lineRule="auto"/>
        <w:tabs>
          <w:tab w:leader="none" w:pos="1565"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execute Intellectual Property Security Agreements with respect to the Intellectual Property included in the Collateral as of the date hereof, as well as any After-Acquired Intellectual Property, in substantially the form of Annexes 2, 3 or 4, as applicable, in order to record the security interest granted herein to the Administrative Agent for the benefit of the Secured Parties with the United States Patent and Trademark Office or the United States Copyright Office, as applicable.</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03"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use commercially reasonable efforts so as not to permit the inclusion in any contract to which it hereafter becomes a party of any provision that could or may in any way materially impair or prevent the creation of a security interest in, or the assignment of, such Grantor’s rights and interests in any property that constitutes Intellectual Property.</w:t>
      </w:r>
    </w:p>
    <w:p>
      <w:pPr>
        <w:spacing w:after="0" w:line="16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578"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promptly notify the Administrative Agent if a Responsible Officer of such Grantor knows that any item of Material Intellectual Property may become (i) abandoned or dedicated to the public or placed in the public domain, (ii) invalid or unenforceable, (iii) subject to any adverse determination or development regarding such Grantor’s ownership, registration or use or the validity or enforceability of such item of Intellectual Property (including the institution of, or any adverse development with respect to, any action or proceeding in the United States Patent and Trademark Office or the United States Copyright Office, or any court) or (iv) the subject of any reversion or termination rights.</w:t>
      </w:r>
    </w:p>
    <w:p>
      <w:pPr>
        <w:spacing w:after="0" w:line="192" w:lineRule="exact"/>
        <w:rPr>
          <w:rFonts w:ascii="Times New Roman" w:cs="Times New Roman" w:eastAsia="Times New Roman" w:hAnsi="Times New Roman"/>
          <w:sz w:val="20"/>
          <w:szCs w:val="20"/>
          <w:color w:val="auto"/>
        </w:rPr>
      </w:pPr>
    </w:p>
    <w:p>
      <w:pPr>
        <w:ind w:right="20" w:firstLine="1304"/>
        <w:spacing w:after="0" w:line="269" w:lineRule="auto"/>
        <w:tabs>
          <w:tab w:leader="none" w:pos="1557"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(and shall require its licensees to) use proper notice of its Intellectual Property rights in connection with the use of any of its Material Intellectual Property.</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576"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not infringe, misappropriate, dilute, or otherwise violate the Intellectual Property rights of any other Person in any manner which could reasonably be expected to have a Material Adverse Effect. In the event that any Person initiates, or threatens in writing to initiate, any action or proceeding alleging that such Grantor, or the conduct of such Grantor’s business, infringes, misappropriates, dilutes, or otherwise violates the Intellectual Property of any other Person, and such action or proceeding could reasonably be expected to have a Material Adverse Effect, such Grantor shall promptly notify the Administrative Agent after a Responsible Officer of such Grantor has knowledge thereof.</w:t>
      </w:r>
    </w:p>
    <w:p>
      <w:pPr>
        <w:spacing w:after="0" w:line="19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617"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Material Intellectual Property owned by or exclusively licensed to any Grantor is infringed, misappropriated, diluted or otherwise violated by another Person, such Grantor shall (i) promptly take all reasonable actions to protect and enforce its rights in such Intellectual Property and (ii) promptly notify the Administrative Agent after a Responsible Officer of such Grantor has knowledge thereof.</w:t>
      </w:r>
    </w:p>
    <w:p>
      <w:pPr>
        <w:sectPr>
          <w:pgSz w:w="11900" w:h="16838" w:orient="portrait"/>
          <w:cols w:equalWidth="0" w:num="1">
            <w:col w:w="11240"/>
          </w:cols>
          <w:pgMar w:left="320" w:top="369" w:right="339" w:bottom="1440" w:gutter="0" w:footer="0" w:header="0"/>
        </w:sectPr>
      </w:pPr>
    </w:p>
    <w:bookmarkStart w:id="270" w:name="page271"/>
    <w:bookmarkEnd w:id="270"/>
    <w:p>
      <w:pPr>
        <w:ind w:left="440"/>
        <w:spacing w:after="0"/>
        <w:rPr>
          <w:sz w:val="20"/>
          <w:szCs w:val="20"/>
          <w:color w:val="auto"/>
        </w:rPr>
      </w:pPr>
      <w:r>
        <w:rPr>
          <w:rFonts w:ascii="Times New Roman" w:cs="Times New Roman" w:eastAsia="Times New Roman" w:hAnsi="Times New Roman"/>
          <w:sz w:val="22"/>
          <w:szCs w:val="2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1304"/>
        <w:spacing w:after="0" w:line="283" w:lineRule="auto"/>
        <w:tabs>
          <w:tab w:leader="none" w:pos="1559"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shall take commercially reasonable steps to protect the confidentiality of all Trade Secrets constituting Material Intellectual Property.</w:t>
      </w:r>
    </w:p>
    <w:p>
      <w:pPr>
        <w:spacing w:after="0" w:line="146" w:lineRule="exact"/>
        <w:rPr>
          <w:rFonts w:ascii="Times New Roman" w:cs="Times New Roman" w:eastAsia="Times New Roman" w:hAnsi="Times New Roman"/>
          <w:sz w:val="20"/>
          <w:szCs w:val="20"/>
          <w:color w:val="auto"/>
        </w:rPr>
      </w:pPr>
    </w:p>
    <w:p>
      <w:pPr>
        <w:ind w:left="1540" w:hanging="236"/>
        <w:spacing w:after="0"/>
        <w:tabs>
          <w:tab w:leader="none" w:pos="15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1304"/>
        <w:spacing w:after="0" w:line="250" w:lineRule="auto"/>
        <w:tabs>
          <w:tab w:leader="none" w:pos="1576"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Grantor’s ownership of any issued, registered or applied for Intellectual Property (other than any Intellectual Property listed under the heading “Copyrights”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and noted with an asterisk (*)) included in the Collateral is not accurately reflected in the public records of the United States Patent and Trademark Office or the United States Copyright Office, as applicable, or to the extent there are any gaps or other deficiencies in the chain of title of such Intellectual Property in the public records of the United States Patent and Trademark Office or the United States Copyright Office, such Grantor agrees to use commercially reasonable efforts to promptly (i) execute and record such documents or other instruments and (ii) take such other actions reasonably required by the Administrative Agent, in each case to clean up the chain of title and to accurately reflect such Grantor’s ownership of such Intellectual Property in the public records of the United States Patent and Trademark Office and the United States Copyright Office. Each Grantor will use commercially reasonable efforts to complete the foregoing within 120 days following the Effective Date (or such later date as is agreed to by the Administrative Agent in its reasonable discretion).</w:t>
      </w:r>
    </w:p>
    <w:p>
      <w:pPr>
        <w:spacing w:after="0" w:line="19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6.9. Pledged Note. Notwithstanding anything to the contrary set forth in any Loan Document, the Company covenants and agrees that it shall not sell, assign, convey, contribute, dispose of or otherwise transfer, or (other than pursuant to the terms of this Agreement) grant or suffer to exist any Lien upon, any of its right, title or interest in the Pledged Note to any other Grantor, any Subsidiary, any Affiliate or any other Person.</w:t>
      </w:r>
    </w:p>
    <w:p>
      <w:pPr>
        <w:spacing w:after="0" w:line="17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7.</w:t>
      </w:r>
      <w:r>
        <w:rPr>
          <w:sz w:val="20"/>
          <w:szCs w:val="20"/>
          <w:color w:val="auto"/>
        </w:rPr>
        <w:tab/>
      </w:r>
      <w:r>
        <w:rPr>
          <w:rFonts w:ascii="Times New Roman" w:cs="Times New Roman" w:eastAsia="Times New Roman" w:hAnsi="Times New Roman"/>
          <w:sz w:val="19"/>
          <w:szCs w:val="19"/>
          <w:color w:val="auto"/>
        </w:rPr>
        <w:t>REMEDIAL PROVISIONS</w:t>
      </w:r>
    </w:p>
    <w:p>
      <w:pPr>
        <w:spacing w:after="0" w:line="25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Certain Matters Relating to Receivables</w:t>
      </w:r>
      <w:r>
        <w:rPr>
          <w:rFonts w:ascii="Times New Roman" w:cs="Times New Roman" w:eastAsia="Times New Roman" w:hAnsi="Times New Roman"/>
          <w:sz w:val="19"/>
          <w:szCs w:val="19"/>
          <w:color w:val="auto"/>
        </w:rPr>
        <w:t>. During any Full Security Period,</w:t>
      </w:r>
    </w:p>
    <w:p>
      <w:pPr>
        <w:spacing w:after="0" w:line="216" w:lineRule="exact"/>
        <w:rPr>
          <w:sz w:val="20"/>
          <w:szCs w:val="20"/>
          <w:color w:val="auto"/>
        </w:rPr>
      </w:pPr>
    </w:p>
    <w:p>
      <w:pPr>
        <w:jc w:val="both"/>
        <w:ind w:firstLine="1304"/>
        <w:spacing w:after="0" w:line="253" w:lineRule="auto"/>
        <w:tabs>
          <w:tab w:leader="none" w:pos="1717"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after the occurrence and during the continuance of an Event of Default to make test verifications of the Receivables in any manner and through any medium that it reasonably considers advisable, and each Grantor shall furnish all such assistance and information as the Administrative Agent may require in connection with such test verifications. At any time and from time to time, after the occurrence and during the continuance of an Event of Default, upon the Administrative Agent’s request and at the expense of the relevant Grantor, such Grantor shall cause independent public accountants or others satisfactory to the Administrative Agent to furnish to the Administrative Agent reports showing reconciliations, aging and test verifications of, and trial balances for, the Receivables.</w:t>
      </w:r>
    </w:p>
    <w:p>
      <w:pPr>
        <w:spacing w:after="0" w:line="179" w:lineRule="exact"/>
        <w:rPr>
          <w:rFonts w:ascii="Times New Roman" w:cs="Times New Roman" w:eastAsia="Times New Roman" w:hAnsi="Times New Roman"/>
          <w:sz w:val="20"/>
          <w:szCs w:val="20"/>
          <w:color w:val="auto"/>
        </w:rPr>
      </w:pPr>
    </w:p>
    <w:p>
      <w:pPr>
        <w:jc w:val="both"/>
        <w:ind w:firstLine="1304"/>
        <w:spacing w:after="0" w:line="253" w:lineRule="auto"/>
        <w:tabs>
          <w:tab w:leader="none" w:pos="201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hereby authorizes each Grantor to collect such Grantor’s Receivables,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maintained under the sole dominion and control of the Administrative Agent, subject to withdrawal by the Administrative Agent for the account of the Lenders only as provided in Section 7.5, and (ii) until so turned over, shall be held by such Grantor in trust for the Administrative Agent and the Lenders, segregated from other funds of such Grantor. Each</w:t>
      </w:r>
    </w:p>
    <w:p>
      <w:pPr>
        <w:sectPr>
          <w:pgSz w:w="11900" w:h="16838" w:orient="portrait"/>
          <w:cols w:equalWidth="0" w:num="1">
            <w:col w:w="11240"/>
          </w:cols>
          <w:pgMar w:left="320" w:top="369" w:right="339" w:bottom="1440" w:gutter="0" w:footer="0" w:header="0"/>
        </w:sectPr>
      </w:pPr>
    </w:p>
    <w:bookmarkStart w:id="271" w:name="page272"/>
    <w:bookmarkEnd w:id="271"/>
    <w:p>
      <w:pPr>
        <w:ind w:left="440"/>
        <w:spacing w:after="0"/>
        <w:rPr>
          <w:sz w:val="20"/>
          <w:szCs w:val="20"/>
          <w:color w:val="auto"/>
        </w:rPr>
      </w:pPr>
      <w:r>
        <w:rPr>
          <w:rFonts w:ascii="Times New Roman" w:cs="Times New Roman" w:eastAsia="Times New Roman" w:hAnsi="Times New Roman"/>
          <w:sz w:val="22"/>
          <w:szCs w:val="2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such deposit of Proceeds of Receivables shall be accompanied by a report identifying in reasonable detail the nature and source of the payments included in the deposit.</w:t>
      </w:r>
    </w:p>
    <w:p>
      <w:pPr>
        <w:spacing w:after="0" w:line="146" w:lineRule="exact"/>
        <w:rPr>
          <w:sz w:val="20"/>
          <w:szCs w:val="20"/>
          <w:color w:val="auto"/>
        </w:rPr>
      </w:pPr>
    </w:p>
    <w:p>
      <w:pPr>
        <w:jc w:val="both"/>
        <w:ind w:firstLine="1304"/>
        <w:spacing w:after="0" w:line="261" w:lineRule="auto"/>
        <w:tabs>
          <w:tab w:leader="none" w:pos="1772"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Administrative Agent’s request, after the occurrence and during the continuance of an Event of Default, each Grantor shall deliver to the Administrative Agent all original and other documents evidencing, and relating to, the agreements and transactions which gave rise to the Receivables, including, without limitation, all original orders, invoices and shipping receipts.</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Communications with Obligors; Grantors Remain Liable</w:t>
      </w:r>
      <w:r>
        <w:rPr>
          <w:rFonts w:ascii="Times New Roman" w:cs="Times New Roman" w:eastAsia="Times New Roman" w:hAnsi="Times New Roman"/>
          <w:sz w:val="19"/>
          <w:szCs w:val="19"/>
          <w:color w:val="auto"/>
        </w:rPr>
        <w:t>. During any Full Security Period,</w:t>
      </w:r>
    </w:p>
    <w:p>
      <w:pPr>
        <w:spacing w:after="0" w:line="229" w:lineRule="exact"/>
        <w:rPr>
          <w:sz w:val="20"/>
          <w:szCs w:val="20"/>
          <w:color w:val="auto"/>
        </w:rPr>
      </w:pPr>
    </w:p>
    <w:p>
      <w:pPr>
        <w:jc w:val="both"/>
        <w:ind w:firstLine="1304"/>
        <w:spacing w:after="0" w:line="261" w:lineRule="auto"/>
        <w:tabs>
          <w:tab w:leader="none" w:pos="172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w:t>
      </w:r>
    </w:p>
    <w:p>
      <w:pPr>
        <w:spacing w:after="0" w:line="167"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3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written request of the Administrative Agent at any time after the occurrence and during the continuance of an Event of Default, each Grantor shall notify obligors on its Receivables that the Receivables have been assigned to the Administrative Agent for the ratable benefit of the Secured Parties and that payments in respect thereof shall be made directly to the Administrative Agent.</w:t>
      </w:r>
    </w:p>
    <w:p>
      <w:pPr>
        <w:spacing w:after="0" w:line="16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02"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to the contrary notwithstanding, each Grantor shall remain liable under each of its Receivables to observe and perform all the conditions and obligations to be observed and performed by it thereunder, all in accordance with the terms of any agreement giving rise thereto. Neither the Administrative Agent nor any Lender shall have any obligation or liability under any Receivable (or any agreement giving rise thereto) by reason of or arising out of this Agreement or the receipt by the Administrative Agent or any Lender of any payment relating thereto, nor shall the Administrative Agent or any Lender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7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Pledged Stock</w:t>
      </w:r>
    </w:p>
    <w:p>
      <w:pPr>
        <w:spacing w:after="0" w:line="229" w:lineRule="exact"/>
        <w:rPr>
          <w:sz w:val="20"/>
          <w:szCs w:val="20"/>
          <w:color w:val="auto"/>
        </w:rPr>
      </w:pPr>
    </w:p>
    <w:p>
      <w:pPr>
        <w:jc w:val="both"/>
        <w:ind w:firstLine="1304"/>
        <w:spacing w:after="0" w:line="253" w:lineRule="auto"/>
        <w:tabs>
          <w:tab w:leader="none" w:pos="172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an Event of Default shall have occurred and be continuing and the Administrative Agent shall have given notice to the relevant Grantor of the Administrative Agent’s intent to exercise its corresponding rights pursuant to Section 7.3(b), each Grantor shall be permitted to receive all cash dividends paid in respect of the Pledged Stock, to the extent not prohibited by the Credit Agreement, to pay and declare dividends to the extent permitted by the Credit Agreement and to exercise all voting and corporate rights with respect to the Pledged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vote shall be cast or corporate right exercised or other action taken which would result in any violation of any provision of the Credit Agreement, this Agreement or any other Loan Document.</w:t>
      </w:r>
    </w:p>
    <w:p>
      <w:pPr>
        <w:spacing w:after="0" w:line="19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38"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shall occur and be continuing and the Administrative Agent shall give written notice of its intent to exercise such rights to the relevant Grantor or Grantors, (i) the Administrative Agent shall have the right to receive any and all cash dividends, payments or other Proceeds paid in respect of the Pledged Stock and make application thereof to the Obligations in</w:t>
      </w:r>
    </w:p>
    <w:p>
      <w:pPr>
        <w:sectPr>
          <w:pgSz w:w="11900" w:h="16838" w:orient="portrait"/>
          <w:cols w:equalWidth="0" w:num="1">
            <w:col w:w="11240"/>
          </w:cols>
          <w:pgMar w:left="320" w:top="369" w:right="339" w:bottom="1440" w:gutter="0" w:footer="0" w:header="0"/>
        </w:sectPr>
      </w:pPr>
    </w:p>
    <w:bookmarkStart w:id="272" w:name="page273"/>
    <w:bookmarkEnd w:id="272"/>
    <w:p>
      <w:pPr>
        <w:ind w:left="440"/>
        <w:spacing w:after="0"/>
        <w:rPr>
          <w:sz w:val="20"/>
          <w:szCs w:val="20"/>
          <w:color w:val="auto"/>
        </w:rPr>
      </w:pPr>
      <w:r>
        <w:rPr>
          <w:rFonts w:ascii="Times New Roman" w:cs="Times New Roman" w:eastAsia="Times New Roman" w:hAnsi="Times New Roman"/>
          <w:sz w:val="22"/>
          <w:szCs w:val="2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accordance with Section 7.5 below, and (ii) any or all of the Pledged Stock shall be registered in the name of the Administrative Agent or its nominee, and the Administrative Agent or its nominee may thereafter exercise (x) all voting, corporate and other rights pertaining to such Pledged Stock at any meeting of shareholders of the relevant Issuer or Issuers or otherwise and (y) any and all rights of conversion, exchange and subscription and any other rights, privileges or options pertaining to such Pledged Stock as if it were the absolute owner thereof (including, without limitation, the right to exchange at its discretion any and all of the Pledged Stock upon the merger, consolidation, reorganization, recapitalization or other fundamental change in the corporate structure of any Issuer, or upon the exercise by any Grantor or the Administrative Agent of any right, privilege or option pertaining to such Pledged Stock, and in connection therewith, the right to deposit and deliver any and all of the Pledged Stock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200" w:lineRule="exact"/>
        <w:rPr>
          <w:sz w:val="20"/>
          <w:szCs w:val="20"/>
          <w:color w:val="auto"/>
        </w:rPr>
      </w:pPr>
    </w:p>
    <w:p>
      <w:pPr>
        <w:jc w:val="both"/>
        <w:ind w:firstLine="1304"/>
        <w:spacing w:after="0" w:line="253" w:lineRule="auto"/>
        <w:tabs>
          <w:tab w:leader="none" w:pos="1829"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hereby authorizes and instructs each Issuer of any Pledged Stock or Pledged Note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Stock or the Pledged Note directly to the Administrative Agent.</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Proceeds to be Turned Over To Administrative Agent</w:t>
      </w:r>
      <w:r>
        <w:rPr>
          <w:rFonts w:ascii="Times New Roman" w:cs="Times New Roman" w:eastAsia="Times New Roman" w:hAnsi="Times New Roman"/>
          <w:sz w:val="20"/>
          <w:szCs w:val="20"/>
          <w:color w:val="auto"/>
        </w:rPr>
        <w:t>. If an Event of Default shall occur and be continuing, all Proceeds received by any Grantor consisting of cash, checks and other near-cash items shall be held by such Grantor in trust for the Administrative Agent and the Lenders,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under this Section 7.4 shall be held by the Administrative Agent in a Collateral Account maintained under its sole dominion and control. All Proceeds while held by the Administrative Agent in a Collateral Account (or by such Grantor in trust for the Administrative Agent and the Lenders) shall continue to be held as collateral security for all the Obligations and shall not constitute payment thereof until applied as provided in Section 7.5.</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At such intervals as may be agreed upon by the Company and the Administrative Agent, or, if an Event of Default shall have occurred and be continuing, at any time at the Administrative Agent's election, the Administrative Agent may apply all or any part of Proceeds constituting Collateral, whether or not held in any Collateral Account, and any proceeds of the guarantee set forth in Section 2, in payment of the Obligations in the following order:</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 incurred and unpaid fees and expenses of the Administrative Agent under the Loan Documents;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the Administrative Agent, for application by it towards payment of amounts then due and owing and remaining unpaid in respect of the Obligations, pro rata among the Secured Parties according to the amounts of the Obligations then due and owing and remaining unpaid to the Secured Parties;</w:t>
      </w:r>
    </w:p>
    <w:p>
      <w:pPr>
        <w:sectPr>
          <w:pgSz w:w="11900" w:h="16838" w:orient="portrait"/>
          <w:cols w:equalWidth="0" w:num="1">
            <w:col w:w="11240"/>
          </w:cols>
          <w:pgMar w:left="320" w:top="369" w:right="339" w:bottom="1440" w:gutter="0" w:footer="0" w:header="0"/>
        </w:sectPr>
      </w:pPr>
    </w:p>
    <w:bookmarkStart w:id="273" w:name="page274"/>
    <w:bookmarkEnd w:id="273"/>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Administrative Agent, for application by it towards prepayment of the Obligations, pro rata among the Secured Parties according to the amounts of the Obligations then held by the Secured Parties; and</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any balance remaining after the Obligations shall have been paid in full, no Letters of Credit shall be outstanding and the Commitments shall have been terminated shall be paid over to the Company or to whomsoever may be lawfully entitled to receive the same.</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Notwithstanding the foregoing, no amounts received from any Guarantor shall be applied to any Excluded Swap Obligations of such Guarantor.</w:t>
      </w:r>
    </w:p>
    <w:p>
      <w:pPr>
        <w:spacing w:after="0" w:line="14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Code and Other Remedies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48" w:lineRule="auto"/>
        <w:tabs>
          <w:tab w:leader="none" w:pos="1725"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shall occur and be continuing, the Administrative Agent, on behalf of the Lenders,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7.6, after deducting all reasonable costs and expenses of every kind incurred in connection therewith or incidental to the care or safekeeping of any of the Collateral or in any way relating to the Collateral or the rights of the Administrative Agent and the Lenders hereunder, including, without limitation, reasonable attorneys’ fees and disbursements, in accordance with Section 7.5 of this Agreement, and only after such application and after the payment by the Administrative Agent of any other amount required by any provision of law, including, without limitation, Section 9-615(a)(3) of the New York UCC, need the Administrative Agent account for the surplus, if any, to any Grantor. To the extent permitted by applicable law, each Grantor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0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Disposition of any of the Intellectual Property, the goodwill of the business connected with and symbolized by any Trademarks subject to such Disposition shall be included, and the applicable Grantor shall supply the Administrative Agent or its designee with such</w:t>
      </w:r>
    </w:p>
    <w:p>
      <w:pPr>
        <w:sectPr>
          <w:pgSz w:w="11900" w:h="16838" w:orient="portrait"/>
          <w:cols w:equalWidth="0" w:num="1">
            <w:col w:w="11240"/>
          </w:cols>
          <w:pgMar w:left="320" w:top="369" w:right="339" w:bottom="1440" w:gutter="0" w:footer="0" w:header="0"/>
        </w:sectPr>
      </w:pPr>
    </w:p>
    <w:bookmarkStart w:id="274" w:name="page275"/>
    <w:bookmarkEnd w:id="274"/>
    <w:p>
      <w:pPr>
        <w:ind w:left="440"/>
        <w:spacing w:after="0"/>
        <w:rPr>
          <w:sz w:val="20"/>
          <w:szCs w:val="20"/>
          <w:color w:val="auto"/>
        </w:rPr>
      </w:pPr>
      <w:r>
        <w:rPr>
          <w:rFonts w:ascii="Times New Roman" w:cs="Times New Roman" w:eastAsia="Times New Roman" w:hAnsi="Times New Roman"/>
          <w:sz w:val="22"/>
          <w:szCs w:val="22"/>
          <w:color w:val="auto"/>
        </w:rPr>
        <w:t>26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Grantor’s know-how and expertise, and with documents and things embodying the same, relating to the exploitation of such Intellectual Property, including the manufacture, distribution, advertising and sale of products or the provision of services under such Intellectual Property, and such Grantor’s customer lists and other records and documents relating to such Intellectual Property and to the manufacture, distribution, advertising and sale of such products and services.</w:t>
      </w:r>
    </w:p>
    <w:p>
      <w:pPr>
        <w:spacing w:after="0" w:line="199" w:lineRule="exact"/>
        <w:rPr>
          <w:sz w:val="20"/>
          <w:szCs w:val="20"/>
          <w:color w:val="auto"/>
        </w:rPr>
      </w:pPr>
    </w:p>
    <w:p>
      <w:pPr>
        <w:jc w:val="both"/>
        <w:ind w:firstLine="1304"/>
        <w:spacing w:after="0" w:line="267" w:lineRule="auto"/>
        <w:tabs>
          <w:tab w:leader="none" w:pos="1565" w:val="left"/>
        </w:tabs>
        <w:numPr>
          <w:ilvl w:val="1"/>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 of enabling the Administrative Agent to exercise rights and remedies under this Section 7.6 (including in order to take possession of, collect, receive, assemble, process, appropriate, remove, realize upon, sell, assign, license out, convey, transfer or grant options to purchase any Collateral) at such time as the Administrative Agent shall be lawfully entitled to exercise such rights and remedies, each Grantor hereby grants to the Administrative Agent, for the benefit of the Secured Parties, to the extent it has the right to do so</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262"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irrevocable, nonexclusive, and assignable license (exercisable without payment of royalty or other compensation to such Grantor), subject, in the case of Trademarks, to sufficient rights to quality control and inspection in favor of such Grantor to avoid the risk of invalidation of such Trademarks, to use, practice, license, sublicense, and otherwise exploit any and all intellectual property now or hereafter owned or licensed by such Grantor (which license shall include access to all media in which any of the licensed items may be recorded or stored and to all software and programs used for the compilation or printout thereof) and (ii) an irrevocable license (without payment of rent or other compensation to such Grantor) to use, operate and occupy all real property owned, operated, leased, subleased, or otherwise occupied by such Grantor.</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Registration Rights</w:t>
      </w:r>
    </w:p>
    <w:p>
      <w:pPr>
        <w:spacing w:after="0" w:line="229" w:lineRule="exact"/>
        <w:rPr>
          <w:sz w:val="20"/>
          <w:szCs w:val="20"/>
          <w:color w:val="auto"/>
        </w:rPr>
      </w:pPr>
    </w:p>
    <w:p>
      <w:pPr>
        <w:jc w:val="both"/>
        <w:ind w:firstLine="1304"/>
        <w:spacing w:after="0" w:line="264" w:lineRule="auto"/>
        <w:tabs>
          <w:tab w:leader="none" w:pos="1803"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shall determine to exercise its right to sell any or all of the Pledged Stock pursuant to Section 7.6, and if in the opinion of the Administrative Agent it is necessary or advisable to have the Pledged Stock, or that portion thereof to be sold, registered under the provisions of the Securities Act, the relevant Grantor will cause the Issuer thereof to (i) execute and deliver, and cause the directors and officers of such Issuer to execute and 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180" w:lineRule="exact"/>
        <w:rPr>
          <w:rFonts w:ascii="Times New Roman" w:cs="Times New Roman" w:eastAsia="Times New Roman" w:hAnsi="Times New Roman"/>
          <w:sz w:val="19"/>
          <w:szCs w:val="19"/>
          <w:color w:val="auto"/>
        </w:rPr>
      </w:pPr>
    </w:p>
    <w:p>
      <w:pPr>
        <w:jc w:val="both"/>
        <w:ind w:firstLine="1304"/>
        <w:spacing w:after="0" w:line="253" w:lineRule="auto"/>
        <w:tabs>
          <w:tab w:leader="none" w:pos="1758"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w:t>
      </w:r>
    </w:p>
    <w:p>
      <w:pPr>
        <w:sectPr>
          <w:pgSz w:w="11900" w:h="16838" w:orient="portrait"/>
          <w:cols w:equalWidth="0" w:num="1">
            <w:col w:w="11240"/>
          </w:cols>
          <w:pgMar w:left="320" w:top="369" w:right="339" w:bottom="1440" w:gutter="0" w:footer="0" w:header="0"/>
        </w:sectPr>
      </w:pPr>
    </w:p>
    <w:bookmarkStart w:id="275" w:name="page276"/>
    <w:bookmarkEnd w:id="275"/>
    <w:p>
      <w:pPr>
        <w:ind w:left="440"/>
        <w:spacing w:after="0"/>
        <w:rPr>
          <w:sz w:val="20"/>
          <w:szCs w:val="20"/>
          <w:color w:val="auto"/>
        </w:rPr>
      </w:pPr>
      <w:r>
        <w:rPr>
          <w:rFonts w:ascii="Times New Roman" w:cs="Times New Roman" w:eastAsia="Times New Roman" w:hAnsi="Times New Roman"/>
          <w:sz w:val="22"/>
          <w:szCs w:val="22"/>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commercially reasonable manner.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181" w:lineRule="exact"/>
        <w:rPr>
          <w:sz w:val="20"/>
          <w:szCs w:val="20"/>
          <w:color w:val="auto"/>
        </w:rPr>
      </w:pPr>
    </w:p>
    <w:p>
      <w:pPr>
        <w:jc w:val="both"/>
        <w:ind w:firstLine="1304"/>
        <w:spacing w:after="0" w:line="251" w:lineRule="auto"/>
        <w:tabs>
          <w:tab w:leader="none" w:pos="1767"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agrees to use its best efforts to do or cause to be done all such other acts as may be necessary to make such sale or sales of all or any portion of the Pledged Stock pursuant to this Section 7.7 valid and binding and in compliance with any and all other applicable Requirements of Law. Each Grantor further agrees that a breach of any of the covenants contained in this Section 7.7 will cause irreparable injury to the Administrative Agent and the Lenders, that the Administrative Agent and the Lenders have no adequate remedy at law in respect of such breach and, as a consequence, that each and every covenant contained in this Section 7.7 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Deficiency.</w:t>
      </w:r>
      <w:r>
        <w:rPr>
          <w:rFonts w:ascii="Times New Roman" w:cs="Times New Roman" w:eastAsia="Times New Roman" w:hAnsi="Times New Roman"/>
          <w:sz w:val="20"/>
          <w:szCs w:val="20"/>
          <w:color w:val="auto"/>
        </w:rPr>
        <w:t xml:space="preserve"> Grantor shall remain liable for any deficiency if the proceeds of any sale or other disposition of the Collateral are insufficient to pay its Obligations and the fees and disbursements of any attorneys employed by the Administrative Agent or any Lender to collect such deficiency.</w:t>
      </w:r>
    </w:p>
    <w:p>
      <w:pPr>
        <w:spacing w:after="0" w:line="18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8.</w:t>
      </w:r>
      <w:r>
        <w:rPr>
          <w:sz w:val="20"/>
          <w:szCs w:val="20"/>
          <w:color w:val="auto"/>
        </w:rPr>
        <w:tab/>
      </w:r>
      <w:r>
        <w:rPr>
          <w:rFonts w:ascii="Times New Roman" w:cs="Times New Roman" w:eastAsia="Times New Roman" w:hAnsi="Times New Roman"/>
          <w:sz w:val="19"/>
          <w:szCs w:val="19"/>
          <w:color w:val="auto"/>
        </w:rPr>
        <w:t>THE ADMINISTRATIVE AGENT</w:t>
      </w:r>
    </w:p>
    <w:p>
      <w:pPr>
        <w:spacing w:after="0" w:line="21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Administrative Agent’s Appointment as Attorney-in-Fact, Etc.</w:t>
      </w:r>
    </w:p>
    <w:p>
      <w:pPr>
        <w:spacing w:after="0" w:line="229" w:lineRule="exact"/>
        <w:rPr>
          <w:sz w:val="20"/>
          <w:szCs w:val="20"/>
          <w:color w:val="auto"/>
        </w:rPr>
      </w:pPr>
    </w:p>
    <w:p>
      <w:pPr>
        <w:jc w:val="both"/>
        <w:ind w:firstLine="1304"/>
        <w:spacing w:after="0" w:line="253" w:lineRule="auto"/>
        <w:tabs>
          <w:tab w:leader="none" w:pos="1779"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w:t>
      </w:r>
    </w:p>
    <w:p>
      <w:pPr>
        <w:spacing w:after="0" w:line="179" w:lineRule="exact"/>
        <w:rPr>
          <w:sz w:val="20"/>
          <w:szCs w:val="20"/>
          <w:color w:val="auto"/>
        </w:rPr>
      </w:pPr>
    </w:p>
    <w:p>
      <w:pPr>
        <w:jc w:val="both"/>
        <w:ind w:left="660" w:firstLine="644"/>
        <w:spacing w:after="0" w:line="257" w:lineRule="auto"/>
        <w:tabs>
          <w:tab w:leader="none" w:pos="1783"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613"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Intellectual Property, execute and deliver, and have recorded, any and all agreements, instruments, documents and papers as the Administrative Agent may request to evidence the Secured Parties’ security interest in such Intellectual Property and the goodwill and general intangibles of such Grantor relating thereto or represented thereby;</w:t>
      </w:r>
    </w:p>
    <w:p>
      <w:pPr>
        <w:spacing w:after="0" w:line="188" w:lineRule="exact"/>
        <w:rPr>
          <w:rFonts w:ascii="Times New Roman" w:cs="Times New Roman" w:eastAsia="Times New Roman" w:hAnsi="Times New Roman"/>
          <w:sz w:val="20"/>
          <w:szCs w:val="20"/>
          <w:color w:val="auto"/>
        </w:rPr>
      </w:pPr>
    </w:p>
    <w:p>
      <w:pPr>
        <w:ind w:left="660" w:firstLine="644"/>
        <w:spacing w:after="0" w:line="283" w:lineRule="auto"/>
        <w:tabs>
          <w:tab w:leader="none" w:pos="1882"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ectPr>
          <w:pgSz w:w="11900" w:h="16838" w:orient="portrait"/>
          <w:cols w:equalWidth="0" w:num="1">
            <w:col w:w="11240"/>
          </w:cols>
          <w:pgMar w:left="320" w:top="369" w:right="339" w:bottom="1440" w:gutter="0" w:footer="0" w:header="0"/>
        </w:sectPr>
      </w:pPr>
    </w:p>
    <w:bookmarkStart w:id="276" w:name="page277"/>
    <w:bookmarkEnd w:id="276"/>
    <w:p>
      <w:pPr>
        <w:ind w:left="440"/>
        <w:spacing w:after="0"/>
        <w:rPr>
          <w:sz w:val="20"/>
          <w:szCs w:val="20"/>
          <w:color w:val="auto"/>
        </w:rPr>
      </w:pPr>
      <w:r>
        <w:rPr>
          <w:rFonts w:ascii="Times New Roman" w:cs="Times New Roman" w:eastAsia="Times New Roman" w:hAnsi="Times New Roman"/>
          <w:sz w:val="22"/>
          <w:szCs w:val="22"/>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right="20" w:firstLine="644"/>
        <w:spacing w:after="0" w:line="283" w:lineRule="auto"/>
        <w:tabs>
          <w:tab w:leader="none" w:pos="1918"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in connection with any sale provided for in Section 7.6 or 7.7, any indorsements, assignments or other instruments of conveyance or transfer with respect to the Collateral;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39"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direct any party liable for any payment under any of the Collateral to make payment of any and all moneys due or to become due thereunder directly to the Administrative Agent or as the Administrative Agent shall direct; (2) ask or demand for, collect, and receive payment of and receipt for, any and all moneys, claims and other amounts due or to become due at any time in respect of or arising out of any Collateral; (3) sign and indorse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Administrative Agent may deem appropriate; ; (7)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(8)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Lenders’ security interests therein and to effect the intent of this Agreement, all as fully and effectively as such Grantor might do.</w:t>
      </w:r>
    </w:p>
    <w:p>
      <w:pPr>
        <w:spacing w:after="0" w:line="207"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Anything in this Section 8.1(a) to the contrary notwithstanding, the Administrative Agent agrees that it will not exercise any rights under the power of attorney provided for in this Section 8.1(a) unless an Event of Default shall have occurred and be continuing.</w:t>
      </w:r>
    </w:p>
    <w:p>
      <w:pPr>
        <w:spacing w:after="0" w:line="146" w:lineRule="exact"/>
        <w:rPr>
          <w:sz w:val="20"/>
          <w:szCs w:val="20"/>
          <w:color w:val="auto"/>
        </w:rPr>
      </w:pPr>
    </w:p>
    <w:p>
      <w:pPr>
        <w:ind w:firstLine="1304"/>
        <w:spacing w:after="0" w:line="283" w:lineRule="auto"/>
        <w:tabs>
          <w:tab w:leader="none" w:pos="175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Grantor fails to perform or comply with any of its agreements contained herein, the Administrative Agent, at its option, but without any obligation so to do, may perform or comply, or otherwise cause performance or compliance, with such agreement.</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61"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expenses of the Administrative Agent incurred in connection with actions undertaken as provided in this Section 8.1, together with interest thereon at a rate per annum equal to the highest rate per annum at which interest would then be payable on any category of past due ABR Loans under the Credit Agreement, from the date of payment by the Administrative Agent to the date reimbursed by the relevant Grantor, shall be payable by such Grantor to the Administrative Agent on demand.</w:t>
      </w:r>
    </w:p>
    <w:p>
      <w:pPr>
        <w:spacing w:after="0" w:line="187" w:lineRule="exact"/>
        <w:rPr>
          <w:rFonts w:ascii="Times New Roman" w:cs="Times New Roman" w:eastAsia="Times New Roman" w:hAnsi="Times New Roman"/>
          <w:sz w:val="20"/>
          <w:szCs w:val="20"/>
          <w:color w:val="auto"/>
        </w:rPr>
      </w:pPr>
    </w:p>
    <w:p>
      <w:pPr>
        <w:ind w:firstLine="1304"/>
        <w:spacing w:after="0" w:line="283" w:lineRule="auto"/>
        <w:tabs>
          <w:tab w:leader="none" w:pos="176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powers, authorizations and agencies contained in this Agreement are coupled with an interest and are irrevocable until this Agreement is terminated and the security interests created hereby are released.</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Duty of Administrative Agent.</w:t>
      </w:r>
      <w:r>
        <w:rPr>
          <w:rFonts w:ascii="Times New Roman" w:cs="Times New Roman" w:eastAsia="Times New Roman" w:hAnsi="Times New Roman"/>
          <w:sz w:val="20"/>
          <w:szCs w:val="20"/>
          <w:color w:val="auto"/>
        </w:rPr>
        <w:t xml:space="preserve"> The Administrative Agent’s sole duty with respect to the custody, safekeeping and physical preservation of the Collateral in its possession is to comply with Section 9-207 of the New York UCC. Neither the Administrative Agent, any Lender nor</w:t>
      </w:r>
    </w:p>
    <w:p>
      <w:pPr>
        <w:sectPr>
          <w:pgSz w:w="11900" w:h="16838" w:orient="portrait"/>
          <w:cols w:equalWidth="0" w:num="1">
            <w:col w:w="11240"/>
          </w:cols>
          <w:pgMar w:left="320" w:top="369" w:right="339" w:bottom="1440" w:gutter="0" w:footer="0" w:header="0"/>
        </w:sectPr>
      </w:pPr>
    </w:p>
    <w:bookmarkStart w:id="277" w:name="page278"/>
    <w:bookmarkEnd w:id="277"/>
    <w:p>
      <w:pPr>
        <w:ind w:left="440"/>
        <w:spacing w:after="0"/>
        <w:rPr>
          <w:sz w:val="20"/>
          <w:szCs w:val="20"/>
          <w:color w:val="auto"/>
        </w:rPr>
      </w:pPr>
      <w:r>
        <w:rPr>
          <w:rFonts w:ascii="Times New Roman" w:cs="Times New Roman" w:eastAsia="Times New Roman" w:hAnsi="Times New Roman"/>
          <w:sz w:val="22"/>
          <w:szCs w:val="2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Lenders hereunder are solely to protect the Administrative Agent’s and the Lenders’ interests in the Collateral and shall not impose any duty upon the Administrative Agent or any Lender to exercise any such powers. The Administrative Agent and the Lenders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19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Execution of Financing Statements.</w:t>
      </w:r>
      <w:r>
        <w:rPr>
          <w:rFonts w:ascii="Times New Roman" w:cs="Times New Roman" w:eastAsia="Times New Roman" w:hAnsi="Times New Roman"/>
          <w:sz w:val="20"/>
          <w:szCs w:val="20"/>
          <w:color w:val="auto"/>
        </w:rPr>
        <w:t xml:space="preserve"> Pursuant to any applicable law, each Grantor authorizes the Administrative Agent to file or record financing statements and other filing or recording documents or instruments with respect to the Collateral without the signature of such Grantor in such form and in such offices as the Administrative Agent determines appropriate to perfect the security interests of the Administrative Agent under this Agreement. Each Grantor hereby ratifies and authorizes the filing by the Administrative Agent of any financing statement solely with respect to the Collateral made prior to the Effective Date. A photographic or other reproduction of this Agreement shall be sufficient as a financing statement or other filing or recording document or instrument for filing or recording in any jurisdiction.</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Grantor agrees that from time to time, at the expense of such Grantor, it shall promptly execute and deliver all further instruments and documents and take all further action that may be necessary or desirable, or that the Administrative Agent may reasonably request, in order to create and/or maintain the validity, perfection or priority of and protect any security interest granted or purported to be granted hereby or to enable the Administrative Agent to exercise and enforce its rights and remedies hereunder in respect of any Collateral. Without limiting the generality of the foregoing, each Grantor shall:</w:t>
      </w:r>
    </w:p>
    <w:p>
      <w:pPr>
        <w:spacing w:after="0" w:line="219" w:lineRule="exact"/>
        <w:rPr>
          <w:sz w:val="20"/>
          <w:szCs w:val="20"/>
          <w:color w:val="auto"/>
        </w:rPr>
      </w:pPr>
    </w:p>
    <w:p>
      <w:pPr>
        <w:jc w:val="both"/>
        <w:ind w:firstLine="1304"/>
        <w:spacing w:after="0" w:line="258" w:lineRule="auto"/>
        <w:tabs>
          <w:tab w:leader="none" w:pos="157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such financing or continuation statements, or amendments thereto, record security interests in Intellectual Property and execute and deliver such other agreements, instruments, endorsements, powers of attorney or notices, as may be necessary or desirable, or as the Administrative Agent may reasonably request, in order to effect, reflect, perfect and preserve the security interests granted or purported to be granted hereby; and</w:t>
      </w:r>
    </w:p>
    <w:p>
      <w:pPr>
        <w:spacing w:after="0" w:line="19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60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actions necessary to ensure the recordation of appropriate evidence of the liens and security interest granted hereunder in any Intellectual Property with any intellectual property registry in which said Intellectual Property is registered or issued or in which an application for registration or issuance is pending, including, without limitation, the United States Patent and Trademark Office and the United States Copyright Office.</w:t>
      </w:r>
    </w:p>
    <w:p>
      <w:pPr>
        <w:spacing w:after="0" w:line="21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Authority of Administrative Agent.</w:t>
      </w:r>
      <w:r>
        <w:rPr>
          <w:rFonts w:ascii="Times New Roman" w:cs="Times New Roman" w:eastAsia="Times New Roman" w:hAnsi="Times New Roman"/>
          <w:sz w:val="20"/>
          <w:szCs w:val="20"/>
          <w:color w:val="auto"/>
        </w:rPr>
        <w:t xml:space="preserve">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Grantors, the Administrative Agent shall be conclusively presumed to be acting as agent for the Lenders with full and valid authority so to act or</w:t>
      </w:r>
    </w:p>
    <w:p>
      <w:pPr>
        <w:sectPr>
          <w:pgSz w:w="11900" w:h="16838" w:orient="portrait"/>
          <w:cols w:equalWidth="0" w:num="1">
            <w:col w:w="11240"/>
          </w:cols>
          <w:pgMar w:left="320" w:top="369" w:right="339" w:bottom="1440" w:gutter="0" w:footer="0" w:header="0"/>
        </w:sectPr>
      </w:pPr>
    </w:p>
    <w:bookmarkStart w:id="278" w:name="page279"/>
    <w:bookmarkEnd w:id="278"/>
    <w:p>
      <w:pPr>
        <w:ind w:left="440"/>
        <w:spacing w:after="0"/>
        <w:rPr>
          <w:sz w:val="20"/>
          <w:szCs w:val="20"/>
          <w:color w:val="auto"/>
        </w:rPr>
      </w:pPr>
      <w:r>
        <w:rPr>
          <w:rFonts w:ascii="Times New Roman" w:cs="Times New Roman" w:eastAsia="Times New Roman" w:hAnsi="Times New Roman"/>
          <w:sz w:val="22"/>
          <w:szCs w:val="22"/>
          <w:color w:val="auto"/>
        </w:rPr>
        <w:t>30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refrain from acting, and no Grantor shall be under any obligation, or entitlement, to make any inquiry respecting such authority.</w:t>
      </w:r>
    </w:p>
    <w:p>
      <w:pPr>
        <w:spacing w:after="0" w:line="229"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u w:val="single" w:color="auto"/>
          <w:color w:val="auto"/>
        </w:rPr>
        <w:t>SECTION 9.</w:t>
      </w:r>
      <w:r>
        <w:rPr>
          <w:sz w:val="20"/>
          <w:szCs w:val="20"/>
          <w:color w:val="auto"/>
        </w:rPr>
        <w:tab/>
      </w:r>
      <w:r>
        <w:rPr>
          <w:rFonts w:ascii="Times New Roman" w:cs="Times New Roman" w:eastAsia="Times New Roman" w:hAnsi="Times New Roman"/>
          <w:sz w:val="19"/>
          <w:szCs w:val="19"/>
          <w:color w:val="auto"/>
        </w:rPr>
        <w:t>MISCELLANEOUS</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Amendments in Writing</w:t>
      </w:r>
      <w:r>
        <w:rPr>
          <w:rFonts w:ascii="Times New Roman" w:cs="Times New Roman" w:eastAsia="Times New Roman" w:hAnsi="Times New Roman"/>
          <w:sz w:val="20"/>
          <w:szCs w:val="20"/>
          <w:color w:val="auto"/>
        </w:rPr>
        <w:t>. None of the terms or provisions of this Agreement may be waived, amended, supplemented or otherwise modified except in accordance with Section 9.02 of the Credit Agreement.</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and demands to or upon the Administrative Agent or any Grantor hereunder shall be effected in the manner provided for in Section 9.01 of the Credit Agreement; provided that any such notice, request or demand to or upon any Guarantor shall be addressed to such Guarantor at its notice address set forth on Schedule 1.</w:t>
      </w:r>
    </w:p>
    <w:p>
      <w:pPr>
        <w:spacing w:after="0" w:line="16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No Waiver by Course of Conduct; Cumulative Remedies</w:t>
      </w:r>
      <w:r>
        <w:rPr>
          <w:rFonts w:ascii="Times New Roman" w:cs="Times New Roman" w:eastAsia="Times New Roman" w:hAnsi="Times New Roman"/>
          <w:sz w:val="20"/>
          <w:szCs w:val="20"/>
          <w:color w:val="auto"/>
        </w:rPr>
        <w:t>. Neither the Administrative Agent nor any Lender shall by any act (except by a written instrument pursuant to Section 9.1),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18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Expenses; Indemnity</w:t>
      </w:r>
    </w:p>
    <w:p>
      <w:pPr>
        <w:spacing w:after="0" w:line="216" w:lineRule="exact"/>
        <w:rPr>
          <w:sz w:val="20"/>
          <w:szCs w:val="20"/>
          <w:color w:val="auto"/>
        </w:rPr>
      </w:pPr>
    </w:p>
    <w:p>
      <w:pPr>
        <w:jc w:val="both"/>
        <w:ind w:firstLine="1304"/>
        <w:spacing w:after="0" w:line="253" w:lineRule="auto"/>
        <w:tabs>
          <w:tab w:leader="none" w:pos="1851"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agrees to pay or reimburse each Lender and the Administrative Agent and its Affiliates for all its reasonable and documented out-of-pocket expenses incurred in collecting against such Grantor under the guarantees contained in Section 2 or 3, as applicable, or otherwise enforcing or preserving any rights under this Agreement and the other Loan Documents to which such Grantor is a party, including, without limitation, the reasonable and documented fees, charges and disbursements of one primary counsel (and specialist counsel as may reasonably be required by the Administrative Agent and one additional local counsel in each applicable jurisdiction) for the Administrative Agent (whether or not the transactions contemplated hereby shall be consummated).</w:t>
      </w:r>
    </w:p>
    <w:p>
      <w:pPr>
        <w:spacing w:after="0" w:line="19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72"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agrees to pay, and to save the Administrative Agent and the Lenders harmless from, any and all losses, claims, damages, liabilities and related expenses, including the fees, charges and disbursements of any counsel, incurred by or asserted against any such Grantor arising out of, in connection with, or as a result the execution, delivery, enforcement, performance and administration of this Agreement to the extent the Company would be required to do so pursuant to Section 9.03 of the Credit Agreement.</w:t>
      </w:r>
    </w:p>
    <w:p>
      <w:pPr>
        <w:spacing w:after="0" w:line="18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3"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agreements in this Section 9.4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ectPr>
          <w:pgSz w:w="11900" w:h="16838" w:orient="portrait"/>
          <w:cols w:equalWidth="0" w:num="1">
            <w:col w:w="11240"/>
          </w:cols>
          <w:pgMar w:left="320" w:top="369" w:right="339" w:bottom="1440" w:gutter="0" w:footer="0" w:header="0"/>
        </w:sectPr>
      </w:pPr>
    </w:p>
    <w:bookmarkStart w:id="279" w:name="page280"/>
    <w:bookmarkEnd w:id="279"/>
    <w:p>
      <w:pPr>
        <w:ind w:left="440"/>
        <w:spacing w:after="0"/>
        <w:rPr>
          <w:sz w:val="20"/>
          <w:szCs w:val="20"/>
          <w:color w:val="auto"/>
        </w:rPr>
      </w:pPr>
      <w:r>
        <w:rPr>
          <w:rFonts w:ascii="Times New Roman" w:cs="Times New Roman" w:eastAsia="Times New Roman" w:hAnsi="Times New Roman"/>
          <w:sz w:val="22"/>
          <w:szCs w:val="2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provisions of this Agreement shall be binding upon and inure to the benefit of the parties hereto and their respective successors and assigns permitted hereby or by the express terms of the Credit Agreement; provided that no Grantor may assign, transfer or delegate any of its rights or obligations under this Agreement without the prior written consent of the Administrative Agent.</w:t>
      </w:r>
    </w:p>
    <w:p>
      <w:pPr>
        <w:spacing w:after="0" w:line="17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If an Event of Default shall have occurred and be continuing, the Administrative Agent and each Lender and their Affiliates, is hereby authorized at any time and from time to time, to the fullest extent permitted by law, to set-off and apply any and all deposits (general or special, time or demand, provisional or final and in whatever currency denominated), at any time held and the other obligations at any time owing by the Administrative Agent or such Lender or their respective Affiliates to or for the credit or the account of such Grantor, or any part thereof in such amounts as the Administrative Agent or such Lender may elect, against and on account of the obligations and liabilities of such Grantor to the Administrative Agent or such Lender hereunder and claims of every nature and description of the Administrative Agent or such Lender against such Grantor, in any currency, whether arising hereunder, under the Credit Agreement, any other Loan Document or otherwise, as the Administrative Agent or such Lender may elect. The Administrative Agent and each Lender shall notify such Grantor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9.6 are in addition to other rights and remedies (including, without limitation, other rights of set-off) which the Administrative Agent or such Lender may have; provided, that to the extent prohibited by applicable law as described in the definition of “Excluded Swap Obligation”, no amounts received from , or set off with respect to, any Guarantor shall be applied to any Excluded Swap Obligations of such Guarantor.</w:t>
      </w:r>
    </w:p>
    <w:p>
      <w:pPr>
        <w:spacing w:after="0" w:line="19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 contract or record</w:t>
      </w:r>
    </w:p>
    <w:p>
      <w:pPr>
        <w:spacing w:after="0" w:line="20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Section Headings</w:t>
      </w:r>
      <w:r>
        <w:rPr>
          <w:rFonts w:ascii="Times New Roman" w:cs="Times New Roman" w:eastAsia="Times New Roman" w:hAnsi="Times New Roman"/>
          <w:sz w:val="20"/>
          <w:szCs w:val="20"/>
          <w:color w:val="auto"/>
        </w:rPr>
        <w:t>. The Section headings used herein are for convenience of reference only, are not part of this Agreement and shall not affect the construction of, or be taken into consideration in interpreting, this Agreement.</w:t>
      </w:r>
    </w:p>
    <w:p>
      <w:pPr>
        <w:sectPr>
          <w:pgSz w:w="11900" w:h="16838" w:orient="portrait"/>
          <w:cols w:equalWidth="0" w:num="1">
            <w:col w:w="11240"/>
          </w:cols>
          <w:pgMar w:left="320" w:top="369" w:right="339" w:bottom="1440" w:gutter="0" w:footer="0" w:header="0"/>
        </w:sectPr>
      </w:pPr>
    </w:p>
    <w:bookmarkStart w:id="280" w:name="page281"/>
    <w:bookmarkEnd w:id="280"/>
    <w:p>
      <w:pPr>
        <w:ind w:left="440"/>
        <w:spacing w:after="0"/>
        <w:rPr>
          <w:sz w:val="20"/>
          <w:szCs w:val="20"/>
          <w:color w:val="auto"/>
        </w:rPr>
      </w:pPr>
      <w:r>
        <w:rPr>
          <w:rFonts w:ascii="Times New Roman" w:cs="Times New Roman" w:eastAsia="Times New Roman" w:hAnsi="Times New Roman"/>
          <w:sz w:val="22"/>
          <w:szCs w:val="2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and the other Loan Documents constitute the entire contract among the parties relating to the subject matter hereof and thereof, and supersede any and all previous agreements and understandings, oral or written, relating to the matter hereof. There are no promises, undertakings, representations or warranties by the Administrative Agent or any Lender relative to subject matter hereof and thereof not expressly set forth or referred to herein or in the other Loan Documents.</w:t>
      </w:r>
    </w:p>
    <w:p>
      <w:pPr>
        <w:spacing w:after="0" w:line="16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CONSTRUED IN ACCORDANCE WITH AND GOVERNED BY THE LAW OF THE STATE OF NEW YORK.</w:t>
      </w:r>
    </w:p>
    <w:p>
      <w:pPr>
        <w:spacing w:after="0" w:line="15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 Each Grantor hereby irrevocably and unconditionally:</w:t>
      </w:r>
    </w:p>
    <w:p>
      <w:pPr>
        <w:spacing w:after="0" w:line="216" w:lineRule="exact"/>
        <w:rPr>
          <w:sz w:val="20"/>
          <w:szCs w:val="20"/>
          <w:color w:val="auto"/>
        </w:rPr>
      </w:pPr>
    </w:p>
    <w:p>
      <w:pPr>
        <w:jc w:val="both"/>
        <w:ind w:firstLine="1304"/>
        <w:spacing w:after="0" w:line="253" w:lineRule="auto"/>
        <w:tabs>
          <w:tab w:leader="none" w:pos="1797"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w:t>
      </w:r>
    </w:p>
    <w:p>
      <w:pPr>
        <w:spacing w:after="0" w:line="17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66"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(a) of this Section. Each Grantor hereto hereby irrevocably waives, to the fullest extent permitted by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729"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service of process in any such action or proceeding may be effected by mailing a copy thereof by registered or certified mail (or any substantially similar form of mail), postage prepaid, return receipt requested, to such Grantor at its address referred to in Section 9.2 or at such other address of which the Administrative Agent shall have been notified pursuant thereto;</w:t>
      </w:r>
    </w:p>
    <w:p>
      <w:pPr>
        <w:spacing w:after="0" w:line="167" w:lineRule="exact"/>
        <w:rPr>
          <w:rFonts w:ascii="Times New Roman" w:cs="Times New Roman" w:eastAsia="Times New Roman" w:hAnsi="Times New Roman"/>
          <w:sz w:val="20"/>
          <w:szCs w:val="20"/>
          <w:color w:val="auto"/>
        </w:rPr>
      </w:pPr>
    </w:p>
    <w:p>
      <w:pPr>
        <w:ind w:right="20" w:firstLine="1304"/>
        <w:spacing w:after="0" w:line="283" w:lineRule="auto"/>
        <w:tabs>
          <w:tab w:leader="none" w:pos="1792"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law or shall limit the right to sue in any other jurisdiction; and</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753"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indirect, consequential or punitive damages.</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Acknowledgments</w:t>
      </w:r>
      <w:r>
        <w:rPr>
          <w:rFonts w:ascii="Times New Roman" w:cs="Times New Roman" w:eastAsia="Times New Roman" w:hAnsi="Times New Roman"/>
          <w:sz w:val="19"/>
          <w:szCs w:val="19"/>
          <w:color w:val="auto"/>
        </w:rPr>
        <w:t>. Each Grantor hereby acknowledges that:</w:t>
      </w:r>
    </w:p>
    <w:p>
      <w:pPr>
        <w:spacing w:after="0" w:line="216" w:lineRule="exact"/>
        <w:rPr>
          <w:sz w:val="20"/>
          <w:szCs w:val="20"/>
          <w:color w:val="auto"/>
        </w:rPr>
      </w:pPr>
    </w:p>
    <w:p>
      <w:pPr>
        <w:ind w:firstLine="1304"/>
        <w:spacing w:after="0" w:line="283" w:lineRule="auto"/>
        <w:tabs>
          <w:tab w:leader="none" w:pos="1851"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 Documents to which it is a party;</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47"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Lender has any fiduciary relationship with or duty to any Grantor arising out of or in connection with this Agreement or any of the other Loan Documents, and the relationship between the Grantors, on the one hand, and the Administrative Agent</w:t>
      </w:r>
    </w:p>
    <w:p>
      <w:pPr>
        <w:sectPr>
          <w:pgSz w:w="11900" w:h="16838" w:orient="portrait"/>
          <w:cols w:equalWidth="0" w:num="1">
            <w:col w:w="11240"/>
          </w:cols>
          <w:pgMar w:left="320" w:top="369" w:right="339" w:bottom="1440" w:gutter="0" w:footer="0" w:header="0"/>
        </w:sectPr>
      </w:pPr>
    </w:p>
    <w:bookmarkStart w:id="281" w:name="page282"/>
    <w:bookmarkEnd w:id="281"/>
    <w:p>
      <w:pPr>
        <w:ind w:left="440"/>
        <w:spacing w:after="0"/>
        <w:rPr>
          <w:sz w:val="20"/>
          <w:szCs w:val="20"/>
          <w:color w:val="auto"/>
        </w:rPr>
      </w:pPr>
      <w:r>
        <w:rPr>
          <w:rFonts w:ascii="Times New Roman" w:cs="Times New Roman" w:eastAsia="Times New Roman" w:hAnsi="Times New Roman"/>
          <w:sz w:val="22"/>
          <w:szCs w:val="22"/>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Lenders, on the other hand, in connection herewith or therewith is solely that of debtor and creditor; and</w:t>
      </w:r>
    </w:p>
    <w:p>
      <w:pPr>
        <w:spacing w:after="0" w:line="229" w:lineRule="exact"/>
        <w:rPr>
          <w:sz w:val="20"/>
          <w:szCs w:val="20"/>
          <w:color w:val="auto"/>
        </w:rPr>
      </w:pPr>
    </w:p>
    <w:p>
      <w:pPr>
        <w:ind w:right="20" w:firstLine="1304"/>
        <w:spacing w:after="0" w:line="269" w:lineRule="auto"/>
        <w:tabs>
          <w:tab w:leader="none" w:pos="179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Grantors and the Lenders.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9.14. </w:t>
      </w:r>
      <w:r>
        <w:rPr>
          <w:rFonts w:ascii="Times New Roman" w:cs="Times New Roman" w:eastAsia="Times New Roman" w:hAnsi="Times New Roman"/>
          <w:sz w:val="20"/>
          <w:szCs w:val="20"/>
          <w:u w:val="single" w:color="auto"/>
          <w:color w:val="auto"/>
        </w:rPr>
        <w:t>Additional Guarantors and Grantors</w:t>
      </w:r>
      <w:r>
        <w:rPr>
          <w:rFonts w:ascii="Times New Roman" w:cs="Times New Roman" w:eastAsia="Times New Roman" w:hAnsi="Times New Roman"/>
          <w:sz w:val="20"/>
          <w:szCs w:val="20"/>
          <w:color w:val="auto"/>
        </w:rPr>
        <w:t>. Each Domestic Subsidiary that is required to become a party to this Agreement pursuant to Section 5.11(b) of the Credit Agreement shall become a Guarantor and Grantor for all purposes of this Agreement upon execution and delivery by such Domestic Subsidiary of an Assumption Agreement in the form of Annex 1 hereto.</w:t>
      </w:r>
    </w:p>
    <w:p>
      <w:pPr>
        <w:spacing w:after="0" w:line="18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19"/>
          <w:szCs w:val="19"/>
          <w:u w:val="single" w:color="auto"/>
          <w:color w:val="auto"/>
        </w:rPr>
        <w:t>Releases; Reinstatement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1" w:lineRule="auto"/>
        <w:tabs>
          <w:tab w:leader="none" w:pos="1769"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Loans, the Reimbursement Obligations and the other Obligations shall have been paid in full (other than unasserted contingent obligations not yet due and payable), the Commitments have been terminated and no Letters of Credit shall be outstanding, the Collateral shall be released from the Liens created hereby, and this Agreement and all obligations (other than those expressly stated to survive such termination) of the Administrative Agent and each Grantor hereunder shall terminate, all without delivery of any instrument or performance of any act by any party, and all rights to the Collateral shall revert to the Grantors. At the request and sole expense of any Grantor following any such termination, the Administrative Agent shall deliver to such Grantor any Collateral held by the Administrative Agent hereunder, and execute and deliver to such Grantor such documents as such Grantor shall reasonably request to evidence such termination.</w:t>
      </w:r>
    </w:p>
    <w:p>
      <w:pPr>
        <w:spacing w:after="0" w:line="19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49"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Collateral shall be sold, transferred or otherwise disposed of by any Grantor in a transaction permitted by the Credit Agreement, then such Collateral shall be sold free and clear of any liens created by this Agreement and the Administrative Agent, at the request and sole expense of such Grantor, shall execute and deliver to such Grantor all releases or other documents reasonably necessary or desirable for the release of the Liens created hereby on such Collateral. At the request and sole expense of the Company, a Subsidiary Guarantor shall be released from its obligations hereunder in the event that all the Capital Stock of such Subsidiary Guarantor shall be sold, transferred or otherwise disposed of in a transaction permitted by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have delivered to the Administrative Agent, at least ten Business Days prior to the date of the proposed release, a written request for release identifying the relevant Subsidiary Guarantor and the terms of the sale or other disposition in reasonable detail, including the price thereof and any expenses in connection therewith, together with a certification by the Company stating that such transaction is in compliance with the Credit Agreement and the other Loan Documents.</w:t>
      </w:r>
    </w:p>
    <w:p>
      <w:pPr>
        <w:spacing w:after="0" w:line="196"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5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Specified Conditions shall be in effect, the Company shall have the right by written notice to the Administrative Agent to require all Collateral be released from any security interest created hereby. On any such date (a “</w:t>
      </w:r>
      <w:r>
        <w:rPr>
          <w:rFonts w:ascii="Times New Roman" w:cs="Times New Roman" w:eastAsia="Times New Roman" w:hAnsi="Times New Roman"/>
          <w:sz w:val="20"/>
          <w:szCs w:val="20"/>
          <w:u w:val="single" w:color="auto"/>
          <w:color w:val="auto"/>
        </w:rPr>
        <w:t>Ratings Release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all rights to the Collateral shall transfer and revert to the Company and the Guarantors (the period from and after any such date (and prior to a reinstatement required pursuant to Section 9.15(d)), an “</w:t>
      </w:r>
      <w:r>
        <w:rPr>
          <w:rFonts w:ascii="Times New Roman" w:cs="Times New Roman" w:eastAsia="Times New Roman" w:hAnsi="Times New Roman"/>
          <w:sz w:val="20"/>
          <w:szCs w:val="20"/>
          <w:u w:val="single" w:color="auto"/>
          <w:color w:val="auto"/>
        </w:rPr>
        <w:t>Unsecured Period</w:t>
      </w:r>
      <w:r>
        <w:rPr>
          <w:rFonts w:ascii="Times New Roman" w:cs="Times New Roman" w:eastAsia="Times New Roman" w:hAnsi="Times New Roman"/>
          <w:sz w:val="20"/>
          <w:szCs w:val="20"/>
          <w:color w:val="auto"/>
        </w:rPr>
        <w:t>”). On any such Ratings Release Date, the Grantors shall be authorized and the Administrative Agent hereby authorizes each Grantor, to prepare and record UCC termination statements with respect to any financing statements recorded by the Administrative Agent hereunder. At the request and sole expense of the Company following a Ratings Release Date, the Administrative Agent shall deliver to the Company any Collateral (including certificates representing the Pledged Stock) held by the Administrative Agent hereunder, and</w:t>
      </w:r>
    </w:p>
    <w:p>
      <w:pPr>
        <w:sectPr>
          <w:pgSz w:w="11900" w:h="16838" w:orient="portrait"/>
          <w:cols w:equalWidth="0" w:num="1">
            <w:col w:w="11240"/>
          </w:cols>
          <w:pgMar w:left="320" w:top="369" w:right="339" w:bottom="1440" w:gutter="0" w:footer="0" w:header="0"/>
        </w:sectPr>
      </w:pPr>
    </w:p>
    <w:bookmarkStart w:id="282" w:name="page283"/>
    <w:bookmarkEnd w:id="282"/>
    <w:p>
      <w:pPr>
        <w:ind w:left="440"/>
        <w:spacing w:after="0"/>
        <w:rPr>
          <w:sz w:val="20"/>
          <w:szCs w:val="20"/>
          <w:color w:val="auto"/>
        </w:rPr>
      </w:pPr>
      <w:r>
        <w:rPr>
          <w:rFonts w:ascii="Times New Roman" w:cs="Times New Roman" w:eastAsia="Times New Roman" w:hAnsi="Times New Roman"/>
          <w:sz w:val="22"/>
          <w:szCs w:val="2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 and deliver to the Company such documents as the Company shall reasonably request to evidence such termination.</w:t>
      </w:r>
    </w:p>
    <w:p>
      <w:pPr>
        <w:spacing w:after="0" w:line="229" w:lineRule="exact"/>
        <w:rPr>
          <w:sz w:val="20"/>
          <w:szCs w:val="20"/>
          <w:color w:val="auto"/>
        </w:rPr>
      </w:pPr>
    </w:p>
    <w:p>
      <w:pPr>
        <w:jc w:val="both"/>
        <w:ind w:firstLine="1304"/>
        <w:spacing w:after="0" w:line="253" w:lineRule="auto"/>
        <w:tabs>
          <w:tab w:leader="none" w:pos="1734"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clause (c) of this Section 9.15, in the event that the Specified Conditions shall no longer be in effect at any time during an Unsecured Period, the Collateral shall be reinstated in full within sixty days of such event, along with any necessary UCC filings, modifications to the Schedules hereto and such other actions requested by the Administrative Agent as are reasonably necessary to grant a first priority perfected security interest (subject to Liens otherwise permitted by this Agreement and the Credit Agreement) in such Collateral.</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9.16. </w:t>
      </w:r>
      <w:r>
        <w:rPr>
          <w:rFonts w:ascii="Times New Roman" w:cs="Times New Roman" w:eastAsia="Times New Roman" w:hAnsi="Times New Roman"/>
          <w:sz w:val="20"/>
          <w:szCs w:val="20"/>
          <w:u w:val="single" w:color="auto"/>
          <w:color w:val="auto"/>
        </w:rPr>
        <w:t>Conflict of Laws</w:t>
      </w:r>
      <w:r>
        <w:rPr>
          <w:rFonts w:ascii="Times New Roman" w:cs="Times New Roman" w:eastAsia="Times New Roman" w:hAnsi="Times New Roman"/>
          <w:sz w:val="20"/>
          <w:szCs w:val="20"/>
          <w:color w:val="auto"/>
        </w:rPr>
        <w:t>. Notwithstanding anything to the contrary herein, in the event that any provision of any pledge, charge or foreign equivalent executed by any Foreign Subsidiary and governed by the laws of the applicable foreign jurisdiction is inconsistent with any corresponding provision in this Agreement, the provision in such pledge, charge or foreign equivalent shall govern.</w:t>
      </w:r>
    </w:p>
    <w:p>
      <w:pPr>
        <w:spacing w:after="0" w:line="16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9.17. </w:t>
      </w: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color w:val="auto"/>
        </w:rPr>
        <w:t>. EACH GRANTOR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w:t>
      </w:r>
    </w:p>
    <w:p>
      <w:pPr>
        <w:spacing w:after="0" w:line="172"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9"/>
          <w:szCs w:val="19"/>
          <w:color w:val="auto"/>
        </w:rPr>
        <w:t xml:space="preserve">9.18 </w:t>
      </w: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Each Grantor party to the Existing Guarantee and Collateral Agreement affirms its duties and obligations under the terms and conditions of the Existing Guarantee and Collateral Agreement, and agrees that its obligations outstanding under the Existing Guarantee and Collateral Agreement, as amended and restated as of the date hereof by this Agreement, remain in full force and effect and are hereby ratified, reaffirmed and confirmed. Each Grantor acknowledges and agrees with the Administrative Agent that the Existing Guarantee and Collateral Agreement is amended, restated, and superseded in its entirety pursuant to the terms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ectPr>
          <w:pgSz w:w="11900" w:h="16838" w:orient="portrait"/>
          <w:cols w:equalWidth="0" w:num="1">
            <w:col w:w="11240"/>
          </w:cols>
          <w:pgMar w:left="320" w:top="369" w:right="339" w:bottom="1440" w:gutter="0" w:footer="0" w:header="0"/>
        </w:sectPr>
      </w:pPr>
    </w:p>
    <w:bookmarkStart w:id="283" w:name="page284"/>
    <w:bookmarkEnd w:id="283"/>
    <w:p>
      <w:pPr>
        <w:spacing w:after="0" w:line="68"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IN WITNESS WHEREOF, each of the undersigned has caused this Seventh Amended and Restated Guarantee and Collateral Agreement to be duly executed and delivered as of the date first above written.</w:t>
      </w:r>
    </w:p>
    <w:p>
      <w:pPr>
        <w:spacing w:after="0" w:line="200" w:lineRule="exact"/>
        <w:rPr>
          <w:sz w:val="20"/>
          <w:szCs w:val="20"/>
          <w:color w:val="auto"/>
        </w:rPr>
      </w:pPr>
    </w:p>
    <w:p>
      <w:pPr>
        <w:spacing w:after="0" w:line="30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JPMORGAN CHASE BANK, N.A., as Administrative</w:t>
      </w:r>
    </w:p>
    <w:p>
      <w:pPr>
        <w:spacing w:after="0" w:line="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Agent</w:t>
      </w:r>
    </w:p>
    <w:p>
      <w:pPr>
        <w:spacing w:after="0" w:line="200" w:lineRule="exact"/>
        <w:rPr>
          <w:sz w:val="20"/>
          <w:szCs w:val="20"/>
          <w:color w:val="auto"/>
        </w:rPr>
      </w:pPr>
    </w:p>
    <w:p>
      <w:pPr>
        <w:spacing w:after="0" w:line="3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RUPAM AGRAWAL</w:t>
      </w:r>
    </w:p>
    <w:p>
      <w:pPr>
        <w:spacing w:after="0" w:line="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 Rupam Agrawal</w:t>
      </w:r>
    </w:p>
    <w:p>
      <w:pPr>
        <w:spacing w:after="0" w:line="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Seventh Amended and Restated Guarantee and Collateral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11220"/>
          </w:cols>
          <w:pgMar w:left="320" w:top="1440" w:right="359" w:bottom="1440" w:gutter="0" w:footer="0" w:header="0"/>
        </w:sectPr>
      </w:pPr>
    </w:p>
    <w:bookmarkStart w:id="284" w:name="page285"/>
    <w:bookmarkEnd w:id="284"/>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THE SCOTTS MIRACLE-GRO COMPANY</w:t>
      </w:r>
    </w:p>
    <w:p>
      <w:pPr>
        <w:spacing w:after="0" w:line="200" w:lineRule="exact"/>
        <w:rPr>
          <w:sz w:val="20"/>
          <w:szCs w:val="20"/>
          <w:color w:val="auto"/>
        </w:rPr>
      </w:pPr>
    </w:p>
    <w:p>
      <w:pPr>
        <w:spacing w:after="0" w:line="35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MIRACLE-GRO LAWN PRODUCTS, INC.</w:t>
      </w:r>
    </w:p>
    <w:p>
      <w:pPr>
        <w:spacing w:after="0" w:line="200" w:lineRule="exact"/>
        <w:rPr>
          <w:sz w:val="20"/>
          <w:szCs w:val="20"/>
          <w:color w:val="auto"/>
        </w:rPr>
      </w:pPr>
    </w:p>
    <w:p>
      <w:pPr>
        <w:spacing w:after="0" w:line="35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OMS INVESTMENTS, INC.</w:t>
      </w:r>
    </w:p>
    <w:p>
      <w:pPr>
        <w:spacing w:after="0" w:line="200" w:lineRule="exact"/>
        <w:rPr>
          <w:sz w:val="20"/>
          <w:szCs w:val="20"/>
          <w:color w:val="auto"/>
        </w:rPr>
      </w:pPr>
    </w:p>
    <w:p>
      <w:pPr>
        <w:spacing w:after="0" w:line="30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KEVIN M. GROVE</w:t>
      </w:r>
    </w:p>
    <w:p>
      <w:pPr>
        <w:spacing w:after="0" w:line="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Kevin M. Grove</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HYPONEX CORPORATION</w:t>
      </w:r>
    </w:p>
    <w:p>
      <w:pPr>
        <w:spacing w:after="0" w:line="200" w:lineRule="exact"/>
        <w:rPr>
          <w:sz w:val="20"/>
          <w:szCs w:val="20"/>
          <w:color w:val="auto"/>
        </w:rPr>
      </w:pPr>
    </w:p>
    <w:p>
      <w:pPr>
        <w:spacing w:after="0" w:line="35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ind w:left="2920"/>
        <w:spacing w:after="0" w:line="231" w:lineRule="auto"/>
        <w:rPr>
          <w:sz w:val="20"/>
          <w:szCs w:val="20"/>
          <w:color w:val="auto"/>
        </w:rPr>
      </w:pPr>
      <w:r>
        <w:rPr>
          <w:rFonts w:ascii="Times New Roman" w:cs="Times New Roman" w:eastAsia="Times New Roman" w:hAnsi="Times New Roman"/>
          <w:sz w:val="22"/>
          <w:szCs w:val="22"/>
          <w:color w:val="auto"/>
        </w:rPr>
        <w:t>Name: Mark J. Scheiwer</w:t>
      </w:r>
    </w:p>
    <w:p>
      <w:pPr>
        <w:ind w:left="2920"/>
        <w:spacing w:after="0" w:line="225" w:lineRule="auto"/>
        <w:rPr>
          <w:sz w:val="20"/>
          <w:szCs w:val="20"/>
          <w:color w:val="auto"/>
        </w:rPr>
      </w:pPr>
      <w:r>
        <w:rPr>
          <w:rFonts w:ascii="Times New Roman" w:cs="Times New Roman" w:eastAsia="Times New Roman" w:hAnsi="Times New Roman"/>
          <w:sz w:val="22"/>
          <w:szCs w:val="22"/>
          <w:color w:val="auto"/>
        </w:rPr>
        <w:t>Title: Executive Vice President, Chief Financial Officer and Chief Accounting Officer</w:t>
      </w:r>
    </w:p>
    <w:p>
      <w:pPr>
        <w:sectPr>
          <w:pgSz w:w="11900" w:h="16838" w:orient="portrait"/>
          <w:cols w:equalWidth="0" w:num="1">
            <w:col w:w="9700"/>
          </w:cols>
          <w:pgMar w:left="14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Signature Page to Seventh Amended and Restated Guarantee and Collateral Agreement</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700"/>
          </w:cols>
          <w:pgMar w:left="1440" w:top="1440" w:right="759" w:bottom="1440" w:gutter="0" w:footer="0" w:header="0"/>
          <w:type w:val="continuous"/>
        </w:sectPr>
      </w:pPr>
    </w:p>
    <w:bookmarkStart w:id="285" w:name="page286"/>
    <w:bookmarkEnd w:id="285"/>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SCOTTS PRODUCTS CO.</w:t>
      </w:r>
    </w:p>
    <w:p>
      <w:pPr>
        <w:spacing w:after="0" w:line="200" w:lineRule="exact"/>
        <w:rPr>
          <w:sz w:val="20"/>
          <w:szCs w:val="20"/>
          <w:color w:val="auto"/>
        </w:rPr>
      </w:pPr>
    </w:p>
    <w:p>
      <w:pPr>
        <w:spacing w:after="0" w:line="35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ind w:left="2920"/>
        <w:spacing w:after="0" w:line="231" w:lineRule="auto"/>
        <w:rPr>
          <w:sz w:val="20"/>
          <w:szCs w:val="20"/>
          <w:color w:val="auto"/>
        </w:rPr>
      </w:pPr>
      <w:r>
        <w:rPr>
          <w:rFonts w:ascii="Times New Roman" w:cs="Times New Roman" w:eastAsia="Times New Roman" w:hAnsi="Times New Roman"/>
          <w:sz w:val="22"/>
          <w:szCs w:val="22"/>
          <w:color w:val="auto"/>
        </w:rPr>
        <w:t>Name: Mark J. Scheiwer</w:t>
      </w:r>
    </w:p>
    <w:p>
      <w:pPr>
        <w:ind w:left="2920"/>
        <w:spacing w:after="0" w:line="225" w:lineRule="auto"/>
        <w:rPr>
          <w:sz w:val="20"/>
          <w:szCs w:val="20"/>
          <w:color w:val="auto"/>
        </w:rPr>
      </w:pPr>
      <w:r>
        <w:rPr>
          <w:rFonts w:ascii="Times New Roman" w:cs="Times New Roman" w:eastAsia="Times New Roman" w:hAnsi="Times New Roman"/>
          <w:sz w:val="22"/>
          <w:szCs w:val="22"/>
          <w:color w:val="auto"/>
        </w:rPr>
        <w:t>Title: Executive Vice President, Chief Financial Officer and Chief Accounting Officer</w:t>
      </w: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SCOTTS PROFESSIONAL PRODUCTS CO.</w:t>
      </w:r>
    </w:p>
    <w:p>
      <w:pPr>
        <w:spacing w:after="0" w:line="200" w:lineRule="exact"/>
        <w:rPr>
          <w:sz w:val="20"/>
          <w:szCs w:val="20"/>
          <w:color w:val="auto"/>
        </w:rPr>
      </w:pPr>
    </w:p>
    <w:p>
      <w:pPr>
        <w:spacing w:after="0" w:line="3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ind w:left="2920"/>
        <w:spacing w:after="0" w:line="231" w:lineRule="auto"/>
        <w:rPr>
          <w:sz w:val="20"/>
          <w:szCs w:val="20"/>
          <w:color w:val="auto"/>
        </w:rPr>
      </w:pPr>
      <w:r>
        <w:rPr>
          <w:rFonts w:ascii="Times New Roman" w:cs="Times New Roman" w:eastAsia="Times New Roman" w:hAnsi="Times New Roman"/>
          <w:sz w:val="22"/>
          <w:szCs w:val="22"/>
          <w:color w:val="auto"/>
        </w:rPr>
        <w:t>Name: Mark J. Scheiwer</w:t>
      </w:r>
    </w:p>
    <w:p>
      <w:pPr>
        <w:ind w:left="2920"/>
        <w:spacing w:after="0" w:line="225" w:lineRule="auto"/>
        <w:rPr>
          <w:sz w:val="20"/>
          <w:szCs w:val="20"/>
          <w:color w:val="auto"/>
        </w:rPr>
      </w:pPr>
      <w:r>
        <w:rPr>
          <w:rFonts w:ascii="Times New Roman" w:cs="Times New Roman" w:eastAsia="Times New Roman" w:hAnsi="Times New Roman"/>
          <w:sz w:val="22"/>
          <w:szCs w:val="22"/>
          <w:color w:val="auto"/>
        </w:rPr>
        <w:t>Title: Executive Vice President, Chief Financial Officer and Chief Accounting Officer</w:t>
      </w:r>
    </w:p>
    <w:p>
      <w:pPr>
        <w:spacing w:after="0" w:line="3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SCOTTS-SIERRA INVESTMENTS LLC</w:t>
      </w:r>
    </w:p>
    <w:p>
      <w:pPr>
        <w:spacing w:after="0" w:line="200" w:lineRule="exact"/>
        <w:rPr>
          <w:sz w:val="20"/>
          <w:szCs w:val="20"/>
          <w:color w:val="auto"/>
        </w:rPr>
      </w:pPr>
    </w:p>
    <w:p>
      <w:pPr>
        <w:spacing w:after="0" w:line="3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BRADFORD K. CHELTON</w:t>
      </w:r>
    </w:p>
    <w:p>
      <w:pPr>
        <w:spacing w:after="0" w:line="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Bradford K. Chelton</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SWISS FARMS PRODUCTS, INC.</w:t>
      </w: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KEVIN M. GROVE</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Kevin M. Grove</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SCOTTS MANUFACTURING COMPANY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ectPr>
          <w:pgSz w:w="11900" w:h="16838" w:orient="portrait"/>
          <w:cols w:equalWidth="0" w:num="1">
            <w:col w:w="9700"/>
          </w:cols>
          <w:pgMar w:left="14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Signature Page to Seventh Amended and Restated Guarantee and Collateral Agreement</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700"/>
          </w:cols>
          <w:pgMar w:left="1440" w:top="1440" w:right="759" w:bottom="1440" w:gutter="0" w:footer="0" w:header="0"/>
          <w:type w:val="continuous"/>
        </w:sectPr>
      </w:pPr>
    </w:p>
    <w:bookmarkStart w:id="286" w:name="page287"/>
    <w:bookmarkEnd w:id="286"/>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SCOTTS TEMECULA OPERATIONS,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5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SANFORD SCIENTIFIC,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0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SMG GROWING MEDIA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5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ROD MCLELLAN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Signature Page to Seventh Amended and Restated Guarantee and Collateral Agreement</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700"/>
          </w:cols>
          <w:pgMar w:left="1440" w:top="1440" w:right="759" w:bottom="1440" w:gutter="0" w:footer="0" w:header="0"/>
        </w:sectPr>
      </w:pPr>
    </w:p>
    <w:bookmarkStart w:id="287" w:name="page288"/>
    <w:bookmarkEnd w:id="287"/>
    <w:p>
      <w:pPr>
        <w:spacing w:after="0" w:line="1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SMGM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0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GENSOURCE,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BRADFORD K. CHELTON</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Bradford K. Chelton</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Secretary and Treasurer</w:t>
      </w:r>
    </w:p>
    <w:p>
      <w:pPr>
        <w:spacing w:after="0" w:line="39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HAWTHORNE HYDROPONICS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BRADFORD K. CHELTON</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Bradford K. Chelton</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HGCI LLC</w:t>
      </w:r>
    </w:p>
    <w:p>
      <w:pPr>
        <w:spacing w:after="0" w:line="200" w:lineRule="exact"/>
        <w:rPr>
          <w:sz w:val="20"/>
          <w:szCs w:val="20"/>
          <w:color w:val="auto"/>
        </w:rPr>
      </w:pPr>
    </w:p>
    <w:p>
      <w:pPr>
        <w:spacing w:after="0" w:line="3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KEVIN M. GROVE</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Kevin M. Grove</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4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THE HAWTHORNE GARDENING COMPANY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BRADFORD K. CHELTON</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Bradford K. Chelton</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Vice President and Treasurer</w:t>
      </w:r>
    </w:p>
    <w:p>
      <w:pPr>
        <w:sectPr>
          <w:pgSz w:w="11900" w:h="16838" w:orient="portrait"/>
          <w:cols w:equalWidth="0" w:num="1">
            <w:col w:w="9700"/>
          </w:cols>
          <w:pgMar w:left="14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Signature Page to Seventh Amended and Restated Guarantee and Collateral Agreement</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700"/>
          </w:cols>
          <w:pgMar w:left="1440" w:top="1440" w:right="759" w:bottom="1440" w:gutter="0" w:footer="0" w:header="0"/>
          <w:type w:val="continuous"/>
        </w:sectPr>
      </w:pPr>
    </w:p>
    <w:bookmarkStart w:id="288" w:name="page289"/>
    <w:bookmarkEnd w:id="288"/>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SCOTTS LIVE GOODS HOLDINGS,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Title: Executive Vice President, Chief Financial Officer and Chief Accounting</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4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AEROGROW INTERNATIONAL,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Mark J. Scheiwer</w:t>
      </w:r>
    </w:p>
    <w:p>
      <w:pPr>
        <w:spacing w:after="0" w:line="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Chief Accounting</w:t>
      </w:r>
    </w:p>
    <w:p>
      <w:pPr>
        <w:spacing w:after="0" w:line="6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Signature Page to Seventh Amended and Restated Guarantee and Collateral Agreement</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The Scotts Miracle-Gro Company</w:t>
      </w:r>
    </w:p>
    <w:p>
      <w:pPr>
        <w:sectPr>
          <w:pgSz w:w="11900" w:h="16838" w:orient="portrait"/>
          <w:cols w:equalWidth="0" w:num="1">
            <w:col w:w="9700"/>
          </w:cols>
          <w:pgMar w:left="1440" w:top="1440" w:right="759" w:bottom="1440" w:gutter="0" w:footer="0" w:header="0"/>
        </w:sectPr>
      </w:pPr>
    </w:p>
    <w:bookmarkStart w:id="289" w:name="page290"/>
    <w:bookmarkEnd w:id="289"/>
    <w:p>
      <w:pPr>
        <w:spacing w:after="0" w:line="100" w:lineRule="exact"/>
        <w:rPr>
          <w:sz w:val="20"/>
          <w:szCs w:val="20"/>
          <w:color w:val="auto"/>
        </w:rPr>
      </w:pPr>
    </w:p>
    <w:p>
      <w:pPr>
        <w:jc w:val="center"/>
        <w:ind w:right="-788"/>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260"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22"/>
          <w:szCs w:val="22"/>
          <w:b w:val="1"/>
          <w:bCs w:val="1"/>
          <w:color w:val="auto"/>
        </w:rPr>
        <w:t>NOTICE ADDRESS OF EACH GUARANTOR</w:t>
      </w:r>
    </w:p>
    <w:p>
      <w:pPr>
        <w:spacing w:after="0" w:line="156" w:lineRule="exact"/>
        <w:rPr>
          <w:sz w:val="20"/>
          <w:szCs w:val="20"/>
          <w:color w:val="auto"/>
        </w:rPr>
      </w:pPr>
    </w:p>
    <w:p>
      <w:pPr>
        <w:ind w:left="328" w:right="6639" w:hanging="328"/>
        <w:spacing w:after="0" w:line="250" w:lineRule="auto"/>
        <w:tabs>
          <w:tab w:leader="none" w:pos="22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Scotts Miracle-Gro Company 14111 Scottslawn Road Marysville, OH 43041</w:t>
      </w:r>
    </w:p>
    <w:p>
      <w:pPr>
        <w:spacing w:after="0" w:line="2"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Dimiter Todorov</w:t>
      </w:r>
    </w:p>
    <w:p>
      <w:pPr>
        <w:spacing w:after="0" w:line="236" w:lineRule="exact"/>
        <w:rPr>
          <w:rFonts w:ascii="Times New Roman" w:cs="Times New Roman" w:eastAsia="Times New Roman" w:hAnsi="Times New Roman"/>
          <w:sz w:val="22"/>
          <w:szCs w:val="22"/>
          <w:color w:val="auto"/>
        </w:rPr>
      </w:pPr>
    </w:p>
    <w:p>
      <w:pPr>
        <w:ind w:left="208" w:hanging="208"/>
        <w:spacing w:after="0"/>
        <w:tabs>
          <w:tab w:leader="none" w:pos="208"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14111 Scottslawn Road</w:t>
      </w:r>
    </w:p>
    <w:p>
      <w:pPr>
        <w:spacing w:after="0" w:line="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Marysville, OH 43041</w:t>
      </w:r>
    </w:p>
    <w:p>
      <w:pPr>
        <w:spacing w:after="0" w:line="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Attn: Dimiter Todorov</w:t>
      </w:r>
    </w:p>
    <w:p>
      <w:pPr>
        <w:spacing w:after="0" w:line="223" w:lineRule="exact"/>
        <w:rPr>
          <w:sz w:val="20"/>
          <w:szCs w:val="20"/>
          <w:color w:val="auto"/>
        </w:rPr>
      </w:pPr>
    </w:p>
    <w:p>
      <w:pPr>
        <w:ind w:left="328" w:right="7079" w:hanging="328"/>
        <w:spacing w:after="0" w:line="272" w:lineRule="auto"/>
        <w:tabs>
          <w:tab w:leader="none" w:pos="220"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AeroGrow International, Inc. 14111 Scottslawn Road Marysville, Ohio 43041 Attn: Dimiter Todorov</w:t>
      </w:r>
    </w:p>
    <w:p>
      <w:pPr>
        <w:spacing w:after="0" w:line="187" w:lineRule="exact"/>
        <w:rPr>
          <w:rFonts w:ascii="Times New Roman" w:cs="Times New Roman" w:eastAsia="Times New Roman" w:hAnsi="Times New Roman"/>
          <w:sz w:val="21"/>
          <w:szCs w:val="21"/>
          <w:color w:val="auto"/>
        </w:rPr>
      </w:pPr>
    </w:p>
    <w:p>
      <w:pPr>
        <w:ind w:left="208" w:hanging="208"/>
        <w:spacing w:after="0"/>
        <w:tabs>
          <w:tab w:leader="none" w:pos="208"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GenSource, Inc.</w:t>
      </w:r>
    </w:p>
    <w:p>
      <w:pPr>
        <w:spacing w:after="0" w:line="2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563 S. Crown Hill Road</w:t>
      </w:r>
    </w:p>
    <w:p>
      <w:pPr>
        <w:spacing w:after="0" w:line="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Orrville, OH 44667</w:t>
      </w:r>
    </w:p>
    <w:p>
      <w:pPr>
        <w:spacing w:after="0" w:line="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Attn: Bradford K. Chelton</w:t>
      </w:r>
    </w:p>
    <w:p>
      <w:pPr>
        <w:spacing w:after="0" w:line="234" w:lineRule="exact"/>
        <w:rPr>
          <w:sz w:val="20"/>
          <w:szCs w:val="20"/>
          <w:color w:val="auto"/>
        </w:rPr>
      </w:pPr>
    </w:p>
    <w:p>
      <w:pPr>
        <w:ind w:left="328" w:right="6999" w:hanging="328"/>
        <w:spacing w:after="0" w:line="268" w:lineRule="auto"/>
        <w:tabs>
          <w:tab w:leader="none" w:pos="220"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Hawthorne Hydroponics LLC 14111 Scottslawn Road Marysville, OH 43041 Attn: Dimiter Todorov</w:t>
      </w:r>
    </w:p>
    <w:p>
      <w:pPr>
        <w:spacing w:after="0" w:line="203" w:lineRule="exact"/>
        <w:rPr>
          <w:rFonts w:ascii="Times New Roman" w:cs="Times New Roman" w:eastAsia="Times New Roman" w:hAnsi="Times New Roman"/>
          <w:sz w:val="21"/>
          <w:szCs w:val="21"/>
          <w:color w:val="auto"/>
        </w:rPr>
      </w:pPr>
    </w:p>
    <w:p>
      <w:pPr>
        <w:ind w:left="208" w:hanging="208"/>
        <w:spacing w:after="0"/>
        <w:tabs>
          <w:tab w:leader="none" w:pos="20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HGCI LLC</w:t>
      </w:r>
    </w:p>
    <w:p>
      <w:pPr>
        <w:spacing w:after="0" w:line="2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3993 Howard Hughes Parkway, Suite 250</w:t>
      </w:r>
    </w:p>
    <w:p>
      <w:pPr>
        <w:spacing w:after="0" w:line="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Las Vegas, NV 89169</w:t>
      </w:r>
    </w:p>
    <w:p>
      <w:pPr>
        <w:spacing w:after="0" w:line="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Attn: Carmel Viado</w:t>
      </w:r>
    </w:p>
    <w:p>
      <w:pPr>
        <w:spacing w:after="0" w:line="223" w:lineRule="exact"/>
        <w:rPr>
          <w:sz w:val="20"/>
          <w:szCs w:val="20"/>
          <w:color w:val="auto"/>
        </w:rPr>
      </w:pPr>
    </w:p>
    <w:p>
      <w:pPr>
        <w:ind w:left="328" w:right="7439" w:hanging="328"/>
        <w:spacing w:after="0" w:line="272" w:lineRule="auto"/>
        <w:tabs>
          <w:tab w:leader="none" w:pos="220"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Hyponex Corporation 14111 Scottslawn Road Marysville, OH 43041 Attn: Dimiter Todorov</w:t>
      </w:r>
    </w:p>
    <w:p>
      <w:pPr>
        <w:spacing w:after="0" w:line="187" w:lineRule="exact"/>
        <w:rPr>
          <w:rFonts w:ascii="Times New Roman" w:cs="Times New Roman" w:eastAsia="Times New Roman" w:hAnsi="Times New Roman"/>
          <w:sz w:val="21"/>
          <w:szCs w:val="21"/>
          <w:color w:val="auto"/>
        </w:rPr>
      </w:pPr>
    </w:p>
    <w:p>
      <w:pPr>
        <w:ind w:left="328" w:right="6719" w:hanging="328"/>
        <w:spacing w:after="0" w:line="251" w:lineRule="auto"/>
        <w:tabs>
          <w:tab w:leader="none" w:pos="22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Miracle-Gro Lawn Products, Inc. 14111 Scottslawn Road Marysville, OH 43041</w:t>
      </w:r>
    </w:p>
    <w:p>
      <w:pPr>
        <w:spacing w:after="0" w:line="1"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Dimiter Todorov</w:t>
      </w:r>
    </w:p>
    <w:p>
      <w:pPr>
        <w:sectPr>
          <w:pgSz w:w="11900" w:h="16838" w:orient="portrait"/>
          <w:cols w:equalWidth="0" w:num="1">
            <w:col w:w="9807"/>
          </w:cols>
          <w:pgMar w:left="652" w:top="1440" w:right="1440" w:bottom="1440" w:gutter="0" w:footer="0" w:header="0"/>
        </w:sectPr>
      </w:pPr>
    </w:p>
    <w:bookmarkStart w:id="290" w:name="page291"/>
    <w:bookmarkEnd w:id="290"/>
    <w:p>
      <w:pPr>
        <w:ind w:left="8"/>
        <w:spacing w:after="0"/>
        <w:rPr>
          <w:sz w:val="20"/>
          <w:szCs w:val="20"/>
          <w:color w:val="auto"/>
        </w:rPr>
      </w:pPr>
      <w:r>
        <w:rPr>
          <w:rFonts w:ascii="Times New Roman" w:cs="Times New Roman" w:eastAsia="Times New Roman" w:hAnsi="Times New Roman"/>
          <w:sz w:val="22"/>
          <w:szCs w:val="22"/>
          <w:color w:val="auto"/>
        </w:rPr>
        <w:t>9. OMS Investments, Inc.</w:t>
      </w:r>
    </w:p>
    <w:p>
      <w:pPr>
        <w:spacing w:after="0" w:line="2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1"/>
          <w:szCs w:val="21"/>
          <w:color w:val="auto"/>
        </w:rPr>
        <w:t>3993 Howard Hughes Parkway, Suite 250</w:t>
      </w:r>
    </w:p>
    <w:p>
      <w:pPr>
        <w:spacing w:after="0" w:line="1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Las Vegas, NV 89169-6754</w:t>
      </w:r>
    </w:p>
    <w:p>
      <w:pPr>
        <w:spacing w:after="0" w:line="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Attn: Carmel Viado</w:t>
      </w:r>
    </w:p>
    <w:p>
      <w:pPr>
        <w:spacing w:after="0" w:line="234" w:lineRule="exact"/>
        <w:rPr>
          <w:sz w:val="20"/>
          <w:szCs w:val="20"/>
          <w:color w:val="auto"/>
        </w:rPr>
      </w:pPr>
    </w:p>
    <w:p>
      <w:pPr>
        <w:ind w:left="328" w:right="7339" w:hanging="328"/>
        <w:spacing w:after="0" w:line="268" w:lineRule="auto"/>
        <w:tabs>
          <w:tab w:leader="none" w:pos="328"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Rod McLellan Company 14111 Scottslawn Road Marysville, OH 43041 Attn: Dimiter Todorov</w:t>
      </w:r>
    </w:p>
    <w:p>
      <w:pPr>
        <w:spacing w:after="0" w:line="203" w:lineRule="exact"/>
        <w:rPr>
          <w:rFonts w:ascii="Times New Roman" w:cs="Times New Roman" w:eastAsia="Times New Roman" w:hAnsi="Times New Roman"/>
          <w:sz w:val="21"/>
          <w:szCs w:val="21"/>
          <w:color w:val="auto"/>
        </w:rPr>
      </w:pPr>
    </w:p>
    <w:p>
      <w:pPr>
        <w:ind w:left="308" w:hanging="308"/>
        <w:spacing w:after="0"/>
        <w:tabs>
          <w:tab w:leader="none" w:pos="30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Sanford Scientific, Inc.</w:t>
      </w:r>
    </w:p>
    <w:p>
      <w:pPr>
        <w:spacing w:after="0" w:line="27" w:lineRule="exact"/>
        <w:rPr>
          <w:rFonts w:ascii="Times New Roman" w:cs="Times New Roman" w:eastAsia="Times New Roman" w:hAnsi="Times New Roman"/>
          <w:sz w:val="22"/>
          <w:szCs w:val="22"/>
          <w:color w:val="auto"/>
        </w:rPr>
      </w:pPr>
    </w:p>
    <w:p>
      <w:pPr>
        <w:ind w:left="328" w:right="7439"/>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14111 Scottslawn Road Marysville, OH 43041 Attn: Dimiter Todorov</w:t>
      </w:r>
    </w:p>
    <w:p>
      <w:pPr>
        <w:spacing w:after="0" w:line="194" w:lineRule="exact"/>
        <w:rPr>
          <w:rFonts w:ascii="Times New Roman" w:cs="Times New Roman" w:eastAsia="Times New Roman" w:hAnsi="Times New Roman"/>
          <w:sz w:val="22"/>
          <w:szCs w:val="22"/>
          <w:color w:val="auto"/>
        </w:rPr>
      </w:pPr>
    </w:p>
    <w:p>
      <w:pPr>
        <w:ind w:left="328" w:right="6599" w:hanging="328"/>
        <w:spacing w:after="0" w:line="255" w:lineRule="auto"/>
        <w:tabs>
          <w:tab w:leader="none" w:pos="32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Live Goods Holdings, Inc. 14111 Scottslawn Road Marysville, Ohio 43041</w:t>
      </w: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Dimiter Todorov</w:t>
      </w:r>
    </w:p>
    <w:p>
      <w:pPr>
        <w:spacing w:after="0" w:line="222" w:lineRule="exact"/>
        <w:rPr>
          <w:rFonts w:ascii="Times New Roman" w:cs="Times New Roman" w:eastAsia="Times New Roman" w:hAnsi="Times New Roman"/>
          <w:sz w:val="22"/>
          <w:szCs w:val="22"/>
          <w:color w:val="auto"/>
        </w:rPr>
      </w:pPr>
    </w:p>
    <w:p>
      <w:pPr>
        <w:ind w:left="328" w:right="6719" w:hanging="328"/>
        <w:spacing w:after="0" w:line="251" w:lineRule="auto"/>
        <w:tabs>
          <w:tab w:leader="none" w:pos="32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Manufacturing Company 14111 Scottslawn Road Marysville, OH 43041</w:t>
      </w:r>
    </w:p>
    <w:p>
      <w:pPr>
        <w:spacing w:after="0" w:line="1"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Dimiter Todorov</w:t>
      </w:r>
    </w:p>
    <w:p>
      <w:pPr>
        <w:spacing w:after="0" w:line="234"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Products Co.</w:t>
      </w:r>
    </w:p>
    <w:p>
      <w:pPr>
        <w:spacing w:after="0" w:line="27" w:lineRule="exact"/>
        <w:rPr>
          <w:rFonts w:ascii="Times New Roman" w:cs="Times New Roman" w:eastAsia="Times New Roman" w:hAnsi="Times New Roman"/>
          <w:sz w:val="22"/>
          <w:szCs w:val="22"/>
          <w:color w:val="auto"/>
        </w:rPr>
      </w:pPr>
    </w:p>
    <w:p>
      <w:pPr>
        <w:ind w:left="328" w:right="7439"/>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14111 Scottslawn Road Marysville, OH 43041 Attn: Dimiter Todorov</w:t>
      </w:r>
    </w:p>
    <w:p>
      <w:pPr>
        <w:spacing w:after="0" w:line="208" w:lineRule="exact"/>
        <w:rPr>
          <w:rFonts w:ascii="Times New Roman" w:cs="Times New Roman" w:eastAsia="Times New Roman" w:hAnsi="Times New Roman"/>
          <w:sz w:val="22"/>
          <w:szCs w:val="22"/>
          <w:color w:val="auto"/>
        </w:rPr>
      </w:pPr>
    </w:p>
    <w:p>
      <w:pPr>
        <w:ind w:left="328" w:right="6659" w:hanging="328"/>
        <w:spacing w:after="0" w:line="250" w:lineRule="auto"/>
        <w:tabs>
          <w:tab w:leader="none" w:pos="32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Professional Products Co. 14111 Scottslawn Road Marysville, OH 43041</w:t>
      </w:r>
    </w:p>
    <w:p>
      <w:pPr>
        <w:spacing w:after="0" w:line="2"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Dimiter Todorov</w:t>
      </w:r>
    </w:p>
    <w:p>
      <w:pPr>
        <w:spacing w:after="0" w:line="222" w:lineRule="exact"/>
        <w:rPr>
          <w:rFonts w:ascii="Times New Roman" w:cs="Times New Roman" w:eastAsia="Times New Roman" w:hAnsi="Times New Roman"/>
          <w:sz w:val="22"/>
          <w:szCs w:val="22"/>
          <w:color w:val="auto"/>
        </w:rPr>
      </w:pPr>
    </w:p>
    <w:p>
      <w:pPr>
        <w:ind w:left="328" w:right="6539" w:hanging="328"/>
        <w:spacing w:after="0" w:line="255" w:lineRule="auto"/>
        <w:tabs>
          <w:tab w:leader="none" w:pos="32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Temecula Operations, LLC 14111 Scottslawn Road Marysville, OH 43041</w:t>
      </w: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Dimiter Todorov</w:t>
      </w:r>
    </w:p>
    <w:p>
      <w:pPr>
        <w:spacing w:after="0" w:line="222" w:lineRule="exact"/>
        <w:rPr>
          <w:rFonts w:ascii="Times New Roman" w:cs="Times New Roman" w:eastAsia="Times New Roman" w:hAnsi="Times New Roman"/>
          <w:sz w:val="22"/>
          <w:szCs w:val="22"/>
          <w:color w:val="auto"/>
        </w:rPr>
      </w:pPr>
    </w:p>
    <w:p>
      <w:pPr>
        <w:ind w:left="328" w:right="6799" w:hanging="328"/>
        <w:spacing w:after="0" w:line="251" w:lineRule="auto"/>
        <w:tabs>
          <w:tab w:leader="none" w:pos="32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Scotts-Sierra Investments LLC 14111 Scottslawn Road Marysville, OH 43041</w:t>
      </w:r>
    </w:p>
    <w:p>
      <w:pPr>
        <w:spacing w:after="0" w:line="1"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Bernard Asirifi</w:t>
      </w:r>
    </w:p>
    <w:p>
      <w:pPr>
        <w:sectPr>
          <w:pgSz w:w="11900" w:h="16838" w:orient="portrait"/>
          <w:cols w:equalWidth="0" w:num="1">
            <w:col w:w="9807"/>
          </w:cols>
          <w:pgMar w:left="652" w:top="1422" w:right="1440" w:bottom="1440" w:gutter="0" w:footer="0" w:header="0"/>
        </w:sectPr>
      </w:pPr>
    </w:p>
    <w:bookmarkStart w:id="291" w:name="page292"/>
    <w:bookmarkEnd w:id="291"/>
    <w:p>
      <w:pPr>
        <w:ind w:left="328" w:right="7119" w:hanging="328"/>
        <w:spacing w:after="0" w:line="272" w:lineRule="auto"/>
        <w:tabs>
          <w:tab w:leader="none" w:pos="328"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SMG Growing Media LLC 14111 Scottslawn Road Marysville, OH 43041 Attn: Dimiter Todorov</w:t>
      </w:r>
    </w:p>
    <w:p>
      <w:pPr>
        <w:spacing w:after="0" w:line="187" w:lineRule="exact"/>
        <w:rPr>
          <w:rFonts w:ascii="Times New Roman" w:cs="Times New Roman" w:eastAsia="Times New Roman" w:hAnsi="Times New Roman"/>
          <w:sz w:val="21"/>
          <w:szCs w:val="21"/>
          <w:color w:val="auto"/>
        </w:rPr>
      </w:pPr>
    </w:p>
    <w:p>
      <w:pPr>
        <w:ind w:left="328" w:hanging="328"/>
        <w:spacing w:after="0"/>
        <w:tabs>
          <w:tab w:leader="none" w:pos="328"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SMGM LLC</w:t>
      </w:r>
    </w:p>
    <w:p>
      <w:pPr>
        <w:spacing w:after="0" w:line="27" w:lineRule="exact"/>
        <w:rPr>
          <w:rFonts w:ascii="Times New Roman" w:cs="Times New Roman" w:eastAsia="Times New Roman" w:hAnsi="Times New Roman"/>
          <w:sz w:val="22"/>
          <w:szCs w:val="22"/>
          <w:color w:val="auto"/>
        </w:rPr>
      </w:pPr>
    </w:p>
    <w:p>
      <w:pPr>
        <w:ind w:left="328" w:right="7439"/>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14111 Scottslawn Road Marysville, OH 43041 Attn: Dimiter Todorov</w:t>
      </w:r>
    </w:p>
    <w:p>
      <w:pPr>
        <w:spacing w:after="0" w:line="20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Swiss Farms Products, Inc.</w:t>
      </w:r>
    </w:p>
    <w:p>
      <w:pPr>
        <w:spacing w:after="0" w:line="27" w:lineRule="exact"/>
        <w:rPr>
          <w:rFonts w:ascii="Times New Roman" w:cs="Times New Roman" w:eastAsia="Times New Roman" w:hAnsi="Times New Roman"/>
          <w:sz w:val="22"/>
          <w:szCs w:val="22"/>
          <w:color w:val="auto"/>
        </w:rPr>
      </w:pPr>
    </w:p>
    <w:p>
      <w:pPr>
        <w:ind w:left="328" w:right="585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3993 Howard Hughes Parkway, Suite 250 Las Vegas, NV 89169-6754</w:t>
      </w: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Carmel Viado</w:t>
      </w:r>
    </w:p>
    <w:p>
      <w:pPr>
        <w:spacing w:after="0" w:line="222" w:lineRule="exact"/>
        <w:rPr>
          <w:rFonts w:ascii="Times New Roman" w:cs="Times New Roman" w:eastAsia="Times New Roman" w:hAnsi="Times New Roman"/>
          <w:sz w:val="22"/>
          <w:szCs w:val="22"/>
          <w:color w:val="auto"/>
        </w:rPr>
      </w:pPr>
    </w:p>
    <w:p>
      <w:pPr>
        <w:ind w:left="328" w:right="5819" w:hanging="328"/>
        <w:spacing w:after="0" w:line="255" w:lineRule="auto"/>
        <w:tabs>
          <w:tab w:leader="none" w:pos="328"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Hawthorne Gardening Company LLC 14111 Scottslawn Road</w:t>
      </w:r>
    </w:p>
    <w:p>
      <w:pPr>
        <w:spacing w:after="0" w:line="1" w:lineRule="exact"/>
        <w:rPr>
          <w:rFonts w:ascii="Times New Roman" w:cs="Times New Roman" w:eastAsia="Times New Roman" w:hAnsi="Times New Roman"/>
          <w:sz w:val="22"/>
          <w:szCs w:val="22"/>
          <w:color w:val="auto"/>
        </w:rPr>
      </w:pPr>
    </w:p>
    <w:p>
      <w:pPr>
        <w:jc w:val="both"/>
        <w:ind w:left="328" w:right="7539"/>
        <w:spacing w:after="0" w:line="28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Marysville, OH 43041 Attn: Dimiter Todorov</w:t>
      </w:r>
    </w:p>
    <w:p>
      <w:pPr>
        <w:sectPr>
          <w:pgSz w:w="11900" w:h="16838" w:orient="portrait"/>
          <w:cols w:equalWidth="0" w:num="1">
            <w:col w:w="9807"/>
          </w:cols>
          <w:pgMar w:left="652" w:top="1422" w:right="1440" w:bottom="1440" w:gutter="0" w:footer="0" w:header="0"/>
        </w:sectPr>
      </w:pPr>
    </w:p>
    <w:bookmarkStart w:id="292" w:name="page293"/>
    <w:bookmarkEnd w:id="292"/>
    <w:p>
      <w:pPr>
        <w:jc w:val="center"/>
        <w:ind w:right="-467"/>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247" w:lineRule="exact"/>
        <w:rPr>
          <w:sz w:val="20"/>
          <w:szCs w:val="20"/>
          <w:color w:val="auto"/>
        </w:rPr>
      </w:pPr>
    </w:p>
    <w:p>
      <w:pPr>
        <w:ind w:left="3408"/>
        <w:spacing w:after="0"/>
        <w:rPr>
          <w:sz w:val="20"/>
          <w:szCs w:val="20"/>
          <w:color w:val="auto"/>
        </w:rPr>
      </w:pPr>
      <w:r>
        <w:rPr>
          <w:rFonts w:ascii="Times New Roman" w:cs="Times New Roman" w:eastAsia="Times New Roman" w:hAnsi="Times New Roman"/>
          <w:sz w:val="22"/>
          <w:szCs w:val="22"/>
          <w:b w:val="1"/>
          <w:bCs w:val="1"/>
          <w:color w:val="auto"/>
        </w:rPr>
        <w:t>DESCRIPTION OF PLEDGED STOCK</w:t>
      </w:r>
    </w:p>
    <w:p>
      <w:pPr>
        <w:spacing w:after="0" w:line="251" w:lineRule="exact"/>
        <w:rPr>
          <w:sz w:val="20"/>
          <w:szCs w:val="20"/>
          <w:color w:val="auto"/>
        </w:rPr>
      </w:pPr>
    </w:p>
    <w:p>
      <w:pPr>
        <w:ind w:left="388" w:hanging="388"/>
        <w:spacing w:after="0"/>
        <w:tabs>
          <w:tab w:leader="none" w:pos="388"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Pledged Stock of Domestic Subsidiaries</w:t>
      </w:r>
    </w:p>
    <w:p>
      <w:pPr>
        <w:spacing w:after="0" w:line="38" w:lineRule="exact"/>
        <w:rPr>
          <w:sz w:val="20"/>
          <w:szCs w:val="20"/>
          <w:color w:val="auto"/>
        </w:rPr>
      </w:pPr>
    </w:p>
    <w:tbl>
      <w:tblPr>
        <w:tblLayout w:type="fixed"/>
        <w:tblInd w:w="338" w:type="dxa"/>
        <w:tblCellMar>
          <w:top w:w="0" w:type="dxa"/>
          <w:left w:w="0" w:type="dxa"/>
          <w:bottom w:w="0" w:type="dxa"/>
          <w:right w:w="0" w:type="dxa"/>
        </w:tblCellMar>
      </w:tblPr>
      <w:tr>
        <w:trPr>
          <w:trHeight w:val="243"/>
        </w:trPr>
        <w:tc>
          <w:tcPr>
            <w:tcW w:w="660" w:type="dxa"/>
            <w:vAlign w:val="bottom"/>
            <w:tcBorders>
              <w:top w:val="single" w:sz="8" w:color="auto"/>
              <w:left w:val="single" w:sz="8" w:color="auto"/>
            </w:tcBorders>
          </w:tcPr>
          <w:p>
            <w:pPr>
              <w:spacing w:after="0"/>
              <w:rPr>
                <w:sz w:val="21"/>
                <w:szCs w:val="21"/>
                <w:color w:val="auto"/>
              </w:rPr>
            </w:pPr>
          </w:p>
        </w:tc>
        <w:tc>
          <w:tcPr>
            <w:tcW w:w="1240" w:type="dxa"/>
            <w:vAlign w:val="bottom"/>
            <w:tcBorders>
              <w:top w:val="single" w:sz="8" w:color="auto"/>
              <w:right w:val="single" w:sz="8" w:color="auto"/>
            </w:tcBorders>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Issuer</w:t>
            </w:r>
          </w:p>
        </w:tc>
        <w:tc>
          <w:tcPr>
            <w:tcW w:w="580" w:type="dxa"/>
            <w:vAlign w:val="bottom"/>
            <w:tcBorders>
              <w:top w:val="single" w:sz="8" w:color="auto"/>
            </w:tcBorders>
          </w:tcPr>
          <w:p>
            <w:pPr>
              <w:spacing w:after="0"/>
              <w:rPr>
                <w:sz w:val="21"/>
                <w:szCs w:val="21"/>
                <w:color w:val="auto"/>
              </w:rPr>
            </w:pPr>
          </w:p>
        </w:tc>
        <w:tc>
          <w:tcPr>
            <w:tcW w:w="1260" w:type="dxa"/>
            <w:vAlign w:val="bottom"/>
            <w:tcBorders>
              <w:top w:val="single" w:sz="8" w:color="auto"/>
              <w:right w:val="single" w:sz="8" w:color="auto"/>
            </w:tcBorders>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Owner</w:t>
            </w:r>
          </w:p>
        </w:tc>
        <w:tc>
          <w:tcPr>
            <w:tcW w:w="980" w:type="dxa"/>
            <w:vAlign w:val="bottom"/>
            <w:tcBorders>
              <w:top w:val="single" w:sz="8" w:color="auto"/>
            </w:tcBorders>
          </w:tcPr>
          <w:p>
            <w:pPr>
              <w:spacing w:after="0"/>
              <w:rPr>
                <w:sz w:val="21"/>
                <w:szCs w:val="21"/>
                <w:color w:val="auto"/>
              </w:rPr>
            </w:pPr>
          </w:p>
        </w:tc>
        <w:tc>
          <w:tcPr>
            <w:tcW w:w="2320" w:type="dxa"/>
            <w:vAlign w:val="bottom"/>
            <w:tcBorders>
              <w:top w:val="single" w:sz="8" w:color="auto"/>
              <w:right w:val="single" w:sz="8" w:color="auto"/>
            </w:tcBorders>
            <w:gridSpan w:val="2"/>
          </w:tcPr>
          <w:p>
            <w:pPr>
              <w:jc w:val="center"/>
              <w:ind w:right="10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Class of Stock</w:t>
            </w:r>
          </w:p>
        </w:tc>
        <w:tc>
          <w:tcPr>
            <w:tcW w:w="1440" w:type="dxa"/>
            <w:vAlign w:val="bottom"/>
            <w:tcBorders>
              <w:top w:val="single" w:sz="8" w:color="auto"/>
              <w:right w:val="single" w:sz="8" w:color="auto"/>
            </w:tcBorders>
            <w:gridSpan w:val="3"/>
          </w:tcPr>
          <w:p>
            <w:pPr>
              <w:jc w:val="center"/>
              <w:ind w:right="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Certificate No.</w:t>
            </w:r>
          </w:p>
        </w:tc>
        <w:tc>
          <w:tcPr>
            <w:tcW w:w="1300" w:type="dxa"/>
            <w:vAlign w:val="bottom"/>
            <w:tcBorders>
              <w:top w:val="single" w:sz="8" w:color="auto"/>
              <w:right w:val="single" w:sz="8" w:color="auto"/>
            </w:tcBorders>
            <w:gridSpan w:val="3"/>
          </w:tcPr>
          <w:p>
            <w:pPr>
              <w:jc w:val="center"/>
              <w:ind w:righ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No. of Shares</w:t>
            </w:r>
          </w:p>
        </w:tc>
      </w:tr>
      <w:tr>
        <w:trPr>
          <w:trHeight w:val="48"/>
        </w:trPr>
        <w:tc>
          <w:tcPr>
            <w:tcW w:w="660" w:type="dxa"/>
            <w:vAlign w:val="bottom"/>
            <w:tcBorders>
              <w:left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223"/>
        </w:trPr>
        <w:tc>
          <w:tcPr>
            <w:tcW w:w="1900" w:type="dxa"/>
            <w:vAlign w:val="bottom"/>
            <w:tcBorders>
              <w:left w:val="single" w:sz="8" w:color="auto"/>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w w:val="99"/>
              </w:rPr>
              <w:t>The Scotts Company</w:t>
            </w:r>
          </w:p>
        </w:tc>
        <w:tc>
          <w:tcPr>
            <w:tcW w:w="184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w w:val="97"/>
              </w:rPr>
              <w:t>Limited liability company interest</w:t>
            </w:r>
          </w:p>
        </w:tc>
        <w:tc>
          <w:tcPr>
            <w:tcW w:w="2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rPr>
              <w:t>N/A</w:t>
            </w:r>
          </w:p>
        </w:tc>
        <w:tc>
          <w:tcPr>
            <w:tcW w:w="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60"/>
              <w:spacing w:after="0" w:line="223" w:lineRule="exact"/>
              <w:rPr>
                <w:sz w:val="20"/>
                <w:szCs w:val="20"/>
                <w:color w:val="auto"/>
              </w:rPr>
            </w:pPr>
            <w:r>
              <w:rPr>
                <w:rFonts w:ascii="Times New Roman" w:cs="Times New Roman" w:eastAsia="Times New Roman" w:hAnsi="Times New Roman"/>
                <w:sz w:val="22"/>
                <w:szCs w:val="22"/>
                <w:color w:val="auto"/>
              </w:rPr>
              <w:t>N/A</w:t>
            </w:r>
          </w:p>
        </w:tc>
      </w:tr>
      <w:tr>
        <w:trPr>
          <w:trHeight w:val="282"/>
        </w:trPr>
        <w:tc>
          <w:tcPr>
            <w:tcW w:w="19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LLC</w:t>
            </w:r>
          </w:p>
        </w:tc>
        <w:tc>
          <w:tcPr>
            <w:tcW w:w="1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(not certificated)</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9"/>
        </w:trPr>
        <w:tc>
          <w:tcPr>
            <w:tcW w:w="6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23"/>
        </w:trPr>
        <w:tc>
          <w:tcPr>
            <w:tcW w:w="1900" w:type="dxa"/>
            <w:vAlign w:val="bottom"/>
            <w:tcBorders>
              <w:left w:val="single" w:sz="8" w:color="auto"/>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AeroGrow</w:t>
            </w:r>
          </w:p>
        </w:tc>
        <w:tc>
          <w:tcPr>
            <w:tcW w:w="184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SMG Growing</w:t>
            </w:r>
          </w:p>
        </w:tc>
        <w:tc>
          <w:tcPr>
            <w:tcW w:w="3300" w:type="dxa"/>
            <w:vAlign w:val="bottom"/>
            <w:tcBorders>
              <w:right w:val="single" w:sz="8" w:color="auto"/>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w w:val="98"/>
              </w:rPr>
              <w:t>Common stock, without par value</w:t>
            </w:r>
          </w:p>
        </w:tc>
        <w:tc>
          <w:tcPr>
            <w:tcW w:w="138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0"/>
              </w:rPr>
              <w:t>2</w:t>
            </w:r>
          </w:p>
        </w:tc>
        <w:tc>
          <w:tcPr>
            <w:tcW w:w="60" w:type="dxa"/>
            <w:vAlign w:val="bottom"/>
            <w:tcBorders>
              <w:right w:val="single" w:sz="8" w:color="auto"/>
            </w:tcBorders>
          </w:tcPr>
          <w:p>
            <w:pPr>
              <w:spacing w:after="0"/>
              <w:rPr>
                <w:sz w:val="19"/>
                <w:szCs w:val="19"/>
                <w:color w:val="auto"/>
              </w:rPr>
            </w:pPr>
          </w:p>
        </w:tc>
        <w:tc>
          <w:tcPr>
            <w:tcW w:w="1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100</w:t>
            </w:r>
          </w:p>
        </w:tc>
        <w:tc>
          <w:tcPr>
            <w:tcW w:w="60" w:type="dxa"/>
            <w:vAlign w:val="bottom"/>
            <w:tcBorders>
              <w:right w:val="single" w:sz="8" w:color="auto"/>
            </w:tcBorders>
          </w:tcPr>
          <w:p>
            <w:pPr>
              <w:spacing w:after="0"/>
              <w:rPr>
                <w:sz w:val="19"/>
                <w:szCs w:val="19"/>
                <w:color w:val="auto"/>
              </w:rPr>
            </w:pPr>
          </w:p>
        </w:tc>
      </w:tr>
      <w:tr>
        <w:trPr>
          <w:trHeight w:val="282"/>
        </w:trPr>
        <w:tc>
          <w:tcPr>
            <w:tcW w:w="19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International, Inc.</w:t>
            </w:r>
          </w:p>
        </w:tc>
        <w:tc>
          <w:tcPr>
            <w:tcW w:w="1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Media LLC</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9"/>
        </w:trPr>
        <w:tc>
          <w:tcPr>
            <w:tcW w:w="6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23"/>
        </w:trPr>
        <w:tc>
          <w:tcPr>
            <w:tcW w:w="1900" w:type="dxa"/>
            <w:vAlign w:val="bottom"/>
            <w:tcBorders>
              <w:left w:val="single" w:sz="8" w:color="auto"/>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GenSource, Inc.</w:t>
            </w:r>
          </w:p>
        </w:tc>
        <w:tc>
          <w:tcPr>
            <w:tcW w:w="184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w w:val="98"/>
              </w:rPr>
              <w:t>Common stock, without par value</w:t>
            </w:r>
          </w:p>
        </w:tc>
        <w:tc>
          <w:tcPr>
            <w:tcW w:w="138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0"/>
              </w:rPr>
              <w:t>1</w:t>
            </w:r>
          </w:p>
        </w:tc>
        <w:tc>
          <w:tcPr>
            <w:tcW w:w="60" w:type="dxa"/>
            <w:vAlign w:val="bottom"/>
            <w:tcBorders>
              <w:right w:val="single" w:sz="8" w:color="auto"/>
            </w:tcBorders>
          </w:tcPr>
          <w:p>
            <w:pPr>
              <w:spacing w:after="0"/>
              <w:rPr>
                <w:sz w:val="19"/>
                <w:szCs w:val="19"/>
                <w:color w:val="auto"/>
              </w:rPr>
            </w:pPr>
          </w:p>
        </w:tc>
        <w:tc>
          <w:tcPr>
            <w:tcW w:w="1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100</w:t>
            </w:r>
          </w:p>
        </w:tc>
        <w:tc>
          <w:tcPr>
            <w:tcW w:w="60" w:type="dxa"/>
            <w:vAlign w:val="bottom"/>
            <w:tcBorders>
              <w:right w:val="single" w:sz="8" w:color="auto"/>
            </w:tcBorders>
          </w:tcPr>
          <w:p>
            <w:pPr>
              <w:spacing w:after="0"/>
              <w:rPr>
                <w:sz w:val="19"/>
                <w:szCs w:val="19"/>
                <w:color w:val="auto"/>
              </w:rPr>
            </w:pPr>
          </w:p>
        </w:tc>
      </w:tr>
      <w:tr>
        <w:trPr>
          <w:trHeight w:val="282"/>
        </w:trPr>
        <w:tc>
          <w:tcPr>
            <w:tcW w:w="66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Gro Company</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8"/>
        </w:trPr>
        <w:tc>
          <w:tcPr>
            <w:tcW w:w="6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23"/>
        </w:trPr>
        <w:tc>
          <w:tcPr>
            <w:tcW w:w="1900" w:type="dxa"/>
            <w:vAlign w:val="bottom"/>
            <w:tcBorders>
              <w:left w:val="single" w:sz="8" w:color="auto"/>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Hawthorne</w:t>
            </w:r>
          </w:p>
        </w:tc>
        <w:tc>
          <w:tcPr>
            <w:tcW w:w="184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The Hawthorne</w:t>
            </w:r>
          </w:p>
        </w:tc>
        <w:tc>
          <w:tcPr>
            <w:tcW w:w="3300" w:type="dxa"/>
            <w:vAlign w:val="bottom"/>
            <w:tcBorders>
              <w:right w:val="single" w:sz="8" w:color="auto"/>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w w:val="97"/>
              </w:rPr>
              <w:t>Limited liability company interest</w:t>
            </w:r>
          </w:p>
        </w:tc>
        <w:tc>
          <w:tcPr>
            <w:tcW w:w="2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rPr>
              <w:t>N/A</w:t>
            </w:r>
          </w:p>
        </w:tc>
        <w:tc>
          <w:tcPr>
            <w:tcW w:w="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60"/>
              <w:spacing w:after="0" w:line="223" w:lineRule="exact"/>
              <w:rPr>
                <w:sz w:val="20"/>
                <w:szCs w:val="20"/>
                <w:color w:val="auto"/>
              </w:rPr>
            </w:pPr>
            <w:r>
              <w:rPr>
                <w:rFonts w:ascii="Times New Roman" w:cs="Times New Roman" w:eastAsia="Times New Roman" w:hAnsi="Times New Roman"/>
                <w:sz w:val="22"/>
                <w:szCs w:val="22"/>
                <w:color w:val="auto"/>
              </w:rPr>
              <w:t>N/A</w:t>
            </w:r>
          </w:p>
        </w:tc>
      </w:tr>
      <w:tr>
        <w:trPr>
          <w:trHeight w:val="243"/>
        </w:trPr>
        <w:tc>
          <w:tcPr>
            <w:tcW w:w="1900" w:type="dxa"/>
            <w:vAlign w:val="bottom"/>
            <w:tcBorders>
              <w:left w:val="single" w:sz="8" w:color="auto"/>
              <w:right w:val="single" w:sz="8" w:color="auto"/>
            </w:tcBorders>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Hydroponics LLC</w:t>
            </w:r>
          </w:p>
        </w:tc>
        <w:tc>
          <w:tcPr>
            <w:tcW w:w="1840" w:type="dxa"/>
            <w:vAlign w:val="bottom"/>
            <w:tcBorders>
              <w:right w:val="single" w:sz="8" w:color="auto"/>
            </w:tcBorders>
            <w:gridSpan w:val="3"/>
          </w:tcPr>
          <w:p>
            <w:pPr>
              <w:spacing w:after="0" w:line="243" w:lineRule="exact"/>
              <w:rPr>
                <w:sz w:val="20"/>
                <w:szCs w:val="20"/>
                <w:color w:val="auto"/>
              </w:rPr>
            </w:pPr>
            <w:r>
              <w:rPr>
                <w:rFonts w:ascii="Times New Roman" w:cs="Times New Roman" w:eastAsia="Times New Roman" w:hAnsi="Times New Roman"/>
                <w:sz w:val="22"/>
                <w:szCs w:val="22"/>
                <w:color w:val="auto"/>
              </w:rPr>
              <w:t>Gardening</w:t>
            </w:r>
          </w:p>
        </w:tc>
        <w:tc>
          <w:tcPr>
            <w:tcW w:w="3300" w:type="dxa"/>
            <w:vAlign w:val="bottom"/>
            <w:tcBorders>
              <w:right w:val="single" w:sz="8" w:color="auto"/>
            </w:tcBorders>
            <w:gridSpan w:val="3"/>
          </w:tcPr>
          <w:p>
            <w:pPr>
              <w:jc w:val="center"/>
              <w:ind w:right="20"/>
              <w:spacing w:after="0" w:line="243" w:lineRule="exact"/>
              <w:rPr>
                <w:sz w:val="20"/>
                <w:szCs w:val="20"/>
                <w:color w:val="auto"/>
              </w:rPr>
            </w:pPr>
            <w:r>
              <w:rPr>
                <w:rFonts w:ascii="Times New Roman" w:cs="Times New Roman" w:eastAsia="Times New Roman" w:hAnsi="Times New Roman"/>
                <w:sz w:val="22"/>
                <w:szCs w:val="22"/>
                <w:color w:val="auto"/>
                <w:w w:val="97"/>
              </w:rPr>
              <w:t>(not certificated)</w:t>
            </w: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r>
      <w:tr>
        <w:trPr>
          <w:trHeight w:val="282"/>
        </w:trPr>
        <w:tc>
          <w:tcPr>
            <w:tcW w:w="66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Company LLC</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9"/>
        </w:trPr>
        <w:tc>
          <w:tcPr>
            <w:tcW w:w="6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23"/>
        </w:trPr>
        <w:tc>
          <w:tcPr>
            <w:tcW w:w="1900" w:type="dxa"/>
            <w:vAlign w:val="bottom"/>
            <w:tcBorders>
              <w:left w:val="single" w:sz="8" w:color="auto"/>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HGCI LLC</w:t>
            </w:r>
          </w:p>
        </w:tc>
        <w:tc>
          <w:tcPr>
            <w:tcW w:w="184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SMG Growing</w:t>
            </w:r>
          </w:p>
        </w:tc>
        <w:tc>
          <w:tcPr>
            <w:tcW w:w="3300" w:type="dxa"/>
            <w:vAlign w:val="bottom"/>
            <w:tcBorders>
              <w:right w:val="single" w:sz="8" w:color="auto"/>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w w:val="97"/>
              </w:rPr>
              <w:t>Limited liability company interest</w:t>
            </w:r>
          </w:p>
        </w:tc>
        <w:tc>
          <w:tcPr>
            <w:tcW w:w="2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rPr>
              <w:t>N/A</w:t>
            </w:r>
          </w:p>
        </w:tc>
        <w:tc>
          <w:tcPr>
            <w:tcW w:w="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60"/>
              <w:spacing w:after="0" w:line="223" w:lineRule="exact"/>
              <w:rPr>
                <w:sz w:val="20"/>
                <w:szCs w:val="20"/>
                <w:color w:val="auto"/>
              </w:rPr>
            </w:pPr>
            <w:r>
              <w:rPr>
                <w:rFonts w:ascii="Times New Roman" w:cs="Times New Roman" w:eastAsia="Times New Roman" w:hAnsi="Times New Roman"/>
                <w:sz w:val="22"/>
                <w:szCs w:val="22"/>
                <w:color w:val="auto"/>
              </w:rPr>
              <w:t>N/A</w:t>
            </w:r>
          </w:p>
        </w:tc>
      </w:tr>
      <w:tr>
        <w:trPr>
          <w:trHeight w:val="282"/>
        </w:trPr>
        <w:tc>
          <w:tcPr>
            <w:tcW w:w="66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Media LLC</w:t>
            </w:r>
          </w:p>
        </w:tc>
        <w:tc>
          <w:tcPr>
            <w:tcW w:w="3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(not certificated)</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9"/>
        </w:trPr>
        <w:tc>
          <w:tcPr>
            <w:tcW w:w="6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23"/>
        </w:trPr>
        <w:tc>
          <w:tcPr>
            <w:tcW w:w="1900" w:type="dxa"/>
            <w:vAlign w:val="bottom"/>
            <w:tcBorders>
              <w:left w:val="single" w:sz="8" w:color="auto"/>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Hyponex</w:t>
            </w:r>
          </w:p>
        </w:tc>
        <w:tc>
          <w:tcPr>
            <w:tcW w:w="184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SMG Growing</w:t>
            </w:r>
          </w:p>
        </w:tc>
        <w:tc>
          <w:tcPr>
            <w:tcW w:w="3300" w:type="dxa"/>
            <w:vAlign w:val="bottom"/>
            <w:tcBorders>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2"/>
                <w:szCs w:val="22"/>
                <w:color w:val="auto"/>
                <w:w w:val="97"/>
              </w:rPr>
              <w:t>Common stock, $.01 par value</w:t>
            </w:r>
          </w:p>
        </w:tc>
        <w:tc>
          <w:tcPr>
            <w:tcW w:w="138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0"/>
              </w:rPr>
              <w:t>6</w:t>
            </w:r>
          </w:p>
        </w:tc>
        <w:tc>
          <w:tcPr>
            <w:tcW w:w="60" w:type="dxa"/>
            <w:vAlign w:val="bottom"/>
            <w:tcBorders>
              <w:right w:val="single" w:sz="8" w:color="auto"/>
            </w:tcBorders>
          </w:tcPr>
          <w:p>
            <w:pPr>
              <w:spacing w:after="0"/>
              <w:rPr>
                <w:sz w:val="19"/>
                <w:szCs w:val="19"/>
                <w:color w:val="auto"/>
              </w:rPr>
            </w:pPr>
          </w:p>
        </w:tc>
        <w:tc>
          <w:tcPr>
            <w:tcW w:w="1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100</w:t>
            </w:r>
          </w:p>
        </w:tc>
        <w:tc>
          <w:tcPr>
            <w:tcW w:w="60" w:type="dxa"/>
            <w:vAlign w:val="bottom"/>
            <w:tcBorders>
              <w:right w:val="single" w:sz="8" w:color="auto"/>
            </w:tcBorders>
          </w:tcPr>
          <w:p>
            <w:pPr>
              <w:spacing w:after="0"/>
              <w:rPr>
                <w:sz w:val="19"/>
                <w:szCs w:val="19"/>
                <w:color w:val="auto"/>
              </w:rPr>
            </w:pPr>
          </w:p>
        </w:tc>
      </w:tr>
      <w:tr>
        <w:trPr>
          <w:trHeight w:val="282"/>
        </w:trPr>
        <w:tc>
          <w:tcPr>
            <w:tcW w:w="19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Corporation</w:t>
            </w:r>
          </w:p>
        </w:tc>
        <w:tc>
          <w:tcPr>
            <w:tcW w:w="1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Media LLC</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8"/>
        </w:trPr>
        <w:tc>
          <w:tcPr>
            <w:tcW w:w="6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23"/>
        </w:trPr>
        <w:tc>
          <w:tcPr>
            <w:tcW w:w="1900" w:type="dxa"/>
            <w:vAlign w:val="bottom"/>
            <w:tcBorders>
              <w:left w:val="single" w:sz="8" w:color="auto"/>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Miracle-Gro Lawn</w:t>
            </w:r>
          </w:p>
        </w:tc>
        <w:tc>
          <w:tcPr>
            <w:tcW w:w="184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Scotts</w:t>
            </w:r>
          </w:p>
        </w:tc>
        <w:tc>
          <w:tcPr>
            <w:tcW w:w="3300" w:type="dxa"/>
            <w:vAlign w:val="bottom"/>
            <w:tcBorders>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2"/>
                <w:szCs w:val="22"/>
                <w:color w:val="auto"/>
                <w:w w:val="97"/>
              </w:rPr>
              <w:t>Voting common stock, without par</w:t>
            </w:r>
          </w:p>
        </w:tc>
        <w:tc>
          <w:tcPr>
            <w:tcW w:w="2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rPr>
              <w:t>V14</w:t>
            </w:r>
          </w:p>
        </w:tc>
        <w:tc>
          <w:tcPr>
            <w:tcW w:w="1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1,000</w:t>
            </w:r>
          </w:p>
        </w:tc>
        <w:tc>
          <w:tcPr>
            <w:tcW w:w="60" w:type="dxa"/>
            <w:vAlign w:val="bottom"/>
            <w:tcBorders>
              <w:right w:val="single" w:sz="8" w:color="auto"/>
            </w:tcBorders>
          </w:tcPr>
          <w:p>
            <w:pPr>
              <w:spacing w:after="0"/>
              <w:rPr>
                <w:sz w:val="19"/>
                <w:szCs w:val="19"/>
                <w:color w:val="auto"/>
              </w:rPr>
            </w:pPr>
          </w:p>
        </w:tc>
      </w:tr>
      <w:tr>
        <w:trPr>
          <w:trHeight w:val="243"/>
        </w:trPr>
        <w:tc>
          <w:tcPr>
            <w:tcW w:w="1900" w:type="dxa"/>
            <w:vAlign w:val="bottom"/>
            <w:tcBorders>
              <w:left w:val="single" w:sz="8" w:color="auto"/>
              <w:right w:val="single" w:sz="8" w:color="auto"/>
            </w:tcBorders>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Products, Inc.</w:t>
            </w:r>
          </w:p>
        </w:tc>
        <w:tc>
          <w:tcPr>
            <w:tcW w:w="1840" w:type="dxa"/>
            <w:vAlign w:val="bottom"/>
            <w:tcBorders>
              <w:right w:val="single" w:sz="8" w:color="auto"/>
            </w:tcBorders>
            <w:gridSpan w:val="3"/>
          </w:tcPr>
          <w:p>
            <w:pPr>
              <w:spacing w:after="0" w:line="243" w:lineRule="exact"/>
              <w:rPr>
                <w:sz w:val="20"/>
                <w:szCs w:val="20"/>
                <w:color w:val="auto"/>
              </w:rPr>
            </w:pPr>
            <w:r>
              <w:rPr>
                <w:rFonts w:ascii="Times New Roman" w:cs="Times New Roman" w:eastAsia="Times New Roman" w:hAnsi="Times New Roman"/>
                <w:sz w:val="22"/>
                <w:szCs w:val="22"/>
                <w:color w:val="auto"/>
              </w:rPr>
              <w:t>Manufacturing</w:t>
            </w:r>
          </w:p>
        </w:tc>
        <w:tc>
          <w:tcPr>
            <w:tcW w:w="980" w:type="dxa"/>
            <w:vAlign w:val="bottom"/>
          </w:tcPr>
          <w:p>
            <w:pPr>
              <w:spacing w:after="0"/>
              <w:rPr>
                <w:sz w:val="21"/>
                <w:szCs w:val="21"/>
                <w:color w:val="auto"/>
              </w:rPr>
            </w:pPr>
          </w:p>
        </w:tc>
        <w:tc>
          <w:tcPr>
            <w:tcW w:w="2320" w:type="dxa"/>
            <w:vAlign w:val="bottom"/>
            <w:tcBorders>
              <w:right w:val="single" w:sz="8" w:color="auto"/>
            </w:tcBorders>
            <w:gridSpan w:val="2"/>
          </w:tcPr>
          <w:p>
            <w:pPr>
              <w:jc w:val="center"/>
              <w:ind w:right="1020"/>
              <w:spacing w:after="0" w:line="243" w:lineRule="exact"/>
              <w:rPr>
                <w:sz w:val="20"/>
                <w:szCs w:val="20"/>
                <w:color w:val="auto"/>
              </w:rPr>
            </w:pPr>
            <w:r>
              <w:rPr>
                <w:rFonts w:ascii="Times New Roman" w:cs="Times New Roman" w:eastAsia="Times New Roman" w:hAnsi="Times New Roman"/>
                <w:sz w:val="22"/>
                <w:szCs w:val="22"/>
                <w:color w:val="auto"/>
                <w:w w:val="96"/>
              </w:rPr>
              <w:t>value</w:t>
            </w: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r>
      <w:tr>
        <w:trPr>
          <w:trHeight w:val="282"/>
        </w:trPr>
        <w:tc>
          <w:tcPr>
            <w:tcW w:w="66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Company</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474"/>
        </w:trPr>
        <w:tc>
          <w:tcPr>
            <w:tcW w:w="66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2"/>
                <w:szCs w:val="22"/>
                <w:color w:val="auto"/>
                <w:w w:val="98"/>
              </w:rPr>
              <w:t>Non-voting common stock, without</w:t>
            </w:r>
          </w:p>
        </w:tc>
        <w:tc>
          <w:tcPr>
            <w:tcW w:w="2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60"/>
              <w:spacing w:after="0" w:line="223" w:lineRule="exact"/>
              <w:rPr>
                <w:sz w:val="20"/>
                <w:szCs w:val="20"/>
                <w:color w:val="auto"/>
              </w:rPr>
            </w:pPr>
            <w:r>
              <w:rPr>
                <w:rFonts w:ascii="Times New Roman" w:cs="Times New Roman" w:eastAsia="Times New Roman" w:hAnsi="Times New Roman"/>
                <w:sz w:val="22"/>
                <w:szCs w:val="22"/>
                <w:color w:val="auto"/>
                <w:w w:val="96"/>
              </w:rPr>
              <w:t>NV12</w:t>
            </w:r>
          </w:p>
        </w:tc>
        <w:tc>
          <w:tcPr>
            <w:tcW w:w="1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999.8</w:t>
            </w:r>
          </w:p>
        </w:tc>
        <w:tc>
          <w:tcPr>
            <w:tcW w:w="60" w:type="dxa"/>
            <w:vAlign w:val="bottom"/>
            <w:tcBorders>
              <w:right w:val="single" w:sz="8" w:color="auto"/>
            </w:tcBorders>
          </w:tcPr>
          <w:p>
            <w:pPr>
              <w:spacing w:after="0"/>
              <w:rPr>
                <w:sz w:val="19"/>
                <w:szCs w:val="19"/>
                <w:color w:val="auto"/>
              </w:rPr>
            </w:pPr>
          </w:p>
        </w:tc>
      </w:tr>
      <w:tr>
        <w:trPr>
          <w:trHeight w:val="282"/>
        </w:trPr>
        <w:tc>
          <w:tcPr>
            <w:tcW w:w="66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Borders>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8"/>
              </w:rPr>
              <w:t>par value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717"/>
        </w:trPr>
        <w:tc>
          <w:tcPr>
            <w:tcW w:w="66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223"/>
        </w:trPr>
        <w:tc>
          <w:tcPr>
            <w:tcW w:w="1900" w:type="dxa"/>
            <w:vAlign w:val="bottom"/>
            <w:tcBorders>
              <w:left w:val="single" w:sz="8" w:color="auto"/>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OMS Investments,</w:t>
            </w:r>
          </w:p>
        </w:tc>
        <w:tc>
          <w:tcPr>
            <w:tcW w:w="1840" w:type="dxa"/>
            <w:vAlign w:val="bottom"/>
            <w:tcBorders>
              <w:right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2"/>
                <w:szCs w:val="22"/>
                <w:color w:val="auto"/>
                <w:w w:val="97"/>
              </w:rPr>
              <w:t>Common stock, $.01 par value</w:t>
            </w:r>
          </w:p>
        </w:tc>
        <w:tc>
          <w:tcPr>
            <w:tcW w:w="138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0"/>
              </w:rPr>
              <w:t>6</w:t>
            </w:r>
          </w:p>
        </w:tc>
        <w:tc>
          <w:tcPr>
            <w:tcW w:w="60" w:type="dxa"/>
            <w:vAlign w:val="bottom"/>
            <w:tcBorders>
              <w:right w:val="single" w:sz="8" w:color="auto"/>
            </w:tcBorders>
          </w:tcPr>
          <w:p>
            <w:pPr>
              <w:spacing w:after="0"/>
              <w:rPr>
                <w:sz w:val="19"/>
                <w:szCs w:val="19"/>
                <w:color w:val="auto"/>
              </w:rPr>
            </w:pPr>
          </w:p>
        </w:tc>
        <w:tc>
          <w:tcPr>
            <w:tcW w:w="1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100</w:t>
            </w:r>
          </w:p>
        </w:tc>
        <w:tc>
          <w:tcPr>
            <w:tcW w:w="60" w:type="dxa"/>
            <w:vAlign w:val="bottom"/>
            <w:tcBorders>
              <w:right w:val="single" w:sz="8" w:color="auto"/>
            </w:tcBorders>
          </w:tcPr>
          <w:p>
            <w:pPr>
              <w:spacing w:after="0"/>
              <w:rPr>
                <w:sz w:val="19"/>
                <w:szCs w:val="19"/>
                <w:color w:val="auto"/>
              </w:rPr>
            </w:pPr>
          </w:p>
        </w:tc>
      </w:tr>
      <w:tr>
        <w:trPr>
          <w:trHeight w:val="282"/>
        </w:trPr>
        <w:tc>
          <w:tcPr>
            <w:tcW w:w="19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Inc.</w:t>
            </w:r>
          </w:p>
        </w:tc>
        <w:tc>
          <w:tcPr>
            <w:tcW w:w="1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Gro Company</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8"/>
        </w:trPr>
        <w:tc>
          <w:tcPr>
            <w:tcW w:w="6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108"/>
          </w:cols>
          <w:pgMar w:left="652" w:top="1418" w:right="1139" w:bottom="1440" w:gutter="0" w:footer="0" w:header="0"/>
        </w:sectPr>
      </w:pPr>
    </w:p>
    <w:bookmarkStart w:id="293" w:name="page294"/>
    <w:bookmarkEnd w:id="29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Rod McLellan</w:t>
            </w:r>
          </w:p>
        </w:tc>
        <w:tc>
          <w:tcPr>
            <w:tcW w:w="1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SMG Growing</w:t>
            </w:r>
          </w:p>
        </w:tc>
        <w:tc>
          <w:tcPr>
            <w:tcW w:w="3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Common stock, $.01 par value</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190</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100</w:t>
            </w: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Company</w:t>
            </w: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Media LLC</w:t>
            </w: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Sanford Scientific,</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stock, without par value</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9</w:t>
            </w:r>
          </w:p>
        </w:tc>
        <w:tc>
          <w:tcPr>
            <w:tcW w:w="1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99</w:t>
            </w: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Inc.</w:t>
            </w: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Scotts Live Goods</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stock without par value</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1</w:t>
            </w:r>
          </w:p>
        </w:tc>
        <w:tc>
          <w:tcPr>
            <w:tcW w:w="1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100</w:t>
            </w: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Holdings, Inc.</w:t>
            </w: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shares, $.01 par value</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3</w:t>
            </w:r>
          </w:p>
        </w:tc>
        <w:tc>
          <w:tcPr>
            <w:tcW w:w="1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1,000</w:t>
            </w: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Manufacturing</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Company</w:t>
            </w:r>
          </w:p>
        </w:tc>
        <w:tc>
          <w:tcPr>
            <w:tcW w:w="184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Scotts Products Co.</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stock without par value</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4</w:t>
            </w:r>
          </w:p>
        </w:tc>
        <w:tc>
          <w:tcPr>
            <w:tcW w:w="1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100</w:t>
            </w:r>
          </w:p>
        </w:tc>
      </w:tr>
      <w:tr>
        <w:trPr>
          <w:trHeight w:val="291"/>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Scotts Professional</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stock without par value</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4</w:t>
            </w:r>
          </w:p>
        </w:tc>
        <w:tc>
          <w:tcPr>
            <w:tcW w:w="1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100</w:t>
            </w: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Products Co.</w:t>
            </w: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Scotts Temecula</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OMS Investments,</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Limited liability company interest</w:t>
            </w:r>
          </w:p>
        </w:tc>
        <w:tc>
          <w:tcPr>
            <w:tcW w:w="1440" w:type="dxa"/>
            <w:vAlign w:val="bottom"/>
            <w:tcBorders>
              <w:right w:val="single" w:sz="8" w:color="auto"/>
            </w:tcBorders>
          </w:tcPr>
          <w:p>
            <w:pPr>
              <w:ind w:left="520"/>
              <w:spacing w:after="0" w:line="243" w:lineRule="exact"/>
              <w:rPr>
                <w:sz w:val="20"/>
                <w:szCs w:val="20"/>
                <w:color w:val="auto"/>
              </w:rPr>
            </w:pPr>
            <w:r>
              <w:rPr>
                <w:rFonts w:ascii="Times New Roman" w:cs="Times New Roman" w:eastAsia="Times New Roman" w:hAnsi="Times New Roman"/>
                <w:sz w:val="22"/>
                <w:szCs w:val="22"/>
                <w:color w:val="auto"/>
              </w:rPr>
              <w:t>N/A</w:t>
            </w:r>
          </w:p>
        </w:tc>
        <w:tc>
          <w:tcPr>
            <w:tcW w:w="1300" w:type="dxa"/>
            <w:vAlign w:val="bottom"/>
            <w:tcBorders>
              <w:right w:val="single" w:sz="8" w:color="auto"/>
            </w:tcBorders>
          </w:tcPr>
          <w:p>
            <w:pPr>
              <w:ind w:left="440"/>
              <w:spacing w:after="0" w:line="243" w:lineRule="exact"/>
              <w:rPr>
                <w:sz w:val="20"/>
                <w:szCs w:val="20"/>
                <w:color w:val="auto"/>
              </w:rPr>
            </w:pPr>
            <w:r>
              <w:rPr>
                <w:rFonts w:ascii="Times New Roman" w:cs="Times New Roman" w:eastAsia="Times New Roman" w:hAnsi="Times New Roman"/>
                <w:sz w:val="22"/>
                <w:szCs w:val="22"/>
                <w:color w:val="auto"/>
              </w:rPr>
              <w:t>N/A</w:t>
            </w: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Operations, LLC</w:t>
            </w: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Inc.</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(not certificated)</w:t>
            </w: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Scotts-Sierra</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SMGM LLC</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Membership Units</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1</w:t>
            </w:r>
          </w:p>
        </w:tc>
        <w:tc>
          <w:tcPr>
            <w:tcW w:w="1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100</w:t>
            </w: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Investments LLC</w:t>
            </w:r>
          </w:p>
        </w:tc>
        <w:tc>
          <w:tcPr>
            <w:tcW w:w="184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9780"/>
          </w:cols>
          <w:pgMar w:left="980" w:top="1440" w:right="1139" w:bottom="1440" w:gutter="0" w:footer="0" w:header="0"/>
        </w:sectPr>
      </w:pPr>
    </w:p>
    <w:bookmarkStart w:id="294" w:name="page295"/>
    <w:bookmarkEnd w:id="294"/>
    <w:p>
      <w:pPr>
        <w:spacing w:after="0" w:line="3" w:lineRule="exact"/>
        <w:rPr>
          <w:sz w:val="20"/>
          <w:szCs w:val="20"/>
          <w:color w:val="auto"/>
        </w:rPr>
      </w:pPr>
    </w:p>
    <w:tbl>
      <w:tblPr>
        <w:tblLayout w:type="fixed"/>
        <w:tblInd w:w="670" w:type="dxa"/>
        <w:tblCellMar>
          <w:top w:w="0" w:type="dxa"/>
          <w:left w:w="0" w:type="dxa"/>
          <w:bottom w:w="0" w:type="dxa"/>
          <w:right w:w="0" w:type="dxa"/>
        </w:tblCellMar>
      </w:tblPr>
      <w:tr>
        <w:trPr>
          <w:trHeight w:val="256"/>
        </w:trPr>
        <w:tc>
          <w:tcPr>
            <w:tcW w:w="1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SMG Growing</w:t>
            </w:r>
          </w:p>
        </w:tc>
        <w:tc>
          <w:tcPr>
            <w:tcW w:w="1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Limited liability company interest</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N/A</w:t>
            </w:r>
          </w:p>
        </w:tc>
        <w:tc>
          <w:tcPr>
            <w:tcW w:w="130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rPr>
              <w:t>N/A</w:t>
            </w: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Media LLC</w:t>
            </w: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(not certificated)</w:t>
            </w: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SMGM LLC</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Limited liability company interest</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N/A</w:t>
            </w:r>
          </w:p>
        </w:tc>
        <w:tc>
          <w:tcPr>
            <w:tcW w:w="1300" w:type="dxa"/>
            <w:vAlign w:val="bottom"/>
            <w:tcBorders>
              <w:right w:val="single" w:sz="8" w:color="auto"/>
            </w:tcBorders>
          </w:tcPr>
          <w:p>
            <w:pPr>
              <w:ind w:left="440"/>
              <w:spacing w:after="0" w:line="243" w:lineRule="exact"/>
              <w:rPr>
                <w:sz w:val="20"/>
                <w:szCs w:val="20"/>
                <w:color w:val="auto"/>
              </w:rPr>
            </w:pPr>
            <w:r>
              <w:rPr>
                <w:rFonts w:ascii="Times New Roman" w:cs="Times New Roman" w:eastAsia="Times New Roman" w:hAnsi="Times New Roman"/>
                <w:sz w:val="22"/>
                <w:szCs w:val="22"/>
                <w:color w:val="auto"/>
              </w:rPr>
              <w:t>N/A</w:t>
            </w:r>
          </w:p>
        </w:tc>
      </w:tr>
      <w:tr>
        <w:trPr>
          <w:trHeight w:val="291"/>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(not certificated)</w:t>
            </w: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Swiss Farms</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Scotts Miracle-</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Common stock, $1.00 par value</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0"/>
              </w:rPr>
              <w:t>6</w:t>
            </w:r>
          </w:p>
        </w:tc>
        <w:tc>
          <w:tcPr>
            <w:tcW w:w="130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100</w:t>
            </w: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Products, Inc</w:t>
            </w:r>
          </w:p>
        </w:tc>
        <w:tc>
          <w:tcPr>
            <w:tcW w:w="1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Gro Company</w:t>
            </w: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Hawthorne</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SMG Growing</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Limited liability company interest</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N/A</w:t>
            </w:r>
          </w:p>
        </w:tc>
        <w:tc>
          <w:tcPr>
            <w:tcW w:w="1300" w:type="dxa"/>
            <w:vAlign w:val="bottom"/>
            <w:tcBorders>
              <w:right w:val="single" w:sz="8" w:color="auto"/>
            </w:tcBorders>
          </w:tcPr>
          <w:p>
            <w:pPr>
              <w:ind w:left="440"/>
              <w:spacing w:after="0" w:line="243" w:lineRule="exact"/>
              <w:rPr>
                <w:sz w:val="20"/>
                <w:szCs w:val="20"/>
                <w:color w:val="auto"/>
              </w:rPr>
            </w:pPr>
            <w:r>
              <w:rPr>
                <w:rFonts w:ascii="Times New Roman" w:cs="Times New Roman" w:eastAsia="Times New Roman" w:hAnsi="Times New Roman"/>
                <w:sz w:val="22"/>
                <w:szCs w:val="22"/>
                <w:color w:val="auto"/>
              </w:rPr>
              <w:t>N/A</w:t>
            </w:r>
          </w:p>
        </w:tc>
      </w:tr>
      <w:tr>
        <w:trPr>
          <w:trHeight w:val="243"/>
        </w:trPr>
        <w:tc>
          <w:tcPr>
            <w:tcW w:w="190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Gardening Company</w:t>
            </w:r>
          </w:p>
        </w:tc>
        <w:tc>
          <w:tcPr>
            <w:tcW w:w="18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Media LLC</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(not certificated)</w:t>
            </w:r>
          </w:p>
        </w:tc>
        <w:tc>
          <w:tcPr>
            <w:tcW w:w="144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291"/>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LLC</w:t>
            </w:r>
          </w:p>
        </w:tc>
        <w:tc>
          <w:tcPr>
            <w:tcW w:w="184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67" w:lineRule="exact"/>
        <w:rPr>
          <w:sz w:val="20"/>
          <w:szCs w:val="20"/>
          <w:color w:val="auto"/>
        </w:rPr>
      </w:pPr>
    </w:p>
    <w:p>
      <w:pPr>
        <w:ind w:left="380" w:hanging="372"/>
        <w:spacing w:after="0"/>
        <w:tabs>
          <w:tab w:leader="none" w:pos="38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Pledged Stock of Foreign Subsidiaries</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80" w:type="dxa"/>
            <w:vAlign w:val="bottom"/>
            <w:tcBorders>
              <w:top w:val="single" w:sz="8" w:color="00000A"/>
              <w:left w:val="single" w:sz="8" w:color="00000A"/>
            </w:tcBorders>
          </w:tcPr>
          <w:p>
            <w:pPr>
              <w:spacing w:after="0"/>
              <w:rPr>
                <w:sz w:val="18"/>
                <w:szCs w:val="18"/>
                <w:color w:val="auto"/>
              </w:rPr>
            </w:pPr>
          </w:p>
        </w:tc>
        <w:tc>
          <w:tcPr>
            <w:tcW w:w="1600" w:type="dxa"/>
            <w:vAlign w:val="bottom"/>
            <w:tcBorders>
              <w:top w:val="single" w:sz="8" w:color="00000A"/>
              <w:right w:val="single" w:sz="8" w:color="00000A"/>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Issuer</w:t>
            </w:r>
          </w:p>
        </w:tc>
        <w:tc>
          <w:tcPr>
            <w:tcW w:w="700" w:type="dxa"/>
            <w:vAlign w:val="bottom"/>
            <w:tcBorders>
              <w:top w:val="single" w:sz="8" w:color="00000A"/>
            </w:tcBorders>
          </w:tcPr>
          <w:p>
            <w:pPr>
              <w:spacing w:after="0"/>
              <w:rPr>
                <w:sz w:val="18"/>
                <w:szCs w:val="18"/>
                <w:color w:val="auto"/>
              </w:rPr>
            </w:pPr>
          </w:p>
        </w:tc>
        <w:tc>
          <w:tcPr>
            <w:tcW w:w="1320" w:type="dxa"/>
            <w:vAlign w:val="bottom"/>
            <w:tcBorders>
              <w:top w:val="single" w:sz="8" w:color="00000A"/>
              <w:right w:val="single" w:sz="8" w:color="00000A"/>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Owner</w:t>
            </w:r>
          </w:p>
        </w:tc>
        <w:tc>
          <w:tcPr>
            <w:tcW w:w="6560" w:type="dxa"/>
            <w:vAlign w:val="bottom"/>
            <w:tcBorders>
              <w:top w:val="single" w:sz="8" w:color="00000A"/>
              <w:right w:val="single" w:sz="8" w:color="00000A"/>
            </w:tcBorders>
            <w:gridSpan w:val="3"/>
          </w:tcPr>
          <w:p>
            <w:pPr>
              <w:ind w:left="2440"/>
              <w:spacing w:after="0" w:line="216" w:lineRule="exact"/>
              <w:rPr>
                <w:sz w:val="20"/>
                <w:szCs w:val="20"/>
                <w:color w:val="auto"/>
              </w:rPr>
            </w:pPr>
            <w:r>
              <w:rPr>
                <w:rFonts w:ascii="Times New Roman" w:cs="Times New Roman" w:eastAsia="Times New Roman" w:hAnsi="Times New Roman"/>
                <w:sz w:val="20"/>
                <w:szCs w:val="20"/>
                <w:b w:val="1"/>
                <w:bCs w:val="1"/>
                <w:color w:val="auto"/>
              </w:rPr>
              <w:t>Percentage Pledged</w:t>
            </w:r>
          </w:p>
        </w:tc>
        <w:tc>
          <w:tcPr>
            <w:tcW w:w="0" w:type="dxa"/>
            <w:vAlign w:val="bottom"/>
          </w:tcPr>
          <w:p>
            <w:pPr>
              <w:spacing w:after="0"/>
              <w:rPr>
                <w:sz w:val="1"/>
                <w:szCs w:val="1"/>
                <w:color w:val="auto"/>
              </w:rPr>
            </w:pPr>
          </w:p>
        </w:tc>
      </w:tr>
      <w:tr>
        <w:trPr>
          <w:trHeight w:val="250"/>
        </w:trPr>
        <w:tc>
          <w:tcPr>
            <w:tcW w:w="1080" w:type="dxa"/>
            <w:vAlign w:val="bottom"/>
            <w:tcBorders>
              <w:left w:val="single" w:sz="8" w:color="00000A"/>
              <w:bottom w:val="single" w:sz="8" w:color="00000A"/>
            </w:tcBorders>
          </w:tcPr>
          <w:p>
            <w:pPr>
              <w:spacing w:after="0"/>
              <w:rPr>
                <w:sz w:val="21"/>
                <w:szCs w:val="21"/>
                <w:color w:val="auto"/>
              </w:rPr>
            </w:pPr>
          </w:p>
        </w:tc>
        <w:tc>
          <w:tcPr>
            <w:tcW w:w="520" w:type="dxa"/>
            <w:vAlign w:val="bottom"/>
            <w:tcBorders>
              <w:top w:val="single" w:sz="8" w:color="auto"/>
              <w:bottom w:val="single" w:sz="8" w:color="00000A"/>
            </w:tcBorders>
          </w:tcPr>
          <w:p>
            <w:pPr>
              <w:spacing w:after="0"/>
              <w:rPr>
                <w:sz w:val="21"/>
                <w:szCs w:val="21"/>
                <w:color w:val="auto"/>
              </w:rPr>
            </w:pPr>
          </w:p>
        </w:tc>
        <w:tc>
          <w:tcPr>
            <w:tcW w:w="1080" w:type="dxa"/>
            <w:vAlign w:val="bottom"/>
            <w:tcBorders>
              <w:bottom w:val="single" w:sz="8" w:color="00000A"/>
              <w:right w:val="single" w:sz="8" w:color="00000A"/>
            </w:tcBorders>
          </w:tcPr>
          <w:p>
            <w:pPr>
              <w:spacing w:after="0"/>
              <w:rPr>
                <w:sz w:val="21"/>
                <w:szCs w:val="21"/>
                <w:color w:val="auto"/>
              </w:rPr>
            </w:pPr>
          </w:p>
        </w:tc>
        <w:tc>
          <w:tcPr>
            <w:tcW w:w="700" w:type="dxa"/>
            <w:vAlign w:val="bottom"/>
            <w:tcBorders>
              <w:bottom w:val="single" w:sz="8" w:color="00000A"/>
            </w:tcBorders>
          </w:tcPr>
          <w:p>
            <w:pPr>
              <w:spacing w:after="0"/>
              <w:rPr>
                <w:sz w:val="21"/>
                <w:szCs w:val="21"/>
                <w:color w:val="auto"/>
              </w:rPr>
            </w:pPr>
          </w:p>
        </w:tc>
        <w:tc>
          <w:tcPr>
            <w:tcW w:w="580" w:type="dxa"/>
            <w:vAlign w:val="bottom"/>
            <w:tcBorders>
              <w:top w:val="single" w:sz="8" w:color="auto"/>
              <w:bottom w:val="single" w:sz="8" w:color="00000A"/>
            </w:tcBorders>
          </w:tcPr>
          <w:p>
            <w:pPr>
              <w:spacing w:after="0"/>
              <w:rPr>
                <w:sz w:val="21"/>
                <w:szCs w:val="21"/>
                <w:color w:val="auto"/>
              </w:rPr>
            </w:pPr>
          </w:p>
        </w:tc>
        <w:tc>
          <w:tcPr>
            <w:tcW w:w="740" w:type="dxa"/>
            <w:vAlign w:val="bottom"/>
            <w:tcBorders>
              <w:bottom w:val="single" w:sz="8" w:color="00000A"/>
              <w:right w:val="single" w:sz="8" w:color="00000A"/>
            </w:tcBorders>
          </w:tcPr>
          <w:p>
            <w:pPr>
              <w:spacing w:after="0"/>
              <w:rPr>
                <w:sz w:val="21"/>
                <w:szCs w:val="21"/>
                <w:color w:val="auto"/>
              </w:rPr>
            </w:pPr>
          </w:p>
        </w:tc>
        <w:tc>
          <w:tcPr>
            <w:tcW w:w="2440" w:type="dxa"/>
            <w:vAlign w:val="bottom"/>
            <w:tcBorders>
              <w:bottom w:val="single" w:sz="8" w:color="00000A"/>
            </w:tcBorders>
          </w:tcPr>
          <w:p>
            <w:pPr>
              <w:spacing w:after="0"/>
              <w:rPr>
                <w:sz w:val="21"/>
                <w:szCs w:val="21"/>
                <w:color w:val="auto"/>
              </w:rPr>
            </w:pPr>
          </w:p>
        </w:tc>
        <w:tc>
          <w:tcPr>
            <w:tcW w:w="1660" w:type="dxa"/>
            <w:vAlign w:val="bottom"/>
            <w:tcBorders>
              <w:top w:val="single" w:sz="8" w:color="auto"/>
              <w:bottom w:val="single" w:sz="8" w:color="00000A"/>
            </w:tcBorders>
          </w:tcPr>
          <w:p>
            <w:pPr>
              <w:spacing w:after="0"/>
              <w:rPr>
                <w:sz w:val="21"/>
                <w:szCs w:val="21"/>
                <w:color w:val="auto"/>
              </w:rPr>
            </w:pPr>
          </w:p>
        </w:tc>
        <w:tc>
          <w:tcPr>
            <w:tcW w:w="2460" w:type="dxa"/>
            <w:vAlign w:val="bottom"/>
            <w:tcBorders>
              <w:bottom w:val="single" w:sz="8" w:color="00000A"/>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680" w:type="dxa"/>
            <w:vAlign w:val="bottom"/>
            <w:tcBorders>
              <w:left w:val="single" w:sz="8" w:color="00000A"/>
              <w:right w:val="single" w:sz="8" w:color="00000A"/>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Scotts Canada Limited</w:t>
            </w:r>
          </w:p>
        </w:tc>
        <w:tc>
          <w:tcPr>
            <w:tcW w:w="2020" w:type="dxa"/>
            <w:vAlign w:val="bottom"/>
            <w:tcBorders>
              <w:right w:val="single" w:sz="8" w:color="00000A"/>
            </w:tcBorders>
            <w:gridSpan w:val="3"/>
          </w:tcPr>
          <w:p>
            <w:pPr>
              <w:spacing w:after="0" w:line="183" w:lineRule="exact"/>
              <w:rPr>
                <w:sz w:val="20"/>
                <w:szCs w:val="20"/>
                <w:color w:val="auto"/>
              </w:rPr>
            </w:pPr>
            <w:r>
              <w:rPr>
                <w:rFonts w:ascii="Times New Roman" w:cs="Times New Roman" w:eastAsia="Times New Roman" w:hAnsi="Times New Roman"/>
                <w:sz w:val="20"/>
                <w:szCs w:val="20"/>
                <w:color w:val="auto"/>
              </w:rPr>
              <w:t>Scotts-Sierra</w:t>
            </w:r>
          </w:p>
        </w:tc>
        <w:tc>
          <w:tcPr>
            <w:tcW w:w="6560" w:type="dxa"/>
            <w:vAlign w:val="bottom"/>
            <w:tcBorders>
              <w:right w:val="single" w:sz="8" w:color="00000A"/>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65% of Voting Capital Stock, without par value</w:t>
            </w:r>
          </w:p>
        </w:tc>
        <w:tc>
          <w:tcPr>
            <w:tcW w:w="0" w:type="dxa"/>
            <w:vAlign w:val="bottom"/>
          </w:tcPr>
          <w:p>
            <w:pPr>
              <w:spacing w:after="0"/>
              <w:rPr>
                <w:sz w:val="1"/>
                <w:szCs w:val="1"/>
                <w:color w:val="auto"/>
              </w:rPr>
            </w:pPr>
          </w:p>
        </w:tc>
      </w:tr>
      <w:tr>
        <w:trPr>
          <w:trHeight w:val="155"/>
        </w:trPr>
        <w:tc>
          <w:tcPr>
            <w:tcW w:w="2680" w:type="dxa"/>
            <w:vAlign w:val="bottom"/>
            <w:tcBorders>
              <w:left w:val="single" w:sz="8" w:color="00000A"/>
              <w:right w:val="single" w:sz="8" w:color="00000A"/>
            </w:tcBorders>
            <w:gridSpan w:val="3"/>
            <w:vMerge w:val="continue"/>
          </w:tcPr>
          <w:p>
            <w:pPr>
              <w:spacing w:after="0"/>
              <w:rPr>
                <w:sz w:val="13"/>
                <w:szCs w:val="13"/>
                <w:color w:val="auto"/>
              </w:rPr>
            </w:pPr>
          </w:p>
        </w:tc>
        <w:tc>
          <w:tcPr>
            <w:tcW w:w="2020" w:type="dxa"/>
            <w:vAlign w:val="bottom"/>
            <w:tcBorders>
              <w:right w:val="single" w:sz="8" w:color="00000A"/>
            </w:tcBorders>
            <w:gridSpan w:val="3"/>
            <w:vMerge w:val="restart"/>
          </w:tcPr>
          <w:p>
            <w:pPr>
              <w:spacing w:after="0"/>
              <w:rPr>
                <w:sz w:val="20"/>
                <w:szCs w:val="20"/>
                <w:color w:val="auto"/>
              </w:rPr>
            </w:pPr>
            <w:r>
              <w:rPr>
                <w:rFonts w:ascii="Times New Roman" w:cs="Times New Roman" w:eastAsia="Times New Roman" w:hAnsi="Times New Roman"/>
                <w:sz w:val="20"/>
                <w:szCs w:val="20"/>
                <w:color w:val="auto"/>
              </w:rPr>
              <w:t>Investments LLC</w:t>
            </w:r>
          </w:p>
        </w:tc>
        <w:tc>
          <w:tcPr>
            <w:tcW w:w="6560" w:type="dxa"/>
            <w:vAlign w:val="bottom"/>
            <w:tcBorders>
              <w:right w:val="single" w:sz="8" w:color="00000A"/>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80" w:type="dxa"/>
            <w:vAlign w:val="bottom"/>
            <w:tcBorders>
              <w:left w:val="single" w:sz="8" w:color="00000A"/>
            </w:tcBorders>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Borders>
              <w:right w:val="single" w:sz="8" w:color="00000A"/>
            </w:tcBorders>
          </w:tcPr>
          <w:p>
            <w:pPr>
              <w:spacing w:after="0"/>
              <w:rPr>
                <w:sz w:val="9"/>
                <w:szCs w:val="9"/>
                <w:color w:val="auto"/>
              </w:rPr>
            </w:pPr>
          </w:p>
        </w:tc>
        <w:tc>
          <w:tcPr>
            <w:tcW w:w="2020" w:type="dxa"/>
            <w:vAlign w:val="bottom"/>
            <w:tcBorders>
              <w:right w:val="single" w:sz="8" w:color="00000A"/>
            </w:tcBorders>
            <w:gridSpan w:val="3"/>
            <w:vMerge w:val="continue"/>
          </w:tcPr>
          <w:p>
            <w:pPr>
              <w:spacing w:after="0"/>
              <w:rPr>
                <w:sz w:val="9"/>
                <w:szCs w:val="9"/>
                <w:color w:val="auto"/>
              </w:rPr>
            </w:pPr>
          </w:p>
        </w:tc>
        <w:tc>
          <w:tcPr>
            <w:tcW w:w="2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080" w:type="dxa"/>
            <w:vAlign w:val="bottom"/>
            <w:tcBorders>
              <w:left w:val="single" w:sz="8" w:color="00000A"/>
              <w:bottom w:val="single" w:sz="8" w:color="00000A"/>
            </w:tcBorders>
          </w:tcPr>
          <w:p>
            <w:pPr>
              <w:spacing w:after="0"/>
              <w:rPr>
                <w:sz w:val="18"/>
                <w:szCs w:val="18"/>
                <w:color w:val="auto"/>
              </w:rPr>
            </w:pPr>
          </w:p>
        </w:tc>
        <w:tc>
          <w:tcPr>
            <w:tcW w:w="520" w:type="dxa"/>
            <w:vAlign w:val="bottom"/>
            <w:tcBorders>
              <w:bottom w:val="single" w:sz="8" w:color="00000A"/>
            </w:tcBorders>
          </w:tcPr>
          <w:p>
            <w:pPr>
              <w:spacing w:after="0"/>
              <w:rPr>
                <w:sz w:val="18"/>
                <w:szCs w:val="18"/>
                <w:color w:val="auto"/>
              </w:rPr>
            </w:pPr>
          </w:p>
        </w:tc>
        <w:tc>
          <w:tcPr>
            <w:tcW w:w="1080" w:type="dxa"/>
            <w:vAlign w:val="bottom"/>
            <w:tcBorders>
              <w:bottom w:val="single" w:sz="8" w:color="00000A"/>
              <w:right w:val="single" w:sz="8" w:color="00000A"/>
            </w:tcBorders>
          </w:tcPr>
          <w:p>
            <w:pPr>
              <w:spacing w:after="0"/>
              <w:rPr>
                <w:sz w:val="18"/>
                <w:szCs w:val="18"/>
                <w:color w:val="auto"/>
              </w:rPr>
            </w:pPr>
          </w:p>
        </w:tc>
        <w:tc>
          <w:tcPr>
            <w:tcW w:w="700" w:type="dxa"/>
            <w:vAlign w:val="bottom"/>
            <w:tcBorders>
              <w:bottom w:val="single" w:sz="8" w:color="00000A"/>
            </w:tcBorders>
          </w:tcPr>
          <w:p>
            <w:pPr>
              <w:spacing w:after="0"/>
              <w:rPr>
                <w:sz w:val="18"/>
                <w:szCs w:val="18"/>
                <w:color w:val="auto"/>
              </w:rPr>
            </w:pPr>
          </w:p>
        </w:tc>
        <w:tc>
          <w:tcPr>
            <w:tcW w:w="580" w:type="dxa"/>
            <w:vAlign w:val="bottom"/>
            <w:tcBorders>
              <w:bottom w:val="single" w:sz="8" w:color="00000A"/>
            </w:tcBorders>
          </w:tcPr>
          <w:p>
            <w:pPr>
              <w:spacing w:after="0"/>
              <w:rPr>
                <w:sz w:val="18"/>
                <w:szCs w:val="18"/>
                <w:color w:val="auto"/>
              </w:rPr>
            </w:pPr>
          </w:p>
        </w:tc>
        <w:tc>
          <w:tcPr>
            <w:tcW w:w="740" w:type="dxa"/>
            <w:vAlign w:val="bottom"/>
            <w:tcBorders>
              <w:bottom w:val="single" w:sz="8" w:color="00000A"/>
              <w:right w:val="single" w:sz="8" w:color="00000A"/>
            </w:tcBorders>
          </w:tcPr>
          <w:p>
            <w:pPr>
              <w:spacing w:after="0"/>
              <w:rPr>
                <w:sz w:val="18"/>
                <w:szCs w:val="18"/>
                <w:color w:val="auto"/>
              </w:rPr>
            </w:pPr>
          </w:p>
        </w:tc>
        <w:tc>
          <w:tcPr>
            <w:tcW w:w="2440" w:type="dxa"/>
            <w:vAlign w:val="bottom"/>
            <w:tcBorders>
              <w:bottom w:val="single" w:sz="8" w:color="00000A"/>
            </w:tcBorders>
          </w:tcPr>
          <w:p>
            <w:pPr>
              <w:spacing w:after="0"/>
              <w:rPr>
                <w:sz w:val="18"/>
                <w:szCs w:val="18"/>
                <w:color w:val="auto"/>
              </w:rPr>
            </w:pPr>
          </w:p>
        </w:tc>
        <w:tc>
          <w:tcPr>
            <w:tcW w:w="1660" w:type="dxa"/>
            <w:vAlign w:val="bottom"/>
            <w:tcBorders>
              <w:bottom w:val="single" w:sz="8" w:color="00000A"/>
            </w:tcBorders>
          </w:tcPr>
          <w:p>
            <w:pPr>
              <w:spacing w:after="0"/>
              <w:rPr>
                <w:sz w:val="18"/>
                <w:szCs w:val="18"/>
                <w:color w:val="auto"/>
              </w:rPr>
            </w:pPr>
          </w:p>
        </w:tc>
        <w:tc>
          <w:tcPr>
            <w:tcW w:w="24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95" w:name="page296"/>
    <w:bookmarkEnd w:id="295"/>
    <w:p>
      <w:pPr>
        <w:jc w:val="center"/>
        <w:ind w:right="-299"/>
        <w:spacing w:after="0"/>
        <w:rPr>
          <w:sz w:val="20"/>
          <w:szCs w:val="20"/>
          <w:color w:val="auto"/>
        </w:rPr>
      </w:pPr>
      <w:r>
        <w:rPr>
          <w:rFonts w:ascii="Times New Roman" w:cs="Times New Roman" w:eastAsia="Times New Roman" w:hAnsi="Times New Roman"/>
          <w:sz w:val="22"/>
          <w:szCs w:val="22"/>
          <w:b w:val="1"/>
          <w:bCs w:val="1"/>
          <w:u w:val="single" w:color="auto"/>
          <w:color w:val="auto"/>
        </w:rPr>
        <w:t>SCHEDULE 3</w:t>
      </w:r>
    </w:p>
    <w:p>
      <w:pPr>
        <w:spacing w:after="0" w:line="24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b w:val="1"/>
          <w:bCs w:val="1"/>
          <w:color w:val="auto"/>
        </w:rPr>
        <w:t>JURISDICTION OF ORGANIZATION AND IDENTIFICATION NUMBERS</w:t>
      </w: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400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State</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ID Number</w:t>
            </w:r>
          </w:p>
        </w:tc>
      </w:tr>
      <w:tr>
        <w:trPr>
          <w:trHeight w:val="289"/>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Scotts Miracle-Gro Company</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1501530</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Scotts Company LLC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1503259</w:t>
            </w:r>
          </w:p>
        </w:tc>
      </w:tr>
      <w:tr>
        <w:trPr>
          <w:trHeight w:val="29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AeroGrow International, Inc.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Nevada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333333"/>
                <w:w w:val="98"/>
              </w:rPr>
              <w:t>C7324-2002</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GenSource, Inc.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2381889</w:t>
            </w:r>
          </w:p>
        </w:tc>
      </w:tr>
      <w:tr>
        <w:trPr>
          <w:trHeight w:val="29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Hawthorne Hydroponics LLC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5658815</w:t>
            </w:r>
          </w:p>
        </w:tc>
      </w:tr>
      <w:tr>
        <w:trPr>
          <w:trHeight w:val="29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HGCI LLC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Nevada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E49163542025-3</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Hyponex Corporation</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2162423</w:t>
            </w:r>
          </w:p>
        </w:tc>
      </w:tr>
      <w:tr>
        <w:trPr>
          <w:trHeight w:val="29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Miracle-Gro Lawn Products, Inc.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1772705 (tax only)</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OMS Investments, Inc.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2435730</w:t>
            </w:r>
          </w:p>
        </w:tc>
      </w:tr>
      <w:tr>
        <w:trPr>
          <w:trHeight w:val="29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Rod McLellan Company</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California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C0358446</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Sanford Scientific, Inc.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1072783</w:t>
            </w:r>
          </w:p>
        </w:tc>
      </w:tr>
      <w:tr>
        <w:trPr>
          <w:trHeight w:val="29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Scotts Live Goods Holdings, Inc.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4568343</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Scotts Manufacturing Company</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3254934</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Scotts Products Co.</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744802</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Scotts Professional Products Co.</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744807</w:t>
            </w:r>
          </w:p>
        </w:tc>
      </w:tr>
      <w:tr>
        <w:trPr>
          <w:trHeight w:val="291"/>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Scotts Temecula Operations, LLC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3426222</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Scotts-Sierra Investments LLC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2512334</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SMG Growing Media LLC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1567999</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SMGM LLC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Ohio</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1504870</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Swiss Farms Products, Inc.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2948445</w:t>
            </w:r>
          </w:p>
        </w:tc>
      </w:tr>
      <w:tr>
        <w:trPr>
          <w:trHeight w:val="290"/>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Hawthorne Gardening Company LLC</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5534679</w:t>
            </w:r>
          </w:p>
        </w:tc>
      </w:tr>
    </w:tbl>
    <w:p>
      <w:pPr>
        <w:sectPr>
          <w:pgSz w:w="11900" w:h="16838" w:orient="portrait"/>
          <w:cols w:equalWidth="0" w:num="1">
            <w:col w:w="10260"/>
          </w:cols>
          <w:pgMar w:left="660" w:top="1418" w:right="979" w:bottom="1440" w:gutter="0" w:footer="0" w:header="0"/>
        </w:sectPr>
      </w:pPr>
    </w:p>
    <w:bookmarkStart w:id="296" w:name="page297"/>
    <w:bookmarkEnd w:id="296"/>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ACTIONS WITH RESPECT TO PLEDGED STOCK AND OTHER COLLATERAL</w:t>
      </w:r>
    </w:p>
    <w:p>
      <w:pPr>
        <w:spacing w:after="0" w:line="13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Delivery of Pledged Stock to JPMorgan Chase 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indorsed by an effective indorsement or accompanied by undated stock powers with respect thereto, duly indorsed in blank by an effective indorsement. Additionally, the Administrative Agent shall have made the filings described in Schedules 3.19(ii) and 3.19(iii) of the Credit Agreement.</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SCHEDULE 4</w:t>
            </w:r>
          </w:p>
        </w:tc>
        <w:tc>
          <w:tcPr>
            <w:tcW w:w="49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545"/>
        </w:trPr>
        <w:tc>
          <w:tcPr>
            <w:tcW w:w="3820" w:type="dxa"/>
            <w:vAlign w:val="bottom"/>
          </w:tcPr>
          <w:p>
            <w:pPr>
              <w:spacing w:after="0"/>
              <w:rPr>
                <w:sz w:val="24"/>
                <w:szCs w:val="24"/>
                <w:color w:val="auto"/>
              </w:rPr>
            </w:pPr>
          </w:p>
        </w:tc>
        <w:tc>
          <w:tcPr>
            <w:tcW w:w="7420" w:type="dxa"/>
            <w:vAlign w:val="bottom"/>
            <w:gridSpan w:val="5"/>
          </w:tcPr>
          <w:p>
            <w:pPr>
              <w:jc w:val="center"/>
              <w:ind w:right="3725"/>
              <w:spacing w:after="0"/>
              <w:rPr>
                <w:sz w:val="20"/>
                <w:szCs w:val="20"/>
                <w:color w:val="auto"/>
              </w:rPr>
            </w:pPr>
            <w:r>
              <w:rPr>
                <w:rFonts w:ascii="Times New Roman" w:cs="Times New Roman" w:eastAsia="Times New Roman" w:hAnsi="Times New Roman"/>
                <w:sz w:val="22"/>
                <w:szCs w:val="22"/>
                <w:b w:val="1"/>
                <w:bCs w:val="1"/>
                <w:color w:val="auto"/>
                <w:w w:val="98"/>
              </w:rPr>
              <w:t>DOMESTIC SUBSIDIARIES</w:t>
            </w:r>
          </w:p>
        </w:tc>
        <w:tc>
          <w:tcPr>
            <w:tcW w:w="0" w:type="dxa"/>
            <w:vAlign w:val="bottom"/>
          </w:tcPr>
          <w:p>
            <w:pPr>
              <w:spacing w:after="0"/>
              <w:rPr>
                <w:sz w:val="1"/>
                <w:szCs w:val="1"/>
                <w:color w:val="auto"/>
              </w:rPr>
            </w:pPr>
          </w:p>
        </w:tc>
      </w:tr>
      <w:tr>
        <w:trPr>
          <w:trHeight w:val="434"/>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JURISDICTION OF</w:t>
            </w:r>
          </w:p>
        </w:tc>
        <w:tc>
          <w:tcPr>
            <w:tcW w:w="0" w:type="dxa"/>
            <w:vAlign w:val="bottom"/>
          </w:tcPr>
          <w:p>
            <w:pPr>
              <w:spacing w:after="0"/>
              <w:rPr>
                <w:sz w:val="1"/>
                <w:szCs w:val="1"/>
                <w:color w:val="auto"/>
              </w:rPr>
            </w:pPr>
          </w:p>
        </w:tc>
      </w:tr>
      <w:tr>
        <w:trPr>
          <w:trHeight w:val="256"/>
        </w:trPr>
        <w:tc>
          <w:tcPr>
            <w:tcW w:w="382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b w:val="1"/>
                <w:bCs w:val="1"/>
                <w:color w:val="auto"/>
              </w:rPr>
              <w:t>FORMATION</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Scotts Company LLC</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HGCI LLC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Hyponex Corporation</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 McLellan Company</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57"/>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Manufacturing Company</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257"/>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Oregon Research Station LLC</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Products Co.</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Professional Products Co.</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7"/>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 Temecula Operations, LLC</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Scotts-Sierra Investments LLC</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257"/>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SMG Growing Media LLC</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7"/>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SMGM LLC</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Swiss Farms Products, Inc.</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258"/>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Hawthorne Gardening Company LLC</w:t>
            </w: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379"/>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Scotts Miracle-Gro Foundation</w:t>
            </w:r>
            <w:r>
              <w:rPr>
                <w:rFonts w:ascii="Times New Roman" w:cs="Times New Roman" w:eastAsia="Times New Roman" w:hAnsi="Times New Roman"/>
                <w:sz w:val="25"/>
                <w:szCs w:val="25"/>
                <w:color w:val="auto"/>
                <w:vertAlign w:val="superscript"/>
              </w:rPr>
              <w:t>3</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Ohio</w:t>
            </w:r>
          </w:p>
        </w:tc>
        <w:tc>
          <w:tcPr>
            <w:tcW w:w="0" w:type="dxa"/>
            <w:vAlign w:val="bottom"/>
          </w:tcPr>
          <w:p>
            <w:pPr>
              <w:spacing w:after="0"/>
              <w:rPr>
                <w:sz w:val="1"/>
                <w:szCs w:val="1"/>
                <w:color w:val="auto"/>
              </w:rPr>
            </w:pPr>
          </w:p>
        </w:tc>
      </w:tr>
      <w:tr>
        <w:trPr>
          <w:trHeight w:val="525"/>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________________________</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00" w:hanging="92"/>
        <w:spacing w:after="0" w:line="195" w:lineRule="auto"/>
        <w:tabs>
          <w:tab w:leader="none" w:pos="100" w:val="left"/>
        </w:tabs>
        <w:numPr>
          <w:ilvl w:val="0"/>
          <w:numId w:val="29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Scotts Miracle-Gro Foundation is a 501(c)(3) corporation.</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00" w:lineRule="exact"/>
        <w:rPr>
          <w:sz w:val="20"/>
          <w:szCs w:val="20"/>
          <w:color w:val="auto"/>
        </w:rPr>
      </w:pPr>
    </w:p>
    <w:p>
      <w:pPr>
        <w:jc w:val="center"/>
        <w:ind w:right="-768"/>
        <w:spacing w:after="0"/>
        <w:rPr>
          <w:sz w:val="20"/>
          <w:szCs w:val="20"/>
          <w:color w:val="auto"/>
        </w:rPr>
      </w:pPr>
      <w:r>
        <w:rPr>
          <w:rFonts w:ascii="Times New Roman" w:cs="Times New Roman" w:eastAsia="Times New Roman" w:hAnsi="Times New Roman"/>
          <w:sz w:val="22"/>
          <w:szCs w:val="22"/>
          <w:b w:val="1"/>
          <w:bCs w:val="1"/>
          <w:u w:val="single" w:color="auto"/>
          <w:color w:val="auto"/>
        </w:rPr>
        <w:t>Schedule 5</w:t>
      </w:r>
    </w:p>
    <w:p>
      <w:pPr>
        <w:spacing w:after="0" w:line="260"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22"/>
          <w:szCs w:val="22"/>
          <w:b w:val="1"/>
          <w:bCs w:val="1"/>
          <w:color w:val="auto"/>
        </w:rPr>
        <w:t>SUBSIDIARIES WHOSE CAPITAL STOCK IS NOT PLEDGED</w:t>
      </w:r>
    </w:p>
    <w:p>
      <w:pPr>
        <w:spacing w:after="0" w:line="278" w:lineRule="exact"/>
        <w:rPr>
          <w:sz w:val="20"/>
          <w:szCs w:val="20"/>
          <w:color w:val="auto"/>
        </w:rPr>
      </w:pPr>
    </w:p>
    <w:p>
      <w:pPr>
        <w:ind w:left="328" w:hanging="328"/>
        <w:spacing w:after="0"/>
        <w:tabs>
          <w:tab w:leader="none" w:pos="328" w:val="left"/>
        </w:tabs>
        <w:numPr>
          <w:ilvl w:val="0"/>
          <w:numId w:val="299"/>
        </w:numPr>
        <w:rPr>
          <w:rFonts w:ascii="Arial" w:cs="Arial" w:eastAsia="Arial" w:hAnsi="Arial"/>
          <w:sz w:val="22"/>
          <w:szCs w:val="22"/>
          <w:color w:val="auto"/>
        </w:rPr>
      </w:pPr>
      <w:r>
        <w:rPr>
          <w:rFonts w:ascii="Times New Roman" w:cs="Times New Roman" w:eastAsia="Times New Roman" w:hAnsi="Times New Roman"/>
          <w:sz w:val="22"/>
          <w:szCs w:val="22"/>
          <w:color w:val="auto"/>
        </w:rPr>
        <w:t>Scotts Global Services, Inc., an Ohio corporation</w:t>
      </w:r>
    </w:p>
    <w:p>
      <w:pPr>
        <w:spacing w:after="0" w:line="245" w:lineRule="exact"/>
        <w:rPr>
          <w:rFonts w:ascii="Arial" w:cs="Arial" w:eastAsia="Arial" w:hAnsi="Arial"/>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Oregon Research Station LLC, an Ohio limited liability company</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Scotts-Miracle Gro Foundation, an Ohio 501(c)(3) corporation</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Agrolux Canada Limited (Canada)</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Hawthorne Canada Limited (Canada)</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Hawthorne Gardening II B.V. (Netherlands)</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Miracle-Gro Tecnologia &amp; Servicios, S. de R.L. de C.V. (Mexico)</w:t>
      </w:r>
    </w:p>
    <w:p>
      <w:pPr>
        <w:spacing w:after="0" w:line="26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de Mexico S.A. de C.V. (Mexico)</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Servicios, S.A. de C.V. (Mexico)</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Scotts Sierra (China) Co. Ltd. (China)</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SMG Gardening (UK) Limited (United Kingdom)</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SMG Germany GmbH (Germany)</w:t>
      </w:r>
    </w:p>
    <w:p>
      <w:pPr>
        <w:sectPr>
          <w:pgSz w:w="11900" w:h="16838" w:orient="portrait"/>
          <w:cols w:equalWidth="0" w:num="1">
            <w:col w:w="9807"/>
          </w:cols>
          <w:pgMar w:left="652" w:top="1440" w:right="1440" w:bottom="1440" w:gutter="0" w:footer="0" w:header="0"/>
        </w:sectPr>
      </w:pPr>
    </w:p>
    <w:bookmarkStart w:id="299" w:name="page300"/>
    <w:bookmarkEnd w:id="299"/>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6</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Intellectual Property</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COPYRIGHT REGISTRATIONS</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560" w:type="dxa"/>
            <w:vAlign w:val="bottom"/>
            <w:tcBorders>
              <w:top w:val="single" w:sz="8" w:color="auto"/>
              <w:left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2"/>
                <w:szCs w:val="22"/>
                <w:color w:val="auto"/>
              </w:rPr>
              <w:t>Owner</w:t>
            </w:r>
          </w:p>
        </w:tc>
        <w:tc>
          <w:tcPr>
            <w:tcW w:w="3840" w:type="dxa"/>
            <w:vAlign w:val="bottom"/>
            <w:tcBorders>
              <w:top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2340" w:type="dxa"/>
            <w:vAlign w:val="bottom"/>
            <w:tcBorders>
              <w:top w:val="single" w:sz="8" w:color="auto"/>
              <w:bottom w:val="single" w:sz="8" w:color="auto"/>
              <w:right w:val="single" w:sz="8" w:color="auto"/>
            </w:tcBorders>
            <w:shd w:val="clear" w:color="auto" w:fill="E7E6E6"/>
          </w:tcPr>
          <w:p>
            <w:pPr>
              <w:ind w:left="760"/>
              <w:spacing w:after="0"/>
              <w:rPr>
                <w:sz w:val="20"/>
                <w:szCs w:val="20"/>
                <w:color w:val="auto"/>
              </w:rPr>
            </w:pPr>
            <w:r>
              <w:rPr>
                <w:rFonts w:ascii="Times New Roman" w:cs="Times New Roman" w:eastAsia="Times New Roman" w:hAnsi="Times New Roman"/>
                <w:sz w:val="22"/>
                <w:szCs w:val="22"/>
                <w:color w:val="auto"/>
              </w:rPr>
              <w:t>Reg. No.</w:t>
            </w:r>
          </w:p>
        </w:tc>
        <w:tc>
          <w:tcPr>
            <w:tcW w:w="1520" w:type="dxa"/>
            <w:vAlign w:val="bottom"/>
            <w:tcBorders>
              <w:top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2"/>
                <w:szCs w:val="22"/>
                <w:color w:val="auto"/>
                <w:w w:val="97"/>
              </w:rPr>
              <w:t>Reg. Date</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Cascading Petunias Seed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VA0001674819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Cascading Petunias Tending &amp; Harvesting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TX0006833384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Guide.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Cherry Tomato Seed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VA0001674791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Cherry Tomato Tending &amp; Harvesting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TX0006833400</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Guide.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Chili Pepper Seed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VA0001676754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Chili Pepper Tending &amp; Harvesting Guide.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TX0006833387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French Herb Seed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VA0001674792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French Herb Tending &amp; Harvesting Guide.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TX0006833392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Gourmet Herb Seed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VA0001676784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Gourmet Herb Tending &amp; Harvesting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TX0006833397</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Guide.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Grow Bulb (1)</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VA0001674808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Grow Bulb (2)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VA0001674803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Herb Appeal</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PA0001602428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Herb Appeal.</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TX0006833380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International Basil Seed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VA0001674793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International Basil Tending &amp; Harvesting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TX0006833407</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Guide.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Italian Herb Seed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VA0001674799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Italian Herb Tending &amp; Harvesting Guide.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TX0006833410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Japanese Herb Seed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VA0001674800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Japanese Herb Tending &amp; Harvesting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TX0006833412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Guide.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Master Gardener Deluxe Guide.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TX0006833139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Master Gardener Deluxe.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VA0001676787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Quick Start Guide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TX0006833376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09/28/2007</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AeroGrow International,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Salad Bar Series Tending &amp; Harvesting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TX0006833137</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09/28/2007</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Guide.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Garden Supply Logo]</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VA0002081218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03/31/2017</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[Sunlight Supply Logo]</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VA0002081187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03/31/2017</w:t>
            </w:r>
          </w:p>
        </w:tc>
      </w:tr>
    </w:tbl>
    <w:p>
      <w:pPr>
        <w:sectPr>
          <w:pgSz w:w="11900" w:h="16838" w:orient="portrait"/>
          <w:cols w:equalWidth="0" w:num="1">
            <w:col w:w="11260"/>
          </w:cols>
          <w:pgMar w:left="320" w:top="1404" w:right="319" w:bottom="1440" w:gutter="0" w:footer="0" w:header="0"/>
        </w:sectPr>
      </w:pPr>
    </w:p>
    <w:bookmarkStart w:id="300" w:name="page301"/>
    <w:bookmarkEnd w:id="30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540" w:type="dxa"/>
            <w:vAlign w:val="bottom"/>
            <w:tcBorders>
              <w:top w:val="single" w:sz="8" w:color="auto"/>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2013 Dealer Catalog.</w:t>
            </w:r>
          </w:p>
        </w:tc>
        <w:tc>
          <w:tcPr>
            <w:tcW w:w="234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TX0007945055</w:t>
            </w:r>
          </w:p>
        </w:tc>
        <w:tc>
          <w:tcPr>
            <w:tcW w:w="1520" w:type="dxa"/>
            <w:vAlign w:val="bottom"/>
            <w:tcBorders>
              <w:top w:val="single" w:sz="8" w:color="auto"/>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06/17/2013</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Blockbuster 6 - Photo 01.</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VA0001896313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03/17/2004</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Blockbuster 6 - Photos 02-11.</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VAu001159533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Dealer Catalog 2010-2011.</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TX0007357249</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10/21/2010</w:t>
            </w:r>
          </w:p>
        </w:tc>
      </w:tr>
      <w:tr>
        <w:trPr>
          <w:trHeight w:val="243"/>
        </w:trPr>
        <w:tc>
          <w:tcPr>
            <w:tcW w:w="3540" w:type="dxa"/>
            <w:vAlign w:val="bottom"/>
            <w:tcBorders>
              <w:left w:val="single" w:sz="8" w:color="auto"/>
              <w:right w:val="single" w:sz="8" w:color="auto"/>
            </w:tcBorders>
          </w:tcPr>
          <w:p>
            <w:pPr>
              <w:ind w:left="1280"/>
              <w:spacing w:after="0" w:line="243" w:lineRule="exact"/>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Dominator 6 - Photo 01, Dominator 8 -</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VA0001896332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03/17/2014</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Photo 01.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Dominator 6 - Photo 02.</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VA0001896335</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Dominator 6 - Photos 03-04.</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VAu001159534</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Dominator 8 - Photo 02.</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VA0001896341</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Dominator 8 - Photo 03.</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VA0001896336</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Dominator 8 - Photos 04-05.</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VAu001159531</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Econo Wing - Photos 01-04.</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VAu001159532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Econo Wing - Photos 05-07.</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VA0001896333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Econo Wing XL - Photo 03.</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VA0001896346</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Econo Wing XL - Photos 01-02.</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VA0001896334</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Econo Wing XL - Photos 04-06.</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VAu001159536</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03/17/2014</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Flame Defender.</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TX0007305645</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08/12/2010</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FLO-N-GRO Instruction Manual.</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TX0007396572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07/12/2011</w:t>
            </w:r>
          </w:p>
        </w:tc>
      </w:tr>
      <w:tr>
        <w:trPr>
          <w:trHeight w:val="243"/>
        </w:trPr>
        <w:tc>
          <w:tcPr>
            <w:tcW w:w="3540" w:type="dxa"/>
            <w:vAlign w:val="bottom"/>
            <w:tcBorders>
              <w:left w:val="single" w:sz="8" w:color="auto"/>
              <w:right w:val="single" w:sz="8" w:color="auto"/>
            </w:tcBorders>
          </w:tcPr>
          <w:p>
            <w:pPr>
              <w:ind w:left="1280"/>
              <w:spacing w:after="0" w:line="243" w:lineRule="exact"/>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 GROW Ad Campaign - AA Feb '16 Issue</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TX0008310085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08/22/2016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(Doak)</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1280"/>
              <w:spacing w:after="0" w:line="243" w:lineRule="exact"/>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I GROW Ad Campaign - AA Jan '16</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TX0008309665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08/19/2016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(Vanboeckel)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Magnificent Seven.</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TX0007300296</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08/11/2010</w:t>
            </w:r>
          </w:p>
        </w:tc>
      </w:tr>
      <w:tr>
        <w:trPr>
          <w:trHeight w:val="243"/>
        </w:trPr>
        <w:tc>
          <w:tcPr>
            <w:tcW w:w="3540" w:type="dxa"/>
            <w:vAlign w:val="bottom"/>
            <w:tcBorders>
              <w:left w:val="single" w:sz="8" w:color="auto"/>
              <w:right w:val="single" w:sz="8" w:color="auto"/>
            </w:tcBorders>
          </w:tcPr>
          <w:p>
            <w:pPr>
              <w:ind w:left="1280"/>
              <w:spacing w:after="0" w:line="243" w:lineRule="exact"/>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OCEANUS 1 Controller Instruction</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TX0007335959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03/01/2011</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Manual.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Product Brochure Titan Controls.</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TX0008280138</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05/20/2016</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Supply 09 Dealer Catalog .</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TX0007173714</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04/27/2010</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Supply 2009 Catalog.</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TX0007291855</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04/16/2009</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Supply 2010 Dealer Catalog.</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TX0007301510</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04/29/2010</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Supply 2012 Dealer Catalog.</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TX0007521536</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04/11/2012</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Supply 2014-2015 Dealer Catalog.</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TX0007856483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07/01/2014</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Supply 2015-2016 Dealer Catalog.</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TX0008255203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04/06/2016</w:t>
            </w:r>
          </w:p>
        </w:tc>
      </w:tr>
      <w:tr>
        <w:trPr>
          <w:trHeight w:val="290"/>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Supply 2017 Dealer Catalog.</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TX0008383547</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03/27/2017</w:t>
            </w:r>
          </w:p>
        </w:tc>
      </w:tr>
      <w:tr>
        <w:trPr>
          <w:trHeight w:val="291"/>
        </w:trPr>
        <w:tc>
          <w:tcPr>
            <w:tcW w:w="35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 Supply 2017 Product Catalog.</w:t>
            </w:r>
          </w:p>
        </w:tc>
        <w:tc>
          <w:tcPr>
            <w:tcW w:w="23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TX0008378253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03/08/2017</w:t>
            </w:r>
          </w:p>
        </w:tc>
      </w:tr>
    </w:tbl>
    <w:p>
      <w:pPr>
        <w:sectPr>
          <w:pgSz w:w="11900" w:h="16838" w:orient="portrait"/>
          <w:cols w:equalWidth="0" w:num="1">
            <w:col w:w="11260"/>
          </w:cols>
          <w:pgMar w:left="320" w:top="1440" w:right="319" w:bottom="1440" w:gutter="0" w:footer="0" w:header="0"/>
        </w:sectPr>
      </w:pPr>
    </w:p>
    <w:bookmarkStart w:id="301" w:name="page302"/>
    <w:bookmarkEnd w:id="30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Titan Controls Product Brochure 02292012.</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TX0008280136</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05/18/2016</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Titan Controls Product Brochure 11272013.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TX0008280134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05/18/2016</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TITAN CONTROLS Product Brochure.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TX0007324827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01/10/2011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Www.blackopsfilters.com.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TX0008304236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05/26/2016</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Www.buriedtreasureguano.com.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TX0008281926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05/26/2016</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Www.duralastics.com.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TX0008290748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01/18/2017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Www.ecoplususa.com.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TX0008285581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01/13/2017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Www.fastfitstands.com.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TX0008289569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01/19/2017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Www.felizworld.com.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TX0008304234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05/26/2016</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Www.flo-n-gro.net.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TX0008289297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01/18/2017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Www.galaxyballasts.com.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TX0008297106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05/19/2016</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Www.gro-pro.net.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TX0008285638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01/12/2017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Www.gro-vision.com.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TX0008296775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02/15/2017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Www.growers-edge.net.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TX0008281924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05/26/2016</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Www.harvest-keeper.com.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TX0008293782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02/02/2017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Www.hurricane-fans.com.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TX0008285345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01/12/2017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Www.hydro-flowproducts.com.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TX0008289558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01/18/2017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Www.hyper-fans.com.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TX0008286695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01/16/2017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Www.ideal-air.com.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TX0008297108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01/12/2017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Www.ideal-air.com.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TX0008390474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04/13/2017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Www.idealh2o.net.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TX0008290745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01/18/2017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Www.measuremaster.net.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TX0008281145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05/24/2016</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Www.mother-earthproducts.com.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TX0008296778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02/15/2017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Www.phreshfilter.com.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TX0008280883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05/20/2016</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Www.powerallproducts.com.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TX0008295035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02/09/2017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Www.rainmakersprayers.com.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TX0008290740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01/18/2017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Www.shear-perfection.net.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TX0008295028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02/09/2017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Www.sunfilmproducts.com.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TX0008296767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02/15/2017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Www.sun-huts.com.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TX0008281149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05/24/2016</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Www.sunsystemlights.com.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TX0008317459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03/27/2017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Www.supersprouter.com.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TX0008289562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01/16/2017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Www.titancontrols.net.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TX0008304230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05/19/2016</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Www.titancontrols.net.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TX0008390076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04/13/2017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HGCI,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Www.ultrasunlamps.com.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TX0008296756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02/13/2017</w:t>
            </w:r>
          </w:p>
        </w:tc>
      </w:tr>
      <w:tr>
        <w:trPr>
          <w:trHeight w:val="29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OMS Investment,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rose food : net weight 2 lb (907 g)</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VA0001225397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04/02/2004</w:t>
            </w: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12 months harvest / National. A723698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A723698 (1976)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right"/>
              <w:ind w:right="1552"/>
              <w:spacing w:after="0"/>
              <w:rPr>
                <w:sz w:val="20"/>
                <w:szCs w:val="20"/>
                <w:color w:val="auto"/>
              </w:rPr>
            </w:pPr>
            <w:r>
              <w:rPr>
                <w:rFonts w:ascii="Times New Roman" w:cs="Times New Roman" w:eastAsia="Times New Roman" w:hAnsi="Times New Roman"/>
                <w:sz w:val="22"/>
                <w:szCs w:val="22"/>
                <w:color w:val="auto"/>
              </w:rPr>
              <w:t>(1976)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02" w:name="page303"/>
    <w:bookmarkEnd w:id="30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40" w:type="dxa"/>
            <w:vAlign w:val="bottom"/>
            <w:tcBorders>
              <w:top w:val="single" w:sz="8" w:color="auto"/>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1996 Ortho’s garden planner / MW/NE ed.</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4-141-306 (1995)</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4-141-306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1996 Ortho’s garden planner / S ed. TX 4-</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4-141-305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141-305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1996 Ortho’s garden planner / W ed. TX 4-</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4-141-304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141-304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1997 Ortho’s garden planner / Mid-Atlantic</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4-403-997 (1996)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ed. TX 4-403-997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1997 Ortho’s garden planner / Midwest ed.</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4-403-994 (1996)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4-403-994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1997 Ortho’s garden planner / NE ed.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4-403-996 (1996)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4-403-996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1997 Ortho’s garden planner / NW ed.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4-403-995 (1996)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4-403-995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1997 Ortho’s garden planner / S ed. TX 4-</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4-403-998 (1996)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403-998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1997 Ortho’s garden planner / SW ed.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4-403-993 (1996)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4-403-993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3-Seasons lawn fertilizer kit.</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VA0001268314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05/20/2004</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 child’s garden / A400086 (1973)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A400086 (1973)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About tomatoes / S ed. A835341 (1977)</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A835341 (1977)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Affordable landscaping / TX 4-060-448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4-060-448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African violets &amp; flowering houseplants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1-864-895 (1986)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1-864-895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annuals / TX 784-974 (1981)</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784-974 (1981)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azaleas, camellias &amp;</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3-375-922 (1992)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rhododendrons / TX 3-375-922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azaleas, camellias &amp;</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4-143-628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rhododendrons / TX 4-143-628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basic home repairs / TX 429-522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429-522 (1979)</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(1979)</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bulbs / TX 2-120-155 (1987)</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2-120-155 (1987)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bulbs / TX 3-375-921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3-375-921 (1992)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bl>
    <w:p>
      <w:pPr>
        <w:sectPr>
          <w:pgSz w:w="11900" w:h="16838" w:orient="portrait"/>
          <w:cols w:equalWidth="0" w:num="1">
            <w:col w:w="11260"/>
          </w:cols>
          <w:pgMar w:left="320" w:top="1440" w:right="319" w:bottom="1440" w:gutter="0" w:footer="0" w:header="0"/>
        </w:sectPr>
      </w:pPr>
    </w:p>
    <w:bookmarkStart w:id="303" w:name="page304"/>
    <w:bookmarkEnd w:id="30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56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bulbs / TX 784-973 (1981)</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784-973 (1981)</w:t>
            </w:r>
          </w:p>
        </w:tc>
        <w:tc>
          <w:tcPr>
            <w:tcW w:w="1520" w:type="dxa"/>
            <w:vAlign w:val="bottom"/>
            <w:tcBorders>
              <w:top w:val="single" w:sz="8" w:color="auto"/>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citrus &amp; subtropical fruits / TX 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3-375-920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375-920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All about evergreens / TX 2-480-774</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2-480-774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fertilizers, soils and waters /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429-525 (1979)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429-525 (1979)</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furniture repair &amp; refinishing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2-252-001 (1988)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2-252-001 (1988)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ground covers / MW/NE ed.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58-231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058-231 (1978)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ground covers / S ed. TX 058-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058-229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229 (1978)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ground covers / TX 1-189-626</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1-189-626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ground covers / TX 3-701-206</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3-701-206 (1993)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All about ground covers / W ed. TX 058-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58-230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230 (1978)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growing fruit &amp; berries / MW/NE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A835340 (1977)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ed. A835340 (1977)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growing fruit &amp; berries / S ed.</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A835346 (1977)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A835346 (1977)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growing fruit &amp; berries / TX 1-</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1-253-685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253-685 (1983)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growing fruit &amp; berries / W ed.</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A835345 (1977)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A835345 (1977)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growing fruits, berries &amp; nuts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2-331-415 (1988)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2-331-415 (1988)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growing fruits, berries &amp; nuts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3-363-121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3-363-121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growing orchids / TX 3-375-923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3-375-923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All about herbs / TX 3-243-375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3-243-375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All about houseplants / TX 1-189-627</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1-189-627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All about houseplants / TX 3-879-477</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3-879-477 (1994)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landscaping / TX 3-348-620</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3-348-620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04" w:name="page305"/>
    <w:bookmarkEnd w:id="30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56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landscaping / TX 652-373 (1980)</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652-373 (1980)</w:t>
            </w:r>
          </w:p>
        </w:tc>
        <w:tc>
          <w:tcPr>
            <w:tcW w:w="1520" w:type="dxa"/>
            <w:vAlign w:val="bottom"/>
            <w:tcBorders>
              <w:top w:val="single" w:sz="8" w:color="auto"/>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lawns / MW/NE ed. TX 429-520</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429-520 (1979)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(1979)</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All about lawns / Rev. ed. TX 1-864-897</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1-864-897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All about lawns / Rev. ed. TX 3-879-768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3-879-768 (1994)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lawns / S ed. TX 429-519 (1979)</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429-519 (1979)</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All about lawns / TX 3-879-768 (1994)</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3-879-768 (1994)</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lawns / W ed. TX 429-521 (1979)</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429-521 (1979)</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perennials / TX 3-427-157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3-427-157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All about perennials / TX 784-971 (1981)</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784-971 (1981)</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pickling / National. A723699</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A723699 (1976)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pruning / TX 147-314 (1978)</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147-314 (1978)</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pruning / TX 3-481-217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3-481-217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roses / A835344 (1977)</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A835344 (1977)</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roses / TX 1-299-793 (1984)</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1-299-793 (1984)</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roses / TX 3-353-917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3-353-917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roses / TX 4-122-623 (1995)</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4-122-623 (1995)</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tomatoes / MW/NE ed. A835342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A835342 (1977)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tomatoes / TX 788-718 (1981)</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788-718 (1981)</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tomatoes / W ed. A835348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A835348 (1977)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trees / TX 1-189-628 (1983)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1-189-628 (1983)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vegetables / A409325 (1973)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A409325 (1973)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vegetables / MW/NE ed.</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A723696 (1976)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A723696 (1976)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05" w:name="page306"/>
    <w:bookmarkEnd w:id="30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vegetables / S ed. A723697</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A723697 (1976)</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vegetables / TX 3-243-374</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3-243-374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All about vegetables / TX 4-322-399</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4-322-399 (1996)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All about vegetables / TX 652-371 (1980)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652-371 (1980)</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Amphibians / (Western environmental</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A631424 (1971)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science series) A631424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Arranging cut flowers / TX 2-480-773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2-480-773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Arranging cut flowers / TX 3-363-125</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3-363-125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Award-winning small-space gardens /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429-526 (1979)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429-526 (1979)</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Basic carpentry techniques / TX 784-972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784-972 (1981)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Basic masonry techniques / TX 1-842-890</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1-842-890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Basic plumbing techniques / TX 3-538-670</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3-538-670 (1993)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Basic remodeling techniques / TX 1-253-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1-253-682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682 (1983)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Basic wiring techniques / TX 3-538-671</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3-538-671 (1993)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Basic wiring techniques / TX 952-476</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952-476 (1982)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Basis plumbing techniques / TX 952-477</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952-477 (1982)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Beach birds / (Western environmental</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A619686 (1971)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science series) A619686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Building birdhouses &amp; feeders / TX 3-249-</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3-249-597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597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Building children’s wooden toys / TX 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3-363-112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363-112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Color with annuals / TX 2-258-388 (1988)</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2-258-388 (1988)</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Color with annuals / TX 3-249-595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3-249-595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bl>
    <w:p>
      <w:pPr>
        <w:sectPr>
          <w:pgSz w:w="11900" w:h="16838" w:orient="portrait"/>
          <w:cols w:equalWidth="0" w:num="1">
            <w:col w:w="11260"/>
          </w:cols>
          <w:pgMar w:left="320" w:top="1440" w:right="319" w:bottom="1440" w:gutter="0" w:footer="0" w:header="0"/>
        </w:sectPr>
      </w:pPr>
    </w:p>
    <w:bookmarkStart w:id="306" w:name="page307"/>
    <w:bookmarkEnd w:id="30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Coniferous trees / (Western environmental</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A619683 (1971)</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science series) A619683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Container and hanging gardens / MW/NE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A723701 (1976)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ed. A723701 (1976)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Container and hanging gardens / S ed.</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A723703 (1976)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A723703 (1976)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Container and hanging gardens / W ed.</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A723702 (1976)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A723702 (1976)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Controlling household pests / TX 3-363-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3-363-127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127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Controlling lawn &amp; garden insects / TX 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2-260-524 (1988)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260-524 (1988)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Controlling lawn &amp; garden insects / TX 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3-349-594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349-594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Controlling weeds / TX 3-243-370 (1991)</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3-243-370 (1991)</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Cost-effective home upgrades / TX 3-513-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3-513-488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488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Creative home landscaping / TX 2-286-667</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2-286-667 (1988)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Creative home landscaping / TX 3-401-348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3-401-348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Creative Japanese gardens / TX 3-249-596</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3-249-596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Deck &amp; patio upgrades / TX 3-363-119</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3-363-119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Deck plans / TX 2-480-775 (1986)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2-480-775 (1986)</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Decorating with houseplants / TX 3-541-</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3-541-102 (1993)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102 (1993)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Designing &amp; remodeling bathrooms /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3-363-128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3-363-128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Designing &amp; remodeling kitchens / TX 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3-363-110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363-110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Do-it-yourself garden construction know-</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A723704 (1976)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how. MW/NE ed. / A723704 (1976)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Do-it-yourself garden construction know-</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A723705 (1976)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how. S ed. / A723705 (1976)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Do-it-yourself garden construction know-</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A723706 (1976)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how. W ed. / A723706 (1976)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07" w:name="page308"/>
    <w:bookmarkEnd w:id="30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40" w:type="dxa"/>
            <w:vAlign w:val="bottom"/>
            <w:tcBorders>
              <w:top w:val="single" w:sz="8" w:color="auto"/>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Doors, windows &amp; skylights / TX 3-363-</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3-363-111 (1992)</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111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Easy gardening, tips from gardening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4-052-479 (1995)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professionals / TX 4-052-479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Easy maintenance gardening / TX 1-253-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1-253-687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687 (1983)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Easy vegetable garden plans / TX 4-470-</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4-470-343 (1997)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343 (1997)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Energy-saving projects for the home /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652-376 (1980)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652-376 (1980)</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Enjoying roses / TX 3-416-349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3-416-349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Environmentally friendly gardening,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3-243-373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40" w:type="dxa"/>
            <w:vAlign w:val="bottom"/>
            <w:tcBorders>
              <w:left w:val="single" w:sz="8" w:color="auto"/>
              <w:right w:val="single" w:sz="8" w:color="auto"/>
            </w:tcBorders>
          </w:tcPr>
          <w:p>
            <w:pPr>
              <w:spacing w:after="0"/>
              <w:rPr>
                <w:sz w:val="21"/>
                <w:szCs w:val="21"/>
                <w:color w:val="auto"/>
              </w:rPr>
            </w:pP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controlling vegetable pests / TX 3-243-373</w:t>
            </w:r>
          </w:p>
        </w:tc>
        <w:tc>
          <w:tcPr>
            <w:tcW w:w="23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Environmentally friendly gardening, easy</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3-405-014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composting / TX 3-405-014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Finish carpentry basic / TX 3-363-117</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3-363-117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Finish carpentry techniques / TX 1-253-692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1-253-692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First thirty years, the Chevron Chemical</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24-076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Company / TX 24-076 (1978)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Floor and floor coverings, how to replace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1-838-308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and install / TX 1-838-308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Floors &amp; floor coverings / TX 3-363-118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3-363-118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Flower garden plans / TX 3-243-335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3-243-335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Freezing &amp; drying / TX 1-838-309 (1986)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1-838-309 (1986)</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Garden pools &amp; fountains / TX 3-353-923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3-353-923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Gardening in containers / TX 1-299-795</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1-299-795 (1984)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Gardening in dry climates / TX 3-363-123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3-363-123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Gardening shortcuts / MW/NE eds.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A590196 (1974)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A590196 (1974)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08" w:name="page309"/>
    <w:bookmarkEnd w:id="30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40" w:type="dxa"/>
            <w:vAlign w:val="bottom"/>
            <w:tcBorders>
              <w:top w:val="single" w:sz="8" w:color="auto"/>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Gardening shortcuts / S ed. A590198</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A590198 (1974)</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Gardening shortcuts / W ed. A590203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A590203 (1974)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Gardening techniques / TX 2-480-771</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2-480-771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Gardening with color / National. TX 058-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58-233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233 (1978)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Greenhouse plants / TX 3-347-876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3-347-876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Greenhouses, planning, installing &amp; using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3-363-114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greenhouses / TX 3-363-114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Home care and upkeep / TX 1-253-683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1-253-683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Home workshops / TX 3-363-124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3-363-124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House painting / TX 3-401-347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3-401-347 (1992)</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House plants indoors/outdoors / National</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A590200 (1974)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ed. A590200 (1974)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How to attract birds / TX 1-253-680 (1983)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1-253-680 (1983)</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How to attract birds / TX 4-001-075 (1995)</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4-001-075 (1995)</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attract hummingbirds &amp; butterflies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3-243-372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 TX 3-243-372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build &amp; use greenhouses / TX 147-</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147-313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313 (1978)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build additions / TX 3-481-218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3-481-218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build children’s play</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2-120-156 (1987)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equipment / TX 2-120-156 (1987)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build children’s play</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3-405-216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equipment / TX 3-405-216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build decks / TX 4-122-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4-122-621 (1995)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621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build decks and patios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429-524 (1979)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429-524 (1979)</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build fences and gates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1-842-889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1-842-889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09" w:name="page310"/>
    <w:bookmarkEnd w:id="30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How to design &amp; build patios / TX 4-292-</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4-292-569 (1996)</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569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build sheds / TX 4-292-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4-292-570 (1996)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570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build storage projects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1-253-681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1-253-681 (1983)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install outdoor lighting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1-842-866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1-842-866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remodel bathrooms /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1-253-689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1-253-689 (1983)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&amp; remodel kitchens / TX 1-</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1-253-688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253-688 (1983)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design additions / TX 3-405-017</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3-405-017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How to design and remodel children’s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3-363-115 (1988)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rooms / TX 3-363-115 (1988)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How to install ceramic tile / TX 3-363-113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3-363-113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plan &amp; build bookcases, cabinets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2-252-000 (1988)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and shelves / TX 2-252-000 (1988)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plan &amp; build bookcases, cabinets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3-405-016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and shelves / TX 3-405-016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plan &amp; remodel attics &amp; basements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2-118-583 (1987)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 TX 2-118-583 (1987)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plan &amp; remodel attics &amp; basements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3-405-215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TX 3-405-215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plan perfect kitchens / TX 3-879-</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3-879-769 (1994)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769 (1994)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replace &amp; install doors &amp; windows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1-842-867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TX 1-842-867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replace &amp; install roofs &amp; sidings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1-838-307 (1986)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1-838-307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select &amp; care for shrubs &amp; hedges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652-375 (1980)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652-375 (1980)</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How to select, use &amp; maintain garden</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784-975 (1981)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equipment / TX 784-975 (1981)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Improving your garden soil / TX 3-401-349</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3-401-349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Insects / (Western environmental science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A619684 (1971)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series) A619684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0" w:name="page311"/>
    <w:bookmarkEnd w:id="3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56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Interior decorating / TX 3-405-015 (1992)</w:t>
            </w:r>
          </w:p>
        </w:tc>
        <w:tc>
          <w:tcPr>
            <w:tcW w:w="23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TX 3-405-015 (1992)</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Interior lighting / TX 3-363-116 (1991)</w:t>
            </w:r>
          </w:p>
        </w:tc>
        <w:tc>
          <w:tcPr>
            <w:tcW w:w="23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TX 3-363-116 (1991)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Landscaping decks, patios &amp; balconies /</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3-879-770 (1994)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3-879-770 (1994)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Landscaping plans / TX 3-249-355 (1992)</w:t>
            </w:r>
          </w:p>
        </w:tc>
        <w:tc>
          <w:tcPr>
            <w:tcW w:w="23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TX 3-249-355 (1992)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Landscaping with wildflowers &amp; native</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2-480-772 (1986)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plants / TX 2-480-772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Mammals / (Western environmental science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A619685 (1971)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series) A619685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lawn fertilizer plus crabgrass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VA0001179291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02/26/2003</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preventer.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Orhto’s houseplant encyclopedia / TX 3-</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3-537-494 (1993)</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537-494 (1993)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Bug B Gon max: insect killer for</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VA0001260380</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12/30/2003</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lawns: net wt. 10 lb. (4.54 kg)</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Ortho GroundClear Black Label</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VA0002363784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8/28/2023</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Ortho Home Defense Label.</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VA0002350764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03/24/2023</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home gardener’s problem solver /</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3-750-841 (1994)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3-750-841 (1994)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home repair problem solver / TX 4-</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4-130-208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130-208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Ortho season long grass &amp; weed killer.</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VA0001260381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12/30/2003</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basic home building / TX 3-372-</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3-372-468 (1992)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468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complete guide to successful</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1-333-694 (1984)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gardening / TX 1-333-694 (1984)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complete guide to successful</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3-416-332 (1992)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houseplants / TX 3-416-332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computerized gardening / TX 1-</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1-836-590 (1986)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836-590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guide to creative home landscaping</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4-239-921 (1996)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TX 4-239-921 (1996)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guide to enjoying roses / TX 4-014-</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4-014-554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554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1" w:name="page312"/>
    <w:bookmarkEnd w:id="3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Ortho’s guide to herbs / TX 4-470-344</w:t>
            </w:r>
          </w:p>
        </w:tc>
        <w:tc>
          <w:tcPr>
            <w:tcW w:w="234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TX 4-470-344 (1997)</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guide to successful houseplants /</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4-014-555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4-014-555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home improvement encyclopedia /</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1-807-036 (1986)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TX 1-807-036 (1986)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Outdoor shelter plans, overheads, sheds &amp;</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3-537-498 (1993)</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gazebos / TX 3-537-498 (1993)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Outdoor storage / TX 1-838-306 (1986)</w:t>
            </w:r>
          </w:p>
        </w:tc>
        <w:tc>
          <w:tcPr>
            <w:tcW w:w="23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TX 1-838-306 (1986)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Painting &amp; wallpapering / TX 1-253-686</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1-253-686 (1983)</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Painting &amp; wallpapering / TX 4-130-209</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4-130-209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Parks / (Western environmental science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A619689 (1971)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series) A619689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Projects for woodworkers / TX 4-122-622</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4-122-622 (1995)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Protecting your garden from animal</w:t>
            </w:r>
          </w:p>
        </w:tc>
        <w:tc>
          <w:tcPr>
            <w:tcW w:w="2340" w:type="dxa"/>
            <w:vAlign w:val="bottom"/>
            <w:tcBorders>
              <w:righ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TX 3-879-478 (1994)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damage / TX 3-879-478 (1994)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Roofs &amp; sidings / TX 3-363-126 (1992)</w:t>
            </w:r>
          </w:p>
        </w:tc>
        <w:tc>
          <w:tcPr>
            <w:tcW w:w="23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TX 3-363-126 (1992)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bonus S weed and feed.</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VA0001336241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07/06/2005</w:t>
            </w: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Lawn fertilizer with weed control.</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VA0001179290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02/26/2003</w:t>
            </w: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Lawn pro manual: 2001.</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VA0001219914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04/11/2003</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MaxGuard insect control with lawn</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VA0001179292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02/26/2003</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fertilizer.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Nature's Care all season lawn</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VA0001279675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09/30/2004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fertilizer: net wt. 25 lb (11.3 kg)</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Nature's Care all-purpose plant food:</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VA0001279676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09/30/2004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net wt. 5 lb (2.26 kg)</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Nature's Care houseplant &amp; garden</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VA0001279673</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09/30/2004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insect killer: net 22 fl. oz. 650 ml.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Nature's Care indoor insect killer:</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VA0001279677</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09/30/2004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net 22 fl. oz. (650 mL)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Nature's Care weed &amp; grass killer:</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VA0001279674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09/30/2004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net 22 fl. oz. 650 mL.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2" w:name="page313"/>
    <w:bookmarkEnd w:id="3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perlite: net contents 8 dry qt (8.8 L):</w:t>
            </w:r>
          </w:p>
        </w:tc>
        <w:tc>
          <w:tcPr>
            <w:tcW w:w="234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VA0001225872</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03/31/2004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product no. 74278750.</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Scotts Perlite: net contents 8 dry qt. (8.8 L)</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VA0001258334</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02/17/2004</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potting soil for African violets. By</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VA0001249041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02/17/2004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OMS Investments, Inc.</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potting soil for African violets: 4 dry</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VA0001207001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03/07/2003</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qt. (4.4L)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potting soil for African violets: net</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VA0001225868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03/31/2004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contents 4 dry qt (4.4L): product no. 70674.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potting soil for cactus and</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VA0001225869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03/31/2004</w:t>
            </w:r>
          </w:p>
        </w:tc>
      </w:tr>
      <w:tr>
        <w:trPr>
          <w:trHeight w:val="243"/>
        </w:trPr>
        <w:tc>
          <w:tcPr>
            <w:tcW w:w="3560" w:type="dxa"/>
            <w:vAlign w:val="bottom"/>
            <w:tcBorders>
              <w:left w:val="single" w:sz="8" w:color="auto"/>
              <w:right w:val="single" w:sz="8" w:color="auto"/>
            </w:tcBorders>
          </w:tcPr>
          <w:p>
            <w:pPr>
              <w:spacing w:after="0"/>
              <w:rPr>
                <w:sz w:val="21"/>
                <w:szCs w:val="21"/>
                <w:color w:val="auto"/>
              </w:rPr>
            </w:pP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succulents: net contents 4 dry qt (4.4L):</w:t>
            </w:r>
          </w:p>
        </w:tc>
        <w:tc>
          <w:tcPr>
            <w:tcW w:w="23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product no. 730747510.</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potting soil for cuctus &amp; succulents:</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VA0001258335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02/17/2004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net contents 4 dry qt. (4.4 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potting soil for seed starting.</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VA0001214808</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03/07/2003</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potting soil for seed starting. By</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VA0001259937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04/30/2004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OMS Investments, Inc.</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potting soil plus fertilizer: net wt. 6</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VA0001225870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03/31/2004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lbs (2.72 kg): item no. 10779750.</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potting soil plus osmocote.</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VA0001214809</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03/07/2003</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potting soil plus osmocote. By OMS</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VA0001259938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04/30/2004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potting soil. By OMS Investments,</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VA0001249042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02/17/2004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Inc.</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potting soil: 10 dry qt. (11.01L)</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VA0001207000</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03/07/2003</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potting soil: net wt. 6 lbs (2.72 kg):</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VA0001225871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03/31/2004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item no. 12979751.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sphagnum peat moss: net contents 8</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VA0001225873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03/31/2004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dry qt (8.8 L): product no. 75278750.</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sphagnum peat moss: net contents 8</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VA0001258333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02/17/2004</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dry qt. (8.8 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Scotts turf builder lawn fertilizer.</w:t>
            </w:r>
          </w:p>
        </w:tc>
        <w:tc>
          <w:tcPr>
            <w:tcW w:w="234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color w:val="auto"/>
              </w:rPr>
              <w:t>VA0001336240</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07/06/2005</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turf builder with halts crabgrass</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VA0001336238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07/06/2005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preventer.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turf builder with plus 2 weed</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VA0001336239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07/06/2005</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control.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3" w:name="page314"/>
    <w:bookmarkEnd w:id="3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54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Scotts turf builder with summerguard.</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VA0001336242</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07/06/2005</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Scotts.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VA0001290763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11/19/2004</w:t>
            </w: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Scotty character design.</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VA0001219819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04/11/2003</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Scotty: Scotts Training Institute.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VA0001185166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02/24/2003</w:t>
            </w: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Shade gardening / TX 1-253-684 (1983)</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1-253-684 (1983)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Shade gardening / TX 4-322-398 (1996)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4-322-398 (1996)</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Shrubs and hedges / TX 3-243-376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3-243-376 (1992)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Snakes. (Western environmental science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A619687 (1971)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series) A619687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Spas, planning, selecting &amp; installing /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3-363-122 (1992)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3-363-122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Successful flower gardening / TX 3-381-</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3-381-994 (1992)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994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Super Bonus S weed and feed.</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VA0001123511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04/02/2002</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Super Turf Builder Halts crabgrass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VA0001123514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04/02/2002</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preventer.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Super Turf Builder lawn fertilizer.</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VA0001123508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04/02/2002</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Super Turf Builder Plus 2 weed control.</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VA0001123509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04/02/2002</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Super Turf Builder--Summerguard.</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VA0001123513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04/02/2002</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Super Winterizer fall lawn fertilizer.</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VA0001123510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04/02/2002</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Super Winterizer Plus 2 weed control.</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VA0001123512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04/02/2002</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birds around us / TX 2-018-559 (1987)</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2-018-559 (1987)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birds around us / TX 3-403-579 (1992)</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3-403-579 (1992)</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0"/>
        </w:trPr>
        <w:tc>
          <w:tcPr>
            <w:tcW w:w="35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Christmas book / TX 2-251-999 (1988)</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2-251-999 (1988)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complete book of canning / TX 952-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952-478 (1982)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478 (1982)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easiest flowers to grow / TX 3-243-334</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3-243-334 (1992)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easiest plants to grow / TX 4-358-971</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4-358-971 (1996)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facts of light about indoor gardening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A723700 (1976)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National ed. A723700 (1976)</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4" w:name="page315"/>
    <w:bookmarkEnd w:id="3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The garden that cares for itself / TX 3-249-</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TX 3-249-593 (1992)</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593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56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The insect challenge / PA 245-430 (1984)</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PA 245-430 (1984)</w:t>
            </w:r>
          </w:p>
        </w:tc>
        <w:tc>
          <w:tcPr>
            <w:tcW w:w="152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1999-04-06</w:t>
            </w: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The Ortho book of gardening basics / TX</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3-376-102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3-376-102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Ortho problem solver / 3rd ed. TX 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3-378-394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378-394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Ortho problem solver / 4th ed. TX 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3-962-184 (1995)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962-184 (1995)</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Ortho problem solver / TX 1-253-693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1-253-693 (1983)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(1983)</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world of cactus and succulents /</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58-232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National. TX 58-232 (1978)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world of trees / MW/NE ed. TX 58-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58-235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235 (1978)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world of trees / S ed. TX 58-234</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58-234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world of trees / W ed. TX 58-236</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58-236 (1978)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Tide pools / (Western environmental</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A619688 (1971)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science series) A619688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Upholstering &amp; recovering / TX 3-363-120</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3-363-120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Weather-wise gardening / S ed. A590202</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A590202 (1974)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Weather-wise gardening / W ed. A590199</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A590199 (1974)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Western environmental science series;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A631423 (1971)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teacher’s manual / A631423 (1971)</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When the good cook gardens / National ed.</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A590201 (1974)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A590201 (1974)</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Wood projects for the garden / A835343</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A835343 (1977)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(1977)</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Wood projects for the garden / TX 2-258-</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2-258-389 (1988)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389 (1988)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Wood projects for the garden / TX 3-405-</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 3-405-217 (1992)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217 (1992)</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ind w:left="780"/>
              <w:spacing w:after="0" w:line="243" w:lineRule="exact"/>
              <w:rPr>
                <w:sz w:val="20"/>
                <w:szCs w:val="20"/>
                <w:color w:val="auto"/>
              </w:rPr>
            </w:pPr>
            <w:r>
              <w:rPr>
                <w:rFonts w:ascii="Times New Roman" w:cs="Times New Roman" w:eastAsia="Times New Roman" w:hAnsi="Times New Roman"/>
                <w:sz w:val="22"/>
                <w:szCs w:val="22"/>
                <w:color w:val="auto"/>
              </w:rPr>
              <w:t>OMS Investments, Inc.</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Wood projects for the home / TX 652-374</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TX 652-374 (1980)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(1980)</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5" w:name="page316"/>
    <w:bookmarkEnd w:id="3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OMS Investments, Inc.</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World of herbs &amp; spices / TX 147-316</w:t>
            </w:r>
          </w:p>
        </w:tc>
        <w:tc>
          <w:tcPr>
            <w:tcW w:w="234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TX 147-316 (1978)</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1999-04-06</w:t>
            </w: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(1978)</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Attracting hummingbirds and butterflies.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TX0005256561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01/22/2001</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 guide to houseplants.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TX0005900995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01/26/2004</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 guide to landscaping.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TX0006108362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02/22/2005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 guide to orchids.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TX0006110520</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02/22/2005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 guide to roses.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TX0005904521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01/26/2004</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 guide to vegetables, fruits &amp;</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TX0005900994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01/26/2004</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herbs.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Container gardening / written by Sally Roth</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TX0005256559</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01/22/2001</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and Pamela K. Peirce; photographed by</w:t>
            </w:r>
          </w:p>
        </w:tc>
        <w:tc>
          <w:tcPr>
            <w:tcW w:w="23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David Goldberg.</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Easiest flowers to grow / written by</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TX0005256558</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01/22/2001</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Penelope O'Sullivan ; photographed by</w:t>
            </w:r>
          </w:p>
        </w:tc>
        <w:tc>
          <w:tcPr>
            <w:tcW w:w="23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Jerry Pavia.</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Encyclopedia of plant care.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TX0006123964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02/23/2005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Guide to growing beautiful flowers.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TX0006110519</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02/22/2005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HGTV Flower gardening: bring home the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TX0005901000</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01/26/2004</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secrets of great gardens.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Beautiful gardens made easy.</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TX0005901002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01/26/2004</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beautiful perennials.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TX0006322607</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01/27/2006</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container gardening made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CSN0151791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easy.</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container gardening made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CSN0151791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2006</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easy.</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container gardening made</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TX0006230778</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07/28/2005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easy.</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guide to growing delicious</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TX0006108361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02/22/2005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vegetables, fruits &amp; herbs.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guide to growing healthy</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TX0006108363</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02/22/2005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houseplants.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guide to growing stunning</w:t>
            </w:r>
          </w:p>
        </w:tc>
        <w:tc>
          <w:tcPr>
            <w:tcW w:w="2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TX0006108364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02/22/2005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trees &amp; shrubs.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6" w:name="page317"/>
    <w:bookmarkEnd w:id="3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Miracle-Gro instant gardens.</w:t>
            </w:r>
          </w:p>
        </w:tc>
        <w:tc>
          <w:tcPr>
            <w:tcW w:w="23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TX0006322604</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01/27/2006</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all about power tools.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TX0005871057</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11/01/2002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start-to-finish cabinets &amp;</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TX0005871056</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11/01/2002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countertops.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additions.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TX0005339880</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01/22/2001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annuals.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TX0005506603</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03/22/2002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attracting birds / written</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TX0005342794</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02/2/2001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by Michael McKinley.</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azaleas, camellias &amp;</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TX0005339882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01/22/2001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rhododendrons.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backyard structures /</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TX0005123052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01/24/2000</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editor, Larry Erickson.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basements, attics, and</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TX0005477269</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02/21/2002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bonus rooms.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bonsai.</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TX0005901003</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01/26/2004</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bulbs.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TX0005003303</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07/06/1999</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bulbs.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TX0005506605</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03/22/2002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carpentry basics / editor,</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TX0005123051</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01/24/2000</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Larry Erickson.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deck &amp; patio upgrades /</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TX0005123049</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01/24/2000</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editor, Larry Erickson.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decks / editor, Larry</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TX0005123048</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01/24/2000</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Erickson.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dry climate gardening.</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TX0005900999</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01/26/2004</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fences and gates / written</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TX0005342979</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01/22/2001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by Martin Miller.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finish carpentry basics.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TX0005339877</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01/22/2001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floors and flooring /</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TX0005477270</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02/21/2002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written by Martin Miller.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flowering trees &amp; shrubs /</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TX0005477272</w:t>
            </w:r>
          </w:p>
        </w:tc>
        <w:tc>
          <w:tcPr>
            <w:tcW w:w="15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02/21/2002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written by Harrison L. Flint.</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7" w:name="page318"/>
    <w:bookmarkEnd w:id="3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Ortho's All about garden pools and</w:t>
            </w:r>
          </w:p>
        </w:tc>
        <w:tc>
          <w:tcPr>
            <w:tcW w:w="23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TX0005003307</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07/06/1999</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fountains / written by Veronica Lorson</w:t>
            </w:r>
          </w:p>
        </w:tc>
        <w:tc>
          <w:tcPr>
            <w:tcW w:w="23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Fowler and Jamie Beyer.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garden pools and</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fountains. By Meredith 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greenhouses / editor,</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TX0005485734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02/20/2002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Michael McKinley.</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ground covers / written</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TX0005342980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01/22/2001</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by Katie Lamar Smith.</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herbs / written by Maggie</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TX0005003425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Oster.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herbs.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houseplants.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TX0005007585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landscape construction</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TX0005123054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01/24/2000</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basics. / editor, Larry Erickson.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landscape plans / written</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TX0005003422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&amp; photographed by Chuck Crandall and</w:t>
            </w:r>
          </w:p>
        </w:tc>
        <w:tc>
          <w:tcPr>
            <w:tcW w:w="23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r>
      <w:tr>
        <w:trPr>
          <w:trHeight w:val="291"/>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Barbara Crandall.</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landscaping / written by</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TX0005003305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Jo Kellum.</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landscaping decks,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TX0005339879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01/22/2001</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patios, and balconies.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landscaping.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lawns.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TX0006108365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02/22/2005</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lawns.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masonry basics. / editor,</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TX0005123055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01/24/2000</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Larry Erickson.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orchids.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TX0005003306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orchids.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patios / editor, Larry</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TX0005123053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01/24/2000</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Erickson.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perennials / written by</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TX0005003423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Ann Lovejoy and Jan Riggenbach.</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8" w:name="page319"/>
    <w:bookmarkEnd w:id="3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Ortho's All about perennials. By Meredith</w:t>
            </w:r>
          </w:p>
        </w:tc>
        <w:tc>
          <w:tcPr>
            <w:tcW w:w="23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TX0005506610</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plumbing basics.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TX0005127175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01/24/2000</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pruning / written by Judy</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TX0005003304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Lowe.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pruning. By Meredith</w:t>
            </w:r>
          </w:p>
        </w:tc>
        <w:tc>
          <w:tcPr>
            <w:tcW w:w="2340" w:type="dxa"/>
            <w:vAlign w:val="bottom"/>
            <w:tcBorders>
              <w:right w:val="single" w:sz="8" w:color="auto"/>
            </w:tcBorders>
          </w:tcPr>
          <w:p>
            <w:pPr>
              <w:ind w:left="480"/>
              <w:spacing w:after="0" w:line="243" w:lineRule="exact"/>
              <w:rPr>
                <w:sz w:val="20"/>
                <w:szCs w:val="20"/>
                <w:color w:val="auto"/>
              </w:rPr>
            </w:pPr>
            <w:r>
              <w:rPr>
                <w:rFonts w:ascii="Times New Roman" w:cs="Times New Roman" w:eastAsia="Times New Roman" w:hAnsi="Times New Roman"/>
                <w:sz w:val="22"/>
                <w:szCs w:val="22"/>
                <w:color w:val="auto"/>
              </w:rPr>
              <w:t>TX0005506611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roofing &amp; siding basics.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TX0005339876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01/22/2001</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roses / written by Tommy</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TX0005003309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Cairns.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roses.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TX0005506612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shrubs and hedges. /</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TX0005003424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written by Penelope O'Sullivan.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shrubs and hedges. By</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TX0005506613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Meredith 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successful perennial</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TX0005485735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02/20/2002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gardening / written by Janet Macunovich.</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the easiest roses to grow /</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TX0005477271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02/21/2002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written by Tommy Cairns.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tiling basics.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TX0005339878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01/22/2001</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trees / written by Jan</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TX0005003421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Johnsen and John C. Fech.</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trees.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TX0005506614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vegetables.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vines and climbers /</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TX0005003308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written by R. William Thomas.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vines.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TX0005506615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windows, doors &amp;</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TX0005339881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01/22/2001</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skylights.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wiring basics / editor,</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TX0005123050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01/24/2000</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Larry Erickson.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 known</w:t>
            </w:r>
          </w:p>
        </w:tc>
        <w:tc>
          <w:tcPr>
            <w:tcW w:w="3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Home gardener's problem solver</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TX0005901004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01/26/2004</w:t>
            </w:r>
          </w:p>
        </w:tc>
      </w:tr>
      <w:tr>
        <w:trPr>
          <w:trHeight w:val="291"/>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as Scotts Company)*</w:t>
            </w:r>
          </w:p>
        </w:tc>
        <w:tc>
          <w:tcPr>
            <w:tcW w:w="384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19" w:name="page320"/>
    <w:bookmarkEnd w:id="3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Ortho's Home improvement encyclopedia.</w:t>
            </w:r>
          </w:p>
        </w:tc>
        <w:tc>
          <w:tcPr>
            <w:tcW w:w="23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TX0005216385</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07/25/2000</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Landscape plans.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TX0005506616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lawns: your guide to a beautiful yard</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TX0005587725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07/19/2002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by Nick Christians, with Ashton Ritchie.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Lawnscaping: shape the perfect</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TX0005901001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01/26/2004</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landscape around your lawn.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See &amp; Do Solutions: Flower gardens.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TX0004122037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03/07/1995</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See &amp; Do Solutions: Lawns and</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TX0004122038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03/07/1995</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groundcovers.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sprinklers &amp; watering systems.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TX0006122239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02/22/2005</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(a/k/a</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Water gardening / written by Greg and Sue</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TX0005256560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01/22/2001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known as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Speichert.</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COMPLETE GUIDE TO</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TX0007428846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HOUSEPLANTS.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 GUIDE TO ORCHIDS.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TX0007428861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 GUIDE TO PERENNIALS.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TX0007428852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COMPLETE GUIDE TO ROSES.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TX0007428848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COMPLETE GUIDE TO TREES &amp;</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TX0007476957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SHRUBS.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COMPLETE GUIDE TO VEGETABLES,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TX0007795928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FRUITS &amp; HERBS.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CONTAINER GARDENS.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TX0007428874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Creating water gardens.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TX0005718378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06/02/2003</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LAWN PROBLEM SOLVER.</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TX0007428300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20" w:name="page321"/>
    <w:bookmarkEnd w:id="3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LAWNS YOUR GUIDE TO A</w:t>
            </w:r>
          </w:p>
        </w:tc>
        <w:tc>
          <w:tcPr>
            <w:tcW w:w="23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TX0007738475</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BEAUTIFUL YARD.</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Lawns.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TX0006322168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01/27/2006</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waterproof: flower problem</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TX0006312074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01/27/2006</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solver.</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waterproof: perennials.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TX0006312076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01/27/2006</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waterproof: vegetables.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TX0006312075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01/27/2006</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 ALL ABOUT CITRUS &amp;</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TX0007546073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SUBTROPICAL FRUITS.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 ALL ABOUT HOUSEPLANTS.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TX0007491475</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 ALL ABOUT LAWNS.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TX0007491479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 ALL ABOUT PALMS.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TX0007429960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ALL ABOUT PERENNIALS.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TX0007491471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 ALL ABOUT ROSES.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TX0007491478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start-to-finish decks.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TX0005953243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04/26/2004</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start-to-finish landscape</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TX0005953244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04/26/2004</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construction.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 the Complete perennials book.</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TX0005718376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06/02/2003</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Additions.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TX0006813602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08/01/2007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21" w:name="page322"/>
    <w:bookmarkEnd w:id="3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Ortho's All about annuals / written by Ann</w:t>
            </w:r>
          </w:p>
        </w:tc>
        <w:tc>
          <w:tcPr>
            <w:tcW w:w="23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TX0005007581</w:t>
            </w:r>
          </w:p>
        </w:tc>
        <w:tc>
          <w:tcPr>
            <w:tcW w:w="1520" w:type="dxa"/>
            <w:vAlign w:val="bottom"/>
            <w:tcBorders>
              <w:top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Lovejoy and Leona Holdsworth Openshaw.</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building waterfalls, pools,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TX0005485552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02/20/2002</w:t>
            </w: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and streams / written by Charles M.</w:t>
            </w:r>
          </w:p>
        </w:tc>
        <w:tc>
          <w:tcPr>
            <w:tcW w:w="23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r>
      <w:tr>
        <w:trPr>
          <w:trHeight w:val="291"/>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Thomas and Richard M. Koogle.</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creating Japanese gardens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TX0005718377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06/02/2003</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written by Alvin Horton.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decorative painging.</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TX0005485556</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02/20/2002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FLOORS AND</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TX0006813582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08/01/2007</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FLOORING.</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houseplants. By Meredith</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TX0005506602</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03/22/2002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Corporation.</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lawns.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TX0005007584</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painting and wallpapers /</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TX0005485549</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02/20/2002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by Brian Santos.</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plans for beds &amp; borders.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TX0005485551</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02/20/2002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Ortho's all about shade gardening / written</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TX0005485553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02/20/2002</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by Jo Kellum.</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All about vegetables / written by</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TX0005007583</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07/06/1999</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Barbara Pleasant and Katie Lamar Smith.</w:t>
            </w: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Ortho's Home gardener's problem solver.</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TX0005384028</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05/24/2001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Roses.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TX0006322167</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01/27/2003</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43"/>
        </w:trPr>
        <w:tc>
          <w:tcPr>
            <w:tcW w:w="354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Scotts Company LLC (as</w:t>
            </w:r>
          </w:p>
        </w:tc>
        <w:tc>
          <w:tcPr>
            <w:tcW w:w="38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SPRINKLERS &amp; WATERING SYSTEMS.</w:t>
            </w:r>
          </w:p>
        </w:tc>
        <w:tc>
          <w:tcPr>
            <w:tcW w:w="23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TX0007428870</w:t>
            </w:r>
          </w:p>
        </w:tc>
        <w:tc>
          <w:tcPr>
            <w:tcW w:w="1520" w:type="dxa"/>
            <w:vAlign w:val="bottom"/>
            <w:tcBorders>
              <w:right w:val="single" w:sz="8" w:color="auto"/>
            </w:tcBorders>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09/23/2011</w:t>
            </w:r>
          </w:p>
        </w:tc>
      </w:tr>
      <w:tr>
        <w:trPr>
          <w:trHeight w:val="291"/>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successor to The Scotts Company)</w:t>
            </w:r>
          </w:p>
        </w:tc>
        <w:tc>
          <w:tcPr>
            <w:tcW w:w="386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322" w:name="page323"/>
    <w:bookmarkEnd w:id="32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The Scotts Company LLC (as successor</w:t>
            </w:r>
          </w:p>
        </w:tc>
        <w:tc>
          <w:tcPr>
            <w:tcW w:w="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gridSpan w:val="2"/>
          </w:tcPr>
          <w:p>
            <w:pPr>
              <w:jc w:val="center"/>
              <w:ind w:right="419"/>
              <w:spacing w:after="0"/>
              <w:rPr>
                <w:sz w:val="20"/>
                <w:szCs w:val="20"/>
                <w:color w:val="auto"/>
              </w:rPr>
            </w:pPr>
            <w:r>
              <w:rPr>
                <w:rFonts w:ascii="Times New Roman" w:cs="Times New Roman" w:eastAsia="Times New Roman" w:hAnsi="Times New Roman"/>
                <w:sz w:val="22"/>
                <w:szCs w:val="22"/>
                <w:color w:val="auto"/>
                <w:w w:val="96"/>
              </w:rPr>
              <w:t>Water gardens.</w:t>
            </w:r>
          </w:p>
        </w:tc>
        <w:tc>
          <w:tcPr>
            <w:tcW w:w="260" w:type="dxa"/>
            <w:vAlign w:val="bottom"/>
            <w:tcBorders>
              <w:top w:val="single" w:sz="8" w:color="auto"/>
              <w:right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80" w:type="dxa"/>
            <w:vAlign w:val="bottom"/>
            <w:tcBorders>
              <w:top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color w:val="auto"/>
              </w:rPr>
              <w:t>TX0006322169</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01/27/2006</w:t>
            </w:r>
          </w:p>
        </w:tc>
      </w:tr>
      <w:tr>
        <w:trPr>
          <w:trHeight w:val="291"/>
        </w:trPr>
        <w:tc>
          <w:tcPr>
            <w:tcW w:w="2920" w:type="dxa"/>
            <w:vAlign w:val="bottom"/>
            <w:tcBorders>
              <w:left w:val="single" w:sz="8" w:color="auto"/>
              <w:bottom w:val="single" w:sz="8" w:color="auto"/>
            </w:tcBorders>
          </w:tcPr>
          <w:p>
            <w:pPr>
              <w:jc w:val="center"/>
              <w:ind w:left="536"/>
              <w:spacing w:after="0"/>
              <w:rPr>
                <w:sz w:val="20"/>
                <w:szCs w:val="20"/>
                <w:color w:val="auto"/>
              </w:rPr>
            </w:pPr>
            <w:r>
              <w:rPr>
                <w:rFonts w:ascii="Times New Roman" w:cs="Times New Roman" w:eastAsia="Times New Roman" w:hAnsi="Times New Roman"/>
                <w:sz w:val="22"/>
                <w:szCs w:val="22"/>
                <w:color w:val="auto"/>
                <w:w w:val="97"/>
              </w:rPr>
              <w:t>to The Scotts Company)</w:t>
            </w:r>
          </w:p>
        </w:tc>
        <w:tc>
          <w:tcPr>
            <w:tcW w:w="6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90"/>
        </w:trPr>
        <w:tc>
          <w:tcPr>
            <w:tcW w:w="35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The Scotts Miracle-Gro Company</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center"/>
              <w:ind w:right="399"/>
              <w:spacing w:after="0"/>
              <w:rPr>
                <w:sz w:val="20"/>
                <w:szCs w:val="20"/>
                <w:color w:val="auto"/>
              </w:rPr>
            </w:pPr>
            <w:r>
              <w:rPr>
                <w:rFonts w:ascii="Times New Roman" w:cs="Times New Roman" w:eastAsia="Times New Roman" w:hAnsi="Times New Roman"/>
                <w:sz w:val="22"/>
                <w:szCs w:val="22"/>
                <w:color w:val="auto"/>
                <w:w w:val="98"/>
              </w:rPr>
              <w:t>The Ortho Problem Solver</w:t>
            </w: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color w:val="auto"/>
              </w:rPr>
              <w:t>TX0007434374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09/22/2011</w:t>
            </w:r>
          </w:p>
        </w:tc>
      </w:tr>
      <w:tr>
        <w:trPr>
          <w:trHeight w:val="540"/>
        </w:trPr>
        <w:tc>
          <w:tcPr>
            <w:tcW w:w="2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00" w:type="dxa"/>
            <w:vAlign w:val="bottom"/>
            <w:gridSpan w:val="7"/>
          </w:tcPr>
          <w:p>
            <w:pPr>
              <w:ind w:left="40"/>
              <w:spacing w:after="0"/>
              <w:rPr>
                <w:sz w:val="20"/>
                <w:szCs w:val="20"/>
                <w:color w:val="auto"/>
              </w:rPr>
            </w:pPr>
            <w:r>
              <w:rPr>
                <w:rFonts w:ascii="Times New Roman" w:cs="Times New Roman" w:eastAsia="Times New Roman" w:hAnsi="Times New Roman"/>
                <w:sz w:val="22"/>
                <w:szCs w:val="22"/>
                <w:b w:val="1"/>
                <w:bCs w:val="1"/>
                <w:color w:val="auto"/>
              </w:rPr>
              <w:t>PATENTS AND PATENT APPLICATIONS</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7"/>
        </w:trPr>
        <w:tc>
          <w:tcPr>
            <w:tcW w:w="2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17"/>
        </w:trPr>
        <w:tc>
          <w:tcPr>
            <w:tcW w:w="2920" w:type="dxa"/>
            <w:vAlign w:val="bottom"/>
            <w:tcBorders>
              <w:left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color w:val="auto"/>
              </w:rPr>
              <w:t>Owner</w:t>
            </w:r>
          </w:p>
        </w:tc>
        <w:tc>
          <w:tcPr>
            <w:tcW w:w="1360" w:type="dxa"/>
            <w:vAlign w:val="bottom"/>
            <w:tcBorders>
              <w:bottom w:val="single" w:sz="8" w:color="auto"/>
            </w:tcBorders>
            <w:gridSpan w:val="3"/>
            <w:shd w:val="clear" w:color="auto" w:fill="E7E6E6"/>
          </w:tcPr>
          <w:p>
            <w:pPr>
              <w:spacing w:after="0"/>
              <w:rPr>
                <w:sz w:val="20"/>
                <w:szCs w:val="20"/>
                <w:color w:val="auto"/>
              </w:rPr>
            </w:pPr>
            <w:r>
              <w:rPr>
                <w:rFonts w:ascii="Times New Roman" w:cs="Times New Roman" w:eastAsia="Times New Roman" w:hAnsi="Times New Roman"/>
                <w:sz w:val="16"/>
                <w:szCs w:val="16"/>
                <w:color w:val="auto"/>
              </w:rPr>
              <w:t>Title</w:t>
            </w:r>
          </w:p>
        </w:tc>
        <w:tc>
          <w:tcPr>
            <w:tcW w:w="1440" w:type="dxa"/>
            <w:vAlign w:val="bottom"/>
            <w:tcBorders>
              <w:bottom w:val="single" w:sz="8" w:color="auto"/>
              <w:right w:val="single" w:sz="8" w:color="auto"/>
            </w:tcBorders>
            <w:shd w:val="clear" w:color="auto" w:fill="E7E6E6"/>
          </w:tcPr>
          <w:p>
            <w:pPr>
              <w:spacing w:after="0"/>
              <w:rPr>
                <w:sz w:val="18"/>
                <w:szCs w:val="18"/>
                <w:color w:val="auto"/>
              </w:rPr>
            </w:pPr>
          </w:p>
        </w:tc>
        <w:tc>
          <w:tcPr>
            <w:tcW w:w="1420" w:type="dxa"/>
            <w:vAlign w:val="bottom"/>
            <w:tcBorders>
              <w:bottom w:val="single" w:sz="8" w:color="auto"/>
              <w:right w:val="single" w:sz="8" w:color="auto"/>
            </w:tcBorders>
            <w:shd w:val="clear" w:color="auto" w:fill="E7E6E6"/>
          </w:tcPr>
          <w:p>
            <w:pPr>
              <w:ind w:left="400"/>
              <w:spacing w:after="0"/>
              <w:rPr>
                <w:sz w:val="20"/>
                <w:szCs w:val="20"/>
                <w:color w:val="auto"/>
              </w:rPr>
            </w:pPr>
            <w:r>
              <w:rPr>
                <w:rFonts w:ascii="Times New Roman" w:cs="Times New Roman" w:eastAsia="Times New Roman" w:hAnsi="Times New Roman"/>
                <w:sz w:val="16"/>
                <w:szCs w:val="16"/>
                <w:color w:val="auto"/>
              </w:rPr>
              <w:t>App. No.</w:t>
            </w:r>
          </w:p>
        </w:tc>
        <w:tc>
          <w:tcPr>
            <w:tcW w:w="260" w:type="dxa"/>
            <w:vAlign w:val="bottom"/>
            <w:tcBorders>
              <w:bottom w:val="single" w:sz="8" w:color="auto"/>
              <w:right w:val="single" w:sz="8" w:color="E7E6E6"/>
            </w:tcBorders>
            <w:shd w:val="clear" w:color="auto" w:fill="E7E6E6"/>
          </w:tcPr>
          <w:p>
            <w:pPr>
              <w:spacing w:after="0"/>
              <w:rPr>
                <w:sz w:val="18"/>
                <w:szCs w:val="18"/>
                <w:color w:val="auto"/>
              </w:rPr>
            </w:pPr>
          </w:p>
        </w:tc>
        <w:tc>
          <w:tcPr>
            <w:tcW w:w="1060" w:type="dxa"/>
            <w:vAlign w:val="bottom"/>
            <w:tcBorders>
              <w:bottom w:val="single" w:sz="8" w:color="auto"/>
              <w:right w:val="single" w:sz="8" w:color="auto"/>
            </w:tcBorders>
            <w:gridSpan w:val="2"/>
            <w:shd w:val="clear" w:color="auto" w:fill="E7E6E6"/>
          </w:tcPr>
          <w:p>
            <w:pPr>
              <w:jc w:val="center"/>
              <w:ind w:right="192"/>
              <w:spacing w:after="0"/>
              <w:rPr>
                <w:sz w:val="20"/>
                <w:szCs w:val="20"/>
                <w:color w:val="auto"/>
              </w:rPr>
            </w:pPr>
            <w:r>
              <w:rPr>
                <w:rFonts w:ascii="Times New Roman" w:cs="Times New Roman" w:eastAsia="Times New Roman" w:hAnsi="Times New Roman"/>
                <w:sz w:val="16"/>
                <w:szCs w:val="16"/>
                <w:color w:val="auto"/>
              </w:rPr>
              <w:t>File Date</w:t>
            </w:r>
          </w:p>
        </w:tc>
        <w:tc>
          <w:tcPr>
            <w:tcW w:w="1280" w:type="dxa"/>
            <w:vAlign w:val="bottom"/>
            <w:tcBorders>
              <w:bottom w:val="single" w:sz="8" w:color="auto"/>
              <w:right w:val="single" w:sz="8" w:color="auto"/>
            </w:tcBorders>
            <w:shd w:val="clear" w:color="auto" w:fill="E7E6E6"/>
          </w:tcPr>
          <w:p>
            <w:pPr>
              <w:ind w:left="280"/>
              <w:spacing w:after="0"/>
              <w:rPr>
                <w:sz w:val="20"/>
                <w:szCs w:val="20"/>
                <w:color w:val="auto"/>
              </w:rPr>
            </w:pPr>
            <w:r>
              <w:rPr>
                <w:rFonts w:ascii="Times New Roman" w:cs="Times New Roman" w:eastAsia="Times New Roman" w:hAnsi="Times New Roman"/>
                <w:sz w:val="16"/>
                <w:szCs w:val="16"/>
                <w:color w:val="auto"/>
              </w:rPr>
              <w:t>Patent No.</w:t>
            </w:r>
          </w:p>
        </w:tc>
        <w:tc>
          <w:tcPr>
            <w:tcW w:w="152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6"/>
                <w:szCs w:val="16"/>
                <w:color w:val="auto"/>
              </w:rPr>
              <w:t>Issue Date</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General Hydroponics, Inc.; HGCI, Inc.</w:t>
            </w:r>
          </w:p>
        </w:tc>
        <w:tc>
          <w:tcPr>
            <w:tcW w:w="280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COMPOSITIONS, DEVICES AND</w:t>
            </w:r>
          </w:p>
        </w:tc>
        <w:tc>
          <w:tcPr>
            <w:tcW w:w="1420" w:type="dxa"/>
            <w:vAlign w:val="bottom"/>
            <w:tcBorders>
              <w:right w:val="single" w:sz="8" w:color="auto"/>
            </w:tcBorders>
          </w:tcPr>
          <w:p>
            <w:pPr>
              <w:ind w:left="360"/>
              <w:spacing w:after="0" w:line="175" w:lineRule="exact"/>
              <w:rPr>
                <w:sz w:val="20"/>
                <w:szCs w:val="20"/>
                <w:color w:val="auto"/>
              </w:rPr>
            </w:pPr>
            <w:r>
              <w:rPr>
                <w:rFonts w:ascii="Times New Roman" w:cs="Times New Roman" w:eastAsia="Times New Roman" w:hAnsi="Times New Roman"/>
                <w:sz w:val="16"/>
                <w:szCs w:val="16"/>
                <w:color w:val="auto"/>
              </w:rPr>
              <w:t>13750776</w:t>
            </w:r>
          </w:p>
        </w:tc>
        <w:tc>
          <w:tcPr>
            <w:tcW w:w="260" w:type="dxa"/>
            <w:vAlign w:val="bottom"/>
          </w:tcPr>
          <w:p>
            <w:pPr>
              <w:spacing w:after="0"/>
              <w:rPr>
                <w:sz w:val="15"/>
                <w:szCs w:val="15"/>
                <w:color w:val="auto"/>
              </w:rPr>
            </w:pPr>
          </w:p>
        </w:tc>
        <w:tc>
          <w:tcPr>
            <w:tcW w:w="1060" w:type="dxa"/>
            <w:vAlign w:val="bottom"/>
            <w:tcBorders>
              <w:right w:val="single" w:sz="8" w:color="auto"/>
            </w:tcBorders>
            <w:gridSpan w:val="2"/>
          </w:tcPr>
          <w:p>
            <w:pPr>
              <w:jc w:val="center"/>
              <w:ind w:right="172"/>
              <w:spacing w:after="0" w:line="175" w:lineRule="exact"/>
              <w:rPr>
                <w:sz w:val="20"/>
                <w:szCs w:val="20"/>
                <w:color w:val="auto"/>
              </w:rPr>
            </w:pPr>
            <w:r>
              <w:rPr>
                <w:rFonts w:ascii="Times New Roman" w:cs="Times New Roman" w:eastAsia="Times New Roman" w:hAnsi="Times New Roman"/>
                <w:sz w:val="16"/>
                <w:szCs w:val="16"/>
                <w:color w:val="auto"/>
                <w:w w:val="97"/>
              </w:rPr>
              <w:t>25-Jan-2013</w:t>
            </w:r>
          </w:p>
        </w:tc>
        <w:tc>
          <w:tcPr>
            <w:tcW w:w="12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9419177</w:t>
            </w:r>
          </w:p>
        </w:tc>
        <w:tc>
          <w:tcPr>
            <w:tcW w:w="15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16-Aug-2016</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METHODS FOR OPTIMIZING</w:t>
            </w:r>
          </w:p>
        </w:tc>
        <w:tc>
          <w:tcPr>
            <w:tcW w:w="14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r>
      <w:tr>
        <w:trPr>
          <w:trHeight w:val="176"/>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PHOTOSYNTHETICALLY ACTIVE</w:t>
            </w:r>
          </w:p>
        </w:tc>
        <w:tc>
          <w:tcPr>
            <w:tcW w:w="14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RADIATION</w:t>
            </w: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BALLAST</w:t>
            </w:r>
          </w:p>
        </w:tc>
        <w:tc>
          <w:tcPr>
            <w:tcW w:w="14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29500576</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26-Aug-2014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D786475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09-May-2017</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BALLAST</w:t>
            </w: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29699709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gridSpan w:val="2"/>
          </w:tcPr>
          <w:p>
            <w:pPr>
              <w:jc w:val="center"/>
              <w:ind w:right="172"/>
              <w:spacing w:after="0"/>
              <w:rPr>
                <w:sz w:val="20"/>
                <w:szCs w:val="20"/>
                <w:color w:val="auto"/>
              </w:rPr>
            </w:pPr>
            <w:r>
              <w:rPr>
                <w:rFonts w:ascii="Times New Roman" w:cs="Times New Roman" w:eastAsia="Times New Roman" w:hAnsi="Times New Roman"/>
                <w:sz w:val="16"/>
                <w:szCs w:val="16"/>
                <w:color w:val="auto"/>
              </w:rPr>
              <w:t>29-Jul-2019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D901061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03-Nov-2020</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BALLAST</w:t>
            </w: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29756957</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02-Nov-2020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D1007045</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05-Dec-2023</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BALLAST FRAME</w:t>
            </w: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29476546</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13-Dec-2013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D725820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31-Mar-2015</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BALLAST HANGING BRACKET</w:t>
            </w: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29590384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gridSpan w:val="2"/>
          </w:tcPr>
          <w:p>
            <w:pPr>
              <w:jc w:val="center"/>
              <w:ind w:right="172"/>
              <w:spacing w:after="0"/>
              <w:rPr>
                <w:sz w:val="20"/>
                <w:szCs w:val="20"/>
                <w:color w:val="auto"/>
              </w:rPr>
            </w:pPr>
            <w:r>
              <w:rPr>
                <w:rFonts w:ascii="Times New Roman" w:cs="Times New Roman" w:eastAsia="Times New Roman" w:hAnsi="Times New Roman"/>
                <w:sz w:val="16"/>
                <w:szCs w:val="16"/>
                <w:color w:val="auto"/>
                <w:w w:val="97"/>
              </w:rPr>
              <w:t>10-Jan-2017</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D847410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30-Apr-2019</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BALLAST HANGING BRACKET</w:t>
            </w: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29689318</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29-Apr-2019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D954338</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07-Jun-2022</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BALLAST HOUSING</w:t>
            </w: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29460193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gridSpan w:val="2"/>
          </w:tcPr>
          <w:p>
            <w:pPr>
              <w:jc w:val="center"/>
              <w:ind w:right="172"/>
              <w:spacing w:after="0"/>
              <w:rPr>
                <w:sz w:val="20"/>
                <w:szCs w:val="20"/>
                <w:color w:val="auto"/>
              </w:rPr>
            </w:pPr>
            <w:r>
              <w:rPr>
                <w:rFonts w:ascii="Times New Roman" w:cs="Times New Roman" w:eastAsia="Times New Roman" w:hAnsi="Times New Roman"/>
                <w:sz w:val="16"/>
                <w:szCs w:val="16"/>
                <w:color w:val="auto"/>
              </w:rPr>
              <w:t>09-Jul-2013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D725819</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31-Mar-2015</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BALLAST HOUSING</w:t>
            </w: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29500340</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25-Aug-2014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D750313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23-Feb-2016</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BALLAST HOUSING</w:t>
            </w: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29500583</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26-Aug-2014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D757344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24-May-2016</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BALLAST HOUSING</w:t>
            </w: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29500653</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24-Aug-2014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D761481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12-Jul-2016</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BRACKET FOR A REFLECTOR OF A</w:t>
            </w:r>
          </w:p>
        </w:tc>
        <w:tc>
          <w:tcPr>
            <w:tcW w:w="1420" w:type="dxa"/>
            <w:vAlign w:val="bottom"/>
            <w:tcBorders>
              <w:right w:val="single" w:sz="8" w:color="auto"/>
            </w:tcBorders>
          </w:tcPr>
          <w:p>
            <w:pPr>
              <w:ind w:left="360"/>
              <w:spacing w:after="0" w:line="175" w:lineRule="exact"/>
              <w:rPr>
                <w:sz w:val="20"/>
                <w:szCs w:val="20"/>
                <w:color w:val="auto"/>
              </w:rPr>
            </w:pPr>
            <w:r>
              <w:rPr>
                <w:rFonts w:ascii="Times New Roman" w:cs="Times New Roman" w:eastAsia="Times New Roman" w:hAnsi="Times New Roman"/>
                <w:sz w:val="16"/>
                <w:szCs w:val="16"/>
                <w:color w:val="auto"/>
              </w:rPr>
              <w:t>29965705</w:t>
            </w:r>
          </w:p>
        </w:tc>
        <w:tc>
          <w:tcPr>
            <w:tcW w:w="132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rPr>
              <w:t>28-Sep-2024</w:t>
            </w:r>
          </w:p>
        </w:tc>
        <w:tc>
          <w:tcPr>
            <w:tcW w:w="12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D1086542</w:t>
            </w:r>
          </w:p>
        </w:tc>
        <w:tc>
          <w:tcPr>
            <w:tcW w:w="15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29-Jul-2025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gridSpan w:val="4"/>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6"/>
                <w:szCs w:val="16"/>
                <w:color w:val="auto"/>
              </w:rPr>
              <w:t>BRACKET FOR A REFLECTOR OF A</w:t>
            </w:r>
          </w:p>
        </w:tc>
        <w:tc>
          <w:tcPr>
            <w:tcW w:w="1420" w:type="dxa"/>
            <w:vAlign w:val="bottom"/>
            <w:tcBorders>
              <w:right w:val="single" w:sz="8" w:color="auto"/>
            </w:tcBorders>
          </w:tcPr>
          <w:p>
            <w:pPr>
              <w:ind w:left="360"/>
              <w:spacing w:after="0" w:line="169" w:lineRule="exact"/>
              <w:rPr>
                <w:sz w:val="20"/>
                <w:szCs w:val="20"/>
                <w:color w:val="auto"/>
              </w:rPr>
            </w:pPr>
            <w:r>
              <w:rPr>
                <w:rFonts w:ascii="Times New Roman" w:cs="Times New Roman" w:eastAsia="Times New Roman" w:hAnsi="Times New Roman"/>
                <w:sz w:val="16"/>
                <w:szCs w:val="16"/>
                <w:color w:val="auto"/>
              </w:rPr>
              <w:t>29965706</w:t>
            </w:r>
          </w:p>
        </w:tc>
        <w:tc>
          <w:tcPr>
            <w:tcW w:w="1320" w:type="dxa"/>
            <w:vAlign w:val="bottom"/>
            <w:tcBorders>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color w:val="auto"/>
              </w:rPr>
              <w:t>28-Sep-2024</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D1087449</w:t>
            </w:r>
          </w:p>
        </w:tc>
        <w:tc>
          <w:tcPr>
            <w:tcW w:w="15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05-Aug-2025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gridSpan w:val="4"/>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BRACKET FOR LIGHTING FIXTURE</w:t>
            </w:r>
          </w:p>
        </w:tc>
        <w:tc>
          <w:tcPr>
            <w:tcW w:w="14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29783466</w:t>
            </w:r>
          </w:p>
        </w:tc>
        <w:tc>
          <w:tcPr>
            <w:tcW w:w="1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13-May-2021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D985183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02-May-2023</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CAPILLARY HYDRATION SYSTEM</w:t>
            </w:r>
          </w:p>
        </w:tc>
        <w:tc>
          <w:tcPr>
            <w:tcW w:w="1420" w:type="dxa"/>
            <w:vAlign w:val="bottom"/>
            <w:tcBorders>
              <w:right w:val="single" w:sz="8" w:color="auto"/>
            </w:tcBorders>
          </w:tcPr>
          <w:p>
            <w:pPr>
              <w:ind w:left="380"/>
              <w:spacing w:after="0" w:line="175" w:lineRule="exact"/>
              <w:rPr>
                <w:sz w:val="20"/>
                <w:szCs w:val="20"/>
                <w:color w:val="auto"/>
              </w:rPr>
            </w:pPr>
            <w:r>
              <w:rPr>
                <w:rFonts w:ascii="Times New Roman" w:cs="Times New Roman" w:eastAsia="Times New Roman" w:hAnsi="Times New Roman"/>
                <w:sz w:val="16"/>
                <w:szCs w:val="16"/>
                <w:color w:val="auto"/>
              </w:rPr>
              <w:t>11419103</w:t>
            </w:r>
          </w:p>
        </w:tc>
        <w:tc>
          <w:tcPr>
            <w:tcW w:w="132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18-May-2006</w:t>
            </w:r>
          </w:p>
        </w:tc>
        <w:tc>
          <w:tcPr>
            <w:tcW w:w="12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7587859</w:t>
            </w:r>
          </w:p>
        </w:tc>
        <w:tc>
          <w:tcPr>
            <w:tcW w:w="15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15-Sep-2009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AND METHOD</w:t>
            </w: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gridSpan w:val="4"/>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6"/>
                <w:szCs w:val="16"/>
                <w:color w:val="auto"/>
              </w:rPr>
              <w:t>CAPILLARY HYDRATION SYSTEM</w:t>
            </w:r>
          </w:p>
        </w:tc>
        <w:tc>
          <w:tcPr>
            <w:tcW w:w="1420" w:type="dxa"/>
            <w:vAlign w:val="bottom"/>
            <w:tcBorders>
              <w:right w:val="single" w:sz="8" w:color="auto"/>
            </w:tcBorders>
          </w:tcPr>
          <w:p>
            <w:pPr>
              <w:ind w:left="380"/>
              <w:spacing w:after="0" w:line="169" w:lineRule="exact"/>
              <w:rPr>
                <w:sz w:val="20"/>
                <w:szCs w:val="20"/>
                <w:color w:val="auto"/>
              </w:rPr>
            </w:pPr>
            <w:r>
              <w:rPr>
                <w:rFonts w:ascii="Times New Roman" w:cs="Times New Roman" w:eastAsia="Times New Roman" w:hAnsi="Times New Roman"/>
                <w:sz w:val="16"/>
                <w:szCs w:val="16"/>
                <w:color w:val="auto"/>
              </w:rPr>
              <w:t>11750878</w:t>
            </w:r>
          </w:p>
        </w:tc>
        <w:tc>
          <w:tcPr>
            <w:tcW w:w="1320" w:type="dxa"/>
            <w:vAlign w:val="bottom"/>
            <w:tcBorders>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18-May-2007</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7676988</w:t>
            </w:r>
          </w:p>
        </w:tc>
        <w:tc>
          <w:tcPr>
            <w:tcW w:w="15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16-Mar-2010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AND METHOD</w:t>
            </w: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gridSpan w:val="4"/>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6"/>
                <w:szCs w:val="16"/>
                <w:color w:val="auto"/>
              </w:rPr>
              <w:t>COMPACT MODULAR LED</w:t>
            </w:r>
          </w:p>
        </w:tc>
        <w:tc>
          <w:tcPr>
            <w:tcW w:w="1420" w:type="dxa"/>
            <w:vAlign w:val="bottom"/>
            <w:tcBorders>
              <w:right w:val="single" w:sz="8" w:color="auto"/>
            </w:tcBorders>
          </w:tcPr>
          <w:p>
            <w:pPr>
              <w:ind w:left="360"/>
              <w:spacing w:after="0" w:line="169" w:lineRule="exact"/>
              <w:rPr>
                <w:sz w:val="20"/>
                <w:szCs w:val="20"/>
                <w:color w:val="auto"/>
              </w:rPr>
            </w:pPr>
            <w:r>
              <w:rPr>
                <w:rFonts w:ascii="Times New Roman" w:cs="Times New Roman" w:eastAsia="Times New Roman" w:hAnsi="Times New Roman"/>
                <w:sz w:val="16"/>
                <w:szCs w:val="16"/>
                <w:color w:val="auto"/>
              </w:rPr>
              <w:t>63816691</w:t>
            </w:r>
          </w:p>
        </w:tc>
        <w:tc>
          <w:tcPr>
            <w:tcW w:w="1320" w:type="dxa"/>
            <w:vAlign w:val="bottom"/>
            <w:tcBorders>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color w:val="auto"/>
              </w:rPr>
              <w:t>03-Jun-2025</w:t>
            </w:r>
          </w:p>
        </w:tc>
        <w:tc>
          <w:tcPr>
            <w:tcW w:w="12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LIGHTING FIXTURE</w:t>
            </w: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gridSpan w:val="4"/>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6"/>
                <w:szCs w:val="16"/>
                <w:color w:val="auto"/>
              </w:rPr>
              <w:t>COMPUTER IMPLEMENTED</w:t>
            </w:r>
          </w:p>
        </w:tc>
        <w:tc>
          <w:tcPr>
            <w:tcW w:w="1420" w:type="dxa"/>
            <w:vAlign w:val="bottom"/>
            <w:tcBorders>
              <w:right w:val="single" w:sz="8" w:color="auto"/>
            </w:tcBorders>
          </w:tcPr>
          <w:p>
            <w:pPr>
              <w:ind w:left="360"/>
              <w:spacing w:after="0" w:line="169" w:lineRule="exact"/>
              <w:rPr>
                <w:sz w:val="20"/>
                <w:szCs w:val="20"/>
                <w:color w:val="auto"/>
              </w:rPr>
            </w:pPr>
            <w:r>
              <w:rPr>
                <w:rFonts w:ascii="Times New Roman" w:cs="Times New Roman" w:eastAsia="Times New Roman" w:hAnsi="Times New Roman"/>
                <w:sz w:val="16"/>
                <w:szCs w:val="16"/>
                <w:color w:val="auto"/>
              </w:rPr>
              <w:t>13200559</w:t>
            </w:r>
          </w:p>
        </w:tc>
        <w:tc>
          <w:tcPr>
            <w:tcW w:w="1320" w:type="dxa"/>
            <w:vAlign w:val="bottom"/>
            <w:tcBorders>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color w:val="auto"/>
              </w:rPr>
              <w:t>27-Sep-2011</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8725301</w:t>
            </w:r>
          </w:p>
        </w:tc>
        <w:tc>
          <w:tcPr>
            <w:tcW w:w="15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13-May-2014</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METHOD FOR CONTROLLING EBB</w:t>
            </w:r>
          </w:p>
        </w:tc>
        <w:tc>
          <w:tcPr>
            <w:tcW w:w="14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FLOW WATERING SYSTEMS</w:t>
            </w:r>
          </w:p>
        </w:tc>
        <w:tc>
          <w:tcPr>
            <w:tcW w:w="14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CONTROLLER FOR AN INDOOR</w:t>
            </w:r>
          </w:p>
        </w:tc>
        <w:tc>
          <w:tcPr>
            <w:tcW w:w="1420" w:type="dxa"/>
            <w:vAlign w:val="bottom"/>
            <w:tcBorders>
              <w:right w:val="single" w:sz="8" w:color="auto"/>
            </w:tcBorders>
          </w:tcPr>
          <w:p>
            <w:pPr>
              <w:ind w:left="360"/>
              <w:spacing w:after="0" w:line="175" w:lineRule="exact"/>
              <w:rPr>
                <w:sz w:val="20"/>
                <w:szCs w:val="20"/>
                <w:color w:val="auto"/>
              </w:rPr>
            </w:pPr>
            <w:r>
              <w:rPr>
                <w:rFonts w:ascii="Times New Roman" w:cs="Times New Roman" w:eastAsia="Times New Roman" w:hAnsi="Times New Roman"/>
                <w:sz w:val="16"/>
                <w:szCs w:val="16"/>
                <w:color w:val="auto"/>
              </w:rPr>
              <w:t>18569010</w:t>
            </w:r>
          </w:p>
        </w:tc>
        <w:tc>
          <w:tcPr>
            <w:tcW w:w="132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11-Dec-2023</w:t>
            </w:r>
          </w:p>
        </w:tc>
        <w:tc>
          <w:tcPr>
            <w:tcW w:w="128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GROW LIGHTING SYSTEM</w:t>
            </w: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gridSpan w:val="4"/>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6"/>
                <w:szCs w:val="16"/>
                <w:color w:val="auto"/>
              </w:rPr>
              <w:t>COOLING A HORTICULTURE LIGHT</w:t>
            </w:r>
          </w:p>
        </w:tc>
        <w:tc>
          <w:tcPr>
            <w:tcW w:w="1420" w:type="dxa"/>
            <w:vAlign w:val="bottom"/>
            <w:tcBorders>
              <w:right w:val="single" w:sz="8" w:color="auto"/>
            </w:tcBorders>
          </w:tcPr>
          <w:p>
            <w:pPr>
              <w:ind w:left="380"/>
              <w:spacing w:after="0" w:line="169" w:lineRule="exact"/>
              <w:rPr>
                <w:sz w:val="20"/>
                <w:szCs w:val="20"/>
                <w:color w:val="auto"/>
              </w:rPr>
            </w:pPr>
            <w:r>
              <w:rPr>
                <w:rFonts w:ascii="Times New Roman" w:cs="Times New Roman" w:eastAsia="Times New Roman" w:hAnsi="Times New Roman"/>
                <w:sz w:val="16"/>
                <w:szCs w:val="16"/>
                <w:color w:val="auto"/>
              </w:rPr>
              <w:t>14701134</w:t>
            </w:r>
          </w:p>
        </w:tc>
        <w:tc>
          <w:tcPr>
            <w:tcW w:w="1320" w:type="dxa"/>
            <w:vAlign w:val="bottom"/>
            <w:tcBorders>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color w:val="auto"/>
              </w:rPr>
              <w:t>30-Apr-2015</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10473317</w:t>
            </w:r>
          </w:p>
        </w:tc>
        <w:tc>
          <w:tcPr>
            <w:tcW w:w="15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12-Nov-2019</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FIXTURE USING AN ISOLATION</w:t>
            </w:r>
          </w:p>
        </w:tc>
        <w:tc>
          <w:tcPr>
            <w:tcW w:w="14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CHAMBER</w:t>
            </w: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COOLING A HORTICULTURE LIGHT</w:t>
            </w:r>
          </w:p>
        </w:tc>
        <w:tc>
          <w:tcPr>
            <w:tcW w:w="1420" w:type="dxa"/>
            <w:vAlign w:val="bottom"/>
            <w:tcBorders>
              <w:right w:val="single" w:sz="8" w:color="auto"/>
            </w:tcBorders>
          </w:tcPr>
          <w:p>
            <w:pPr>
              <w:ind w:left="360"/>
              <w:spacing w:after="0" w:line="175" w:lineRule="exact"/>
              <w:rPr>
                <w:sz w:val="20"/>
                <w:szCs w:val="20"/>
                <w:color w:val="auto"/>
              </w:rPr>
            </w:pPr>
            <w:r>
              <w:rPr>
                <w:rFonts w:ascii="Times New Roman" w:cs="Times New Roman" w:eastAsia="Times New Roman" w:hAnsi="Times New Roman"/>
                <w:sz w:val="16"/>
                <w:szCs w:val="16"/>
                <w:color w:val="auto"/>
              </w:rPr>
              <w:t>16679581</w:t>
            </w:r>
          </w:p>
        </w:tc>
        <w:tc>
          <w:tcPr>
            <w:tcW w:w="132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11-Nov-2019</w:t>
            </w:r>
          </w:p>
        </w:tc>
        <w:tc>
          <w:tcPr>
            <w:tcW w:w="12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10955127</w:t>
            </w:r>
          </w:p>
        </w:tc>
        <w:tc>
          <w:tcPr>
            <w:tcW w:w="15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23-Mar-2021</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FIXTURE USING AN ISOLATION</w:t>
            </w:r>
          </w:p>
        </w:tc>
        <w:tc>
          <w:tcPr>
            <w:tcW w:w="14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CHAMBER</w:t>
            </w: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COOLING A HORTICULTURE LIGHT</w:t>
            </w:r>
          </w:p>
        </w:tc>
        <w:tc>
          <w:tcPr>
            <w:tcW w:w="1420" w:type="dxa"/>
            <w:vAlign w:val="bottom"/>
            <w:tcBorders>
              <w:right w:val="single" w:sz="8" w:color="auto"/>
            </w:tcBorders>
          </w:tcPr>
          <w:p>
            <w:pPr>
              <w:ind w:left="360"/>
              <w:spacing w:after="0" w:line="175" w:lineRule="exact"/>
              <w:rPr>
                <w:sz w:val="20"/>
                <w:szCs w:val="20"/>
                <w:color w:val="auto"/>
              </w:rPr>
            </w:pPr>
            <w:r>
              <w:rPr>
                <w:rFonts w:ascii="Times New Roman" w:cs="Times New Roman" w:eastAsia="Times New Roman" w:hAnsi="Times New Roman"/>
                <w:sz w:val="16"/>
                <w:szCs w:val="16"/>
                <w:color w:val="auto"/>
              </w:rPr>
              <w:t>17207916</w:t>
            </w:r>
          </w:p>
        </w:tc>
        <w:tc>
          <w:tcPr>
            <w:tcW w:w="132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rPr>
              <w:t>22-Mar-2021</w:t>
            </w:r>
          </w:p>
        </w:tc>
        <w:tc>
          <w:tcPr>
            <w:tcW w:w="12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11877551</w:t>
            </w:r>
          </w:p>
        </w:tc>
        <w:tc>
          <w:tcPr>
            <w:tcW w:w="15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23-Jan-2024</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FIXTURE USING AN ISOLATION</w:t>
            </w:r>
          </w:p>
        </w:tc>
        <w:tc>
          <w:tcPr>
            <w:tcW w:w="14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CHAMBER</w:t>
            </w: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DOUBLE ENDED LAMP REFLECTOR</w:t>
            </w:r>
          </w:p>
        </w:tc>
        <w:tc>
          <w:tcPr>
            <w:tcW w:w="1420" w:type="dxa"/>
            <w:vAlign w:val="bottom"/>
            <w:tcBorders>
              <w:right w:val="single" w:sz="8" w:color="auto"/>
            </w:tcBorders>
          </w:tcPr>
          <w:p>
            <w:pPr>
              <w:ind w:left="360"/>
              <w:spacing w:after="0" w:line="175" w:lineRule="exact"/>
              <w:rPr>
                <w:sz w:val="20"/>
                <w:szCs w:val="20"/>
                <w:color w:val="auto"/>
              </w:rPr>
            </w:pPr>
            <w:r>
              <w:rPr>
                <w:rFonts w:ascii="Times New Roman" w:cs="Times New Roman" w:eastAsia="Times New Roman" w:hAnsi="Times New Roman"/>
                <w:sz w:val="16"/>
                <w:szCs w:val="16"/>
                <w:color w:val="auto"/>
              </w:rPr>
              <w:t>29680601</w:t>
            </w:r>
          </w:p>
        </w:tc>
        <w:tc>
          <w:tcPr>
            <w:tcW w:w="1320" w:type="dxa"/>
            <w:vAlign w:val="bottom"/>
            <w:tcBorders>
              <w:right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rPr>
              <w:t>18-Feb-2019</w:t>
            </w:r>
          </w:p>
        </w:tc>
        <w:tc>
          <w:tcPr>
            <w:tcW w:w="12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D904676</w:t>
            </w:r>
          </w:p>
        </w:tc>
        <w:tc>
          <w:tcPr>
            <w:tcW w:w="15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08-Dec-2020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KIT</w:t>
            </w: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gridSpan w:val="4"/>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6"/>
                <w:szCs w:val="16"/>
                <w:color w:val="auto"/>
              </w:rPr>
              <w:t>DOUBLE ENDED LAMP REFLECTOR</w:t>
            </w:r>
          </w:p>
        </w:tc>
        <w:tc>
          <w:tcPr>
            <w:tcW w:w="1420" w:type="dxa"/>
            <w:vAlign w:val="bottom"/>
            <w:tcBorders>
              <w:right w:val="single" w:sz="8" w:color="auto"/>
            </w:tcBorders>
          </w:tcPr>
          <w:p>
            <w:pPr>
              <w:ind w:left="360"/>
              <w:spacing w:after="0" w:line="169" w:lineRule="exact"/>
              <w:rPr>
                <w:sz w:val="20"/>
                <w:szCs w:val="20"/>
                <w:color w:val="auto"/>
              </w:rPr>
            </w:pPr>
            <w:r>
              <w:rPr>
                <w:rFonts w:ascii="Times New Roman" w:cs="Times New Roman" w:eastAsia="Times New Roman" w:hAnsi="Times New Roman"/>
                <w:sz w:val="16"/>
                <w:szCs w:val="16"/>
                <w:color w:val="auto"/>
              </w:rPr>
              <w:t>29761055</w:t>
            </w:r>
          </w:p>
        </w:tc>
        <w:tc>
          <w:tcPr>
            <w:tcW w:w="1320" w:type="dxa"/>
            <w:vAlign w:val="bottom"/>
            <w:tcBorders>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color w:val="auto"/>
              </w:rPr>
              <w:t>07-Dec-2020</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D1022309</w:t>
            </w:r>
          </w:p>
        </w:tc>
        <w:tc>
          <w:tcPr>
            <w:tcW w:w="15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9-Apr-2017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KIT</w:t>
            </w:r>
          </w:p>
        </w:tc>
        <w:tc>
          <w:tcPr>
            <w:tcW w:w="14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23" w:name="page324"/>
    <w:bookmarkEnd w:id="32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DOUBLE ENDED LAMP REFLECTOR</w:t>
            </w:r>
          </w:p>
        </w:tc>
        <w:tc>
          <w:tcPr>
            <w:tcW w:w="1420" w:type="dxa"/>
            <w:vAlign w:val="bottom"/>
            <w:tcBorders>
              <w:top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29562651</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27-Apr-2016</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D847394</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30-Apr-2019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KIT (DE Socket Kit)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EBB AND FLOW WATERING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14275737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12-May-2014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9176503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03-Nov-2015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EBB AND FLOW WATERING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14862821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23-Sep-2015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9901044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27-Feb-2018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ELECTRICAL PLUG HOUSING</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29446133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20-Feb-2013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D726116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07-Apr-2015</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ELECTRICAL PLUG HOUSING</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29520168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11-Mar-2015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D755722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10-May-2016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ELECTRICAL PLUG HOUSING</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29558123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15-Mar-2016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D818438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22-May-2018</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ELECTRONIC CONTROLLER BOX</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29372953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11-Feb-2011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D657748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17-Apr-2012</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ELECTRONIC CONTROLLER BOX</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29372955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11-Feb-2011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D660252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22-May-2012</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EXTERNAL BALLAST FRAME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29418478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17-Apr-2012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D698074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21-Jan-2014</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FERTILIZER SUSPENSION AND</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12401528</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10-Mar-2009</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8110017</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07-Feb-2012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PREPARATION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FERTILIZER SUSPENSION AND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13095744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27-Apr-2011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8197572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12-Jun-2012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PREPARATION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FERTILIZER SUSPENSION AND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13450162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18-Apr-2012</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8361184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29-Jan-2013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PREPARATION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FERTILIZER SUSPENSION AND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13728817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27-Dec-2012</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8568505</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29-Oct-2013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PREPARATION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FERTILIZER SUSPENSION AND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14033119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20-Sep-2013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8864867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21-Oct-2014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PREPARATION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FERTILIZER SUSPENSION AND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14520259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21-Oct-2014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9346717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24-May-2016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 OF PREPARATION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FLORESCENT 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29496420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11-Jul-2014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D757326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FLUORESCENT 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29511663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12-Dec-2014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D757327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FLUORESCENT 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29561608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18-Apr-2016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D785846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02-May-2017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GREENHOUSE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29518836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27-Feb-2015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D757323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HANGER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29457675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12-Jun-2013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D717636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18-Nov-2014</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HANGER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29509534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18-Nov-2014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D789184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13-Jun-2017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HANGER FOR A 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29897034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11-Jul-2023</w:t>
            </w: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HANGER FOR 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29757250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04-Nov-2020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D995888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15-Aug-2023</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HEATER FOR AN INDOOR GROW</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17342692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09-Jun-2021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12,096,734</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24-Sep-2024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FACILITY</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HINGE HOOK</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29434634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15-Oct-2012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D698628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04-Feb-2014</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HORTICULTURAL LIGHTING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29795651</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19-Jun-2021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D980808</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14-Mar-2023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CONTROLLER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HORTICULTURAL LIGHTING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29837884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09-May-2022</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D980173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07-Mar-2023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CONTROLLER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29498795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07-Aug-2014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D750312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23-Feb-2016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29506973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22-Oct-2014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D747029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05-Jan-2016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29518803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27-Feb-2015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D762320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26-Jul-2016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29523707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13-Apr-2015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D773107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29-Nov-2016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29538101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01-Sep-2015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D770081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25-Oct-2016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29538396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03-Sep-2015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D770082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25-Oct-2016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29546471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23-Nov-2015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D769514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18-Oct-2016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29568135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15-Jun-2016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D812282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06-Mar-2018</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29577094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09-Sep-2016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D786486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09-May-2017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29577170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09-Sep-2016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D786487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09-May-2017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29578401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21-Sep-2016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D786489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09-May-2017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29578892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26-Sep-2016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D786491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09-May-2017</w:t>
            </w:r>
          </w:p>
        </w:tc>
      </w:tr>
    </w:tbl>
    <w:p>
      <w:pPr>
        <w:sectPr>
          <w:pgSz w:w="11900" w:h="16838" w:orient="portrait"/>
          <w:cols w:equalWidth="0" w:num="1">
            <w:col w:w="11260"/>
          </w:cols>
          <w:pgMar w:left="320" w:top="1440" w:right="319" w:bottom="1440" w:gutter="0" w:footer="0" w:header="0"/>
        </w:sectPr>
      </w:pPr>
    </w:p>
    <w:bookmarkStart w:id="324" w:name="page325"/>
    <w:bookmarkEnd w:id="3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2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29600307</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11-Apr-2017</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D804710</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05-Dec-2017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29622979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D843641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19-Mar-2019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29623116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D851814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18-Jun-2019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29625315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08-Nov-2017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D848665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14-May-2019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29682706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07-Mar-2019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D879365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24-Mar-2020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29690907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13-May-2019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D897029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22-Sep-2020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29695183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17-Jun-2019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D894471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25-Aug-2020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29709319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14-Oct-2019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D987170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23-May-2023</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29728883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23-Mar-2020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D950833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03-May-2022</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29747521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24-Aug-2020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D952934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24-May-2022</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29751426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21-Sep-2020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D942067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25-Jan-2022</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29824271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24-Jan-2022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D994961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08-Aug-2023</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29837076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02-May-2022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D998229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05-Sep-2023</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HORTICULTURE GROW LIGHT (DE</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29617484</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14-Sep-2017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D843049</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12-Mar-2019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BOSS ETELLIGENT)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29508598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07-Nov-2014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D751244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08-Mar-2016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(EURO MICRO REFLECTOR)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29552189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20-Jan-2016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D783888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11-Apr-2017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(EURO MICRO REFLECTOR)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29590390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10-Jan-2017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D863660</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15-Oct-2019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(ProMag)</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29621500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09-Oct-2017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D843640</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19-Mar-2019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29680587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18-Feb-2019</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D879364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24-Mar-2020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29460230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09-Jul-2013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D745993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22-Dec-2015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29482993</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24-Feb-2014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D731701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09-Jun-2015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29500346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25-Aug-2014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D739595</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22-Sep-2015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29539674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16-Sep-2015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D796727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05-Sep-2017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29526076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06-May-2015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D747538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12-Jan-2016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REFLECTOR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29550426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04-Jan-2016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D775406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27-Dec-2016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REFLECTOR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12082943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16-Apr-2008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7641367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05-Jan-2010</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HORTICULTURE LIGHT FIXTURE</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11679140</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26-Feb-2007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7524090</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28-Apr-2009</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HAVING INTEGRATED LAMP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BALLAST</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HORTICULTURE LIGHT FIXTURE</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12660129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22-Feb-2010</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8322011</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04-Dec-2012</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HAVING INTEGRATED LAMP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BALLAST</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HORTICULTURE LIGHT FIXTURE</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12387432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04-May-2009</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8209912</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03-Jul-2012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WITH GLASS RETENTION RAILS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LIGHTING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29724522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17-Feb-2020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D936276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16-Nov-2021</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CONTROLLER CHASSIS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LIGHTING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29815512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15-Nov-2021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D1023428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16-Apr-2024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CONTROLLER CHASSIS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LIGHTING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29525627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30-Apr-2015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D848,056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07-May-2019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CONTROLLER CHASSIS (New Helios)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25" w:name="page326"/>
    <w:bookmarkEnd w:id="3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LIGHTING</w:t>
            </w:r>
          </w:p>
        </w:tc>
        <w:tc>
          <w:tcPr>
            <w:tcW w:w="1420" w:type="dxa"/>
            <w:vAlign w:val="bottom"/>
            <w:tcBorders>
              <w:top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14696487</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27-Apr-2015</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9839182</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12-Dec-2017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CONTROLLER METHODS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HOUSING FOR A LIGHTING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29769216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04-Feb-2021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D1049468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29-Oct-2024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BALLAST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HOUSING FOR A LIGHTING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29965707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28-Sep-2024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D1087450</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05-Aug-2025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BALLAST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HOUSING FOR A LIGHTING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29965708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28-Sep-2024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D1087451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05-Aug-2025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BALLAST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HYDROPONIC PLANT NUTRIENT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11725687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19-Mar-2007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7861459</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04-Jan-2011</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CIRCULATION/DISTRIBUTION</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INTERCHANGEABLE REFLECTOR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29538477</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03-Sep-2015</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D775405</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27-Dec-2016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INTERCHANGEABLE REFLECTOR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29585608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28-Nov-2016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D797351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12-Sep-2017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INTERCHANGEABLE REFLECTOR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29585616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28-Nov-2016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D797352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12-Sep-2017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INTERCHANGEABLE REFLECTOR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29614941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24-Aug-2017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D822883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10-Jul-2018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INTERCHANGEABLE REFLECTOR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29614946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24-Aug-2017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D831265</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16-Oct-2018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LENS COVER FOR LIGHT FIXTURE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29760168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30-Nov-2020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D936892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23-Nov-2021</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INDOOR GROW APPLICATION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LENS COVER FOR LIGHT FIXTURE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29788118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18-Mar-2021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D945053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01-Mar-2022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INDOOR GROW APPLICATION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LENS COVER FOR LIGHT FIXTURE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29825373</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31-Jan-2022</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D994962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08-Aug-2023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INDOOR GROW APPLICATION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LENS COVER FOR LIGHT FIXTURE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29897038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11-Jul-2023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D1048526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22-Oct-2024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INDOOR GROW APPLICATION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LENS COVER HAVING LENS</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17591257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02-Feb-2022</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11566773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31-Jan-2023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ELEMENT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LENS COVER HAVING LENS</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18161494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30-Jan-2023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12298000</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13-May-2025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ELEMENT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LENS COVER HAVING LENS</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19180327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16-Apr-2025</w:t>
            </w:r>
          </w:p>
        </w:tc>
        <w:tc>
          <w:tcPr>
            <w:tcW w:w="1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ELEMENT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76"/>
        </w:trPr>
        <w:tc>
          <w:tcPr>
            <w:tcW w:w="292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r>
      <w:tr>
        <w:trPr>
          <w:trHeight w:val="217"/>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29496418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11-Jul-2014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D757325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29502094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11-Sep-2014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D732236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16-Jun-2015</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29516347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30-Jan-2015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D793616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01-Aug-2017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29522849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02-Apr-2015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D770079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25-Oct-2016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29523671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13-Apr-2015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D756026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10-May-2016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29524011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15-Apr-2015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D769513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18-Oct-2016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29576115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31-Aug-2016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D804078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28-Nov-2017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29576151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31-Aug-2016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D804079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28-Nov-2017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29577324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12-Sep-2016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D786488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09-May-2017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29578431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21-Sep-2016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D786490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09-May-2017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29583006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01-Nov-2016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D797350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12-Sep-2017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29596622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09-Mar-2017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D802830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14-Nov-2017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29596630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09-Mar-2017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D804708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05-Dec-2017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29599727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06-Apr-2017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D804709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05-Dec-2017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29607232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12-Jun-2017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D837442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01-Jan-2019</w:t>
            </w:r>
          </w:p>
        </w:tc>
      </w:tr>
    </w:tbl>
    <w:p>
      <w:pPr>
        <w:sectPr>
          <w:pgSz w:w="11900" w:h="16838" w:orient="portrait"/>
          <w:cols w:equalWidth="0" w:num="1">
            <w:col w:w="11260"/>
          </w:cols>
          <w:pgMar w:left="320" w:top="1440" w:right="319" w:bottom="1440" w:gutter="0" w:footer="0" w:header="0"/>
        </w:sectPr>
      </w:pPr>
    </w:p>
    <w:bookmarkStart w:id="326" w:name="page327"/>
    <w:bookmarkEnd w:id="32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2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29614821</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23-Aug-2017</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D826467</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29-Aug-2018</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29621363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D826468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21-Aug-2018</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29623160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D873467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21-Jan-2020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29623272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D851804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18-Jun-2019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29623827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D825827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14-Aug-2018</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29623831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D825828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14-Aug-2018</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29623935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D855238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30-Jul-2019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29624120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D871654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31-Dec-2019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29624841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03-Nov-2017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D848663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14-May-2019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29625098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07-Nov-2017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D848664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14-May-2019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29672634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07-Dec-2018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D940381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04-Jan-2022</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29690904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13-May-2019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D897028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22-Sep-2020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29690908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13-May-2019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D894470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25-Aug-2020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29695187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17-Jun-2019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D912877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09-Mar-2021</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29698163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15-Jul-2019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D936275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16-Nov-2021</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29702339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19-Aug-2019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D881445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14-Apr-2020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29718572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26-Dec-2019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D895891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08-Sep-2020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29721288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20-Jan-2020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D912878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09-Mar-2021</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29728120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16-Mar-2020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D933872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19-Oct-2021</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29731156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13-Apr-2020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D904674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08-Dec-2020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29747523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24-Aug-2020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D995886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15-Aug-2023</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29749549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07-Sep-2020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D996696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22-Aug-2023</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29751423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21-Sep-2020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D985181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02-May-2023</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29761051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07-Dec-2020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D951525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10-May-2022</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29767690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25-Jan-2021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D1029337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28-May-2024</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29809494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28-Sep-2021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D972188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06-Dec-2022</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29837788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09-May-2022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D1050562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05-Nov-2024</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29856580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14-Oct-2022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D1002917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24-Oct-2023</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29966954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07-Oct-2024</w:t>
            </w: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(AC/DE Fusion)</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29550597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05-Jan-2016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D780985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07-Mar-2017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(AC/DE Fusion)</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29591679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23-Jan-2017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D804706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05-Dec-2017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(LEC 315 AC)</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29612009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27-Jul-2017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D839,471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29-Jan-2019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(LEC 315 AC)</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29673857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18-Dec-2018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D857285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20-Aug-2019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(LEC 630 AC)</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29550803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07-Jan-2016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D780986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07-Mar-2017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(LEC 630 AC)</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29593770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13-Feb-2017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D804707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05-Dec-2017</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(LEC INNER SUN-</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29542729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16-Oct-2015</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D788361</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30-May-2017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LEC 315 Canadian)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(LEC INNER SUN-</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29600316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12-Apr-2017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D854235</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16-Jul-2019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LEC 315 Canadian)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(Sun System Par Pro</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29623412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25-Oct-2017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D842532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05-Mar-2019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SE Boss (for Hyper Arc) P1318)</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FOR INDOOR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16820090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16-Mar-2020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11032976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15-Jun-2021</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COMPONENTS THEREOF</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FOR INDOOR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17668021</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09-Feb-2022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11564359</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31-Jan-2023</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COMPONENTS THEREOF</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FOR INDOOR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18161510</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30-Jan-2023</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12069994</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27-Aug-2024</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COMPONENTS THEREOF</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1260"/>
          </w:cols>
          <w:pgMar w:left="320" w:top="1440" w:right="319" w:bottom="1440" w:gutter="0" w:footer="0" w:header="0"/>
        </w:sectPr>
      </w:pPr>
    </w:p>
    <w:bookmarkStart w:id="327" w:name="page328"/>
    <w:bookmarkEnd w:id="32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FOR INDOOR</w:t>
            </w:r>
          </w:p>
        </w:tc>
        <w:tc>
          <w:tcPr>
            <w:tcW w:w="1420" w:type="dxa"/>
            <w:vAlign w:val="bottom"/>
            <w:tcBorders>
              <w:top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18760489</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01-Jul-2024</w:t>
            </w:r>
          </w:p>
        </w:tc>
        <w:tc>
          <w:tcPr>
            <w:tcW w:w="126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spacing w:after="0"/>
              <w:rPr>
                <w:sz w:val="16"/>
                <w:szCs w:val="16"/>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COMPONENTS THEREOF</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FOR INDOOR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17314049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07-May-2021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11277974</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22-Mar-2022</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 INCLUDING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6"/>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HOUSING THAT DEFINES A</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PASSAGEWAY</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HAVING A HEAT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29728118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16-Mar-2020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D933881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19-Oct-2021</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SINK</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INCLUDING A</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19013430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08-Jan-2025</w:t>
            </w:r>
          </w:p>
        </w:tc>
        <w:tc>
          <w:tcPr>
            <w:tcW w:w="1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FOR A BALLAST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INCLUDING A</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29769199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04-Feb-2021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D1049466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29-Oct-2024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FOR A BALLAST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INCLUDING A</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18877278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20-Dec-2024</w:t>
            </w:r>
          </w:p>
        </w:tc>
        <w:tc>
          <w:tcPr>
            <w:tcW w:w="1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LENS COVER HAVING A PARYLENE</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COATING</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INCLUDING A PAIR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29809496</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28-Sep-2021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D993486</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25-Jul-2023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OF HOUSINGS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INCLUDING A PAIR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29897330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13-Jul-2023</w:t>
            </w:r>
          </w:p>
        </w:tc>
        <w:tc>
          <w:tcPr>
            <w:tcW w:w="1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OF HOUSINGS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INCLUDING HEAT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29822398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08-Jan-2022</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D1097294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07-Oct-2025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SINK AND ELONGATED DRIVER</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INCLUDING HEAT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29822399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08-Jan-2022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D1049454</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29-Oct-2025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SINK AND ELONGATED DRIVER</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HOUSINGS</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INCLUDING HEAT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18723416</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22-Jun-2024</w:t>
            </w: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SINK FOR SUPPORTING LIGHTING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MODULE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INCLUDING HEAT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19149625</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21-Jul-2025</w:t>
            </w: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SINK FOR SUPPORTING LIGHTING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MODULE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 FIXTURE INCLUDING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17396210</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06-Aug-2021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11988358</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21-May-2024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FOR BALLAST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LIGHT FIXTURE INCLUDING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18645776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25-Apr-2024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12222085</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11-Feb-2025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FOR BALLAST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WITH LIGHT BARS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29816429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22-Nov-2021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D1018946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19-Mar-2024</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HANGER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14871811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30-Sep-2015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9468288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18-Oct-2016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REFLECTOR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29523998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15-Apr-2015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D768910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11-Oct-2016</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REFLECTOR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29624824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03-Nov-2017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D848662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14-May-2019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REFLECTOR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29690903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13-May-2019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D879366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24-Mar-2020</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REFLECTOR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29728885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23-Mar-2020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D987168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23-May-2023</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LIGHTING SYSTEM FOR INDOOR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17536653</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29-Nov-2021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11388806</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12-Jul-2022</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LIGHTING FIXTURES THEREOF</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LIGHTING SYSTEM FOR INDOOR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17840942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15-Jun-2022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11716804</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01-Aug-2023</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LIGHTING FIXTURES THEREOF</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LOW PROFILE LIGHT FIXTURE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29757484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06-Nov-2020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D982803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04-Apr-2023</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MODULAR PORTABLE LIGHT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29509639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19-Nov-2014</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D786492</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09-May-2017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HANGER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MODULAR PORTABLE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29596466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08-Mar-2017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D853624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09-Jul-2019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HANGER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MODULAR PORTABLE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29596485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08-Mar-2017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D854232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16-Jul-2019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HANGER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28" w:name="page329"/>
    <w:bookmarkEnd w:id="32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MODULAR PORTABLE STAND (Fast</w:t>
            </w:r>
          </w:p>
        </w:tc>
        <w:tc>
          <w:tcPr>
            <w:tcW w:w="1420" w:type="dxa"/>
            <w:vAlign w:val="bottom"/>
            <w:tcBorders>
              <w:top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29562014</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21-Apr-2016</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D836955</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01-Jan-2019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MULTIPLE CELL TRAY WITH MEDIA</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14850928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10-Sep-2015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10477780</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19-Nov-2019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PLUGS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MULTIPLE CELL TRAY WITH MEDIA</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16687772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19-Nov-2019</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11266077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08-Mar-2022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PLUGS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ONBOARD CONTROLLER FOR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17536651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29-Nov-2021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11549672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10-Jan-2023</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FOR INDOOR</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 ACTIVATOR COMPOSITION</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15429794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10-Feb-2017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10287609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14-May-2019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 ACTIVATOR COMPOSITION</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16279592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19-Feb-2019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10612046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07-Apr-2020</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PLANT FERTILIZER COMPOSITIONS</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13188449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21-Jul-2011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9073798</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07-Jul-2015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AND RELATED METHODS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PLANTER CELL</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29517591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13-Feb-2015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D758916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14-Jun-2016</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PNEUMATIC LIQUID NUTRIENT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11141799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31-May-2005</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7565765</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28-Jul-2009</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DISPENSING ASSEMBLY FOR</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HYDROPONICALLY CULTIVATED</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POWER AND COMMUNICATION</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16870072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08-May-2020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11019699</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25-May-2021</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ADAPTER FOR LIGHTING SYSTEM</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INDOOR GROW APPLICATION</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REAR COMPONENT OF A</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29689952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03-May-2019</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D876003</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18-Feb-2020</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LIGHTING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CONTROLLER CHASSIS</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REMOTE BALLAST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29593783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13-Feb-2017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D835037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04-Dec-2018</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SEALED OPTICS AIR COOLED</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29621524</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09-Oct-2017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D854229</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16-Jul-2019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LIGHT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SELECTING AND MIXING PLANT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12507596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22-Jul-2009</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8425647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23-Apr-2013</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FERTILIZER COMPONENTS BASED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ON COLOR</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SELECTING AND MIXING PLANT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13450216</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18-Apr-2012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9150460</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06-Oct-2015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FERTILIZER COMPONENTS BASED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ON COLOR</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SHOP LIGHT FIXTURE (TEK PRO)</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29559271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25-Mar-2016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D791999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11-Jul-2017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SHOP LIGHT FIXTURE (TEK PRO)</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29606198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02-Jun-2017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D908944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26-Jan-2021</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SOIL SENSOR AND METHODS</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18505920</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09-Nov-2023</w:t>
            </w: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THEREOF</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THREE-PART PLANT NUTRIENT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14245906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04-Apr-2014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9221721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29-Dec-2015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THREE-PART PLANT NUTRIENT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14978052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22-Dec-2015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10047016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14-Aug-2018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THREE-PART PLANT NUTRIENT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16100299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10-Aug-2018</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10562826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18-Feb-2020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THREE-PART PLANT NUTRIENT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16792391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17-Feb-2020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10968143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06-Apr-2021</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TRAY</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29563421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04-May-2016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D792277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18-Jul-2017</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TRAY</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29606309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02-Jun-2017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D851,539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18-Jun-2019</w:t>
            </w:r>
          </w:p>
        </w:tc>
      </w:tr>
      <w:tr>
        <w:trPr>
          <w:trHeight w:val="223"/>
        </w:trPr>
        <w:tc>
          <w:tcPr>
            <w:tcW w:w="2920" w:type="dxa"/>
            <w:vAlign w:val="bottom"/>
            <w:tcBorders>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TRAY</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29695189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17-Jun-2019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D920152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25-May-2021</w:t>
            </w:r>
          </w:p>
        </w:tc>
      </w:tr>
      <w:tr>
        <w:trPr>
          <w:trHeight w:val="175"/>
        </w:trPr>
        <w:tc>
          <w:tcPr>
            <w:tcW w:w="2920" w:type="dxa"/>
            <w:vAlign w:val="bottom"/>
            <w:tcBorders>
              <w:left w:val="single" w:sz="8" w:color="auto"/>
              <w:right w:val="single" w:sz="8" w:color="auto"/>
            </w:tcBorders>
          </w:tcPr>
          <w:p>
            <w:pPr>
              <w:ind w:left="1100"/>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UNIVERSAL ADAPTER FOR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16937390</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23-Jul-2020</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11277894</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15-Mar-2022</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LIGHTING SYSTEM FOR INDOOR</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APPLICATION</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1260"/>
          </w:cols>
          <w:pgMar w:left="320" w:top="1440" w:right="319" w:bottom="1440" w:gutter="0" w:footer="0" w:header="0"/>
        </w:sectPr>
      </w:pPr>
    </w:p>
    <w:bookmarkStart w:id="329" w:name="page330"/>
    <w:bookmarkEnd w:id="32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VAPOR PRESSURE DEFICIT SENSOR</w:t>
            </w:r>
          </w:p>
        </w:tc>
        <w:tc>
          <w:tcPr>
            <w:tcW w:w="142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18505938</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09-Nov-2023</w:t>
            </w:r>
          </w:p>
        </w:tc>
        <w:tc>
          <w:tcPr>
            <w:tcW w:w="1260" w:type="dxa"/>
            <w:vAlign w:val="bottom"/>
            <w:tcBorders>
              <w:top w:val="single" w:sz="8" w:color="auto"/>
              <w:bottom w:val="single" w:sz="8" w:color="auto"/>
              <w:right w:val="single" w:sz="8" w:color="auto"/>
            </w:tcBorders>
          </w:tcPr>
          <w:p>
            <w:pPr>
              <w:spacing w:after="0"/>
              <w:rPr>
                <w:sz w:val="20"/>
                <w:szCs w:val="20"/>
                <w:color w:val="auto"/>
              </w:rPr>
            </w:pPr>
          </w:p>
        </w:tc>
        <w:tc>
          <w:tcPr>
            <w:tcW w:w="1540" w:type="dxa"/>
            <w:vAlign w:val="bottom"/>
            <w:tcBorders>
              <w:top w:val="single" w:sz="8" w:color="auto"/>
              <w:bottom w:val="single" w:sz="8" w:color="auto"/>
              <w:right w:val="single" w:sz="8" w:color="auto"/>
            </w:tcBorders>
          </w:tcPr>
          <w:p>
            <w:pPr>
              <w:spacing w:after="0"/>
              <w:rPr>
                <w:sz w:val="20"/>
                <w:szCs w:val="20"/>
                <w:color w:val="auto"/>
              </w:rPr>
            </w:pP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VENT PANEL</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29787846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09-Jun-2021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D1030031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04-Jun-2024</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HGCI,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VERTICALLY DISPOSED HID LAMP</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13533189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26-Jun-2012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9335038</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10-May-2016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AIR COOLED HORTICULTURE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14662706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19-Mar-2015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9752766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05-Sep-2017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LIGHTING 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AIR COOLED HORTICULTURE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14665381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23-Mar-2015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9750199</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05-Sep-2017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LIGHTING 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AIR COOLED HORTICULTURE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15690630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30-Aug-2017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9888633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13-Feb-2018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LIGHTING FIXTURE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AIR COOLED HORTICULTURE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13945794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18-Jul-2013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9016907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28-Apr-2015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LIGHTING FIXTURE FOR A DOUBLE</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6"/>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ENDED HIGH PRESSURE SODIUM</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LAMP</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AIR COOLED HORTICULTURE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15691304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30-Aug-2017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9903578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27-Feb-2018</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LIGHTING FIXTURE FOR A DOUBLE</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ENDED HIGH PRESSURE SODIUM</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LAMP</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CORNER JOINT FOR MODULAR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14750829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25-Jun-2015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9615657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11-Apr-2017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PORTABLE STAND</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29483665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28-Feb-2014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D732233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16-Jun-2015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FIXTURE (Agrotech Magnum 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29526561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11-May-2015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D747825</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19-Jan-2016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FIXTURE (Agrotech Magnum 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MODULAR PORTABLE STAND (Fast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14269619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05-May-2014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9084478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21-Jul-2015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HGCI, Inc.; 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TRAY STAND (Fast Fit)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13136657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08-Aug-2011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8714498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06-May-2014</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BALLAST HANGING BRACKET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29533943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23-Jul-2015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D789595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13-Jun-2017</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DOUBLE ENDED LAMP REFLECTOR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29481879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11-Feb-2014</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D758646</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07-Jun-2016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KIT (DE Socket Kit)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HANGING BRACKET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29572371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27-Jul-2016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D779312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21-Feb-2017</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29531242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24-Jun-2015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D770670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01-Nov-2016</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29538398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03-Sep-2015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D770671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01-Nov-2016</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29572282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26-Jul-2016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D781492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14-Mar-2017</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29593778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13-Feb-2017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D802829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14-Nov-2017</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29596812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10-Mar-2017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D802831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14-Nov-2017</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29621531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D826469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21-Aug-2018</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29621534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D825096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07-Aug-2018</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29511535</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11-Dec-2014</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D751245</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08-Mar-2016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(Magnum Low Pro XXXL)</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29552185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20-Jan-2016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D783887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11-Apr-2017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(Magnum Low Pro XXXL)</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29600276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11-Apr-2017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D811647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27-Feb-2018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(Magnum Low Pro XXXL)</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 (non-</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29498791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07-Aug-2014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D732235</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16-Jun-2015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ac dominator 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 (non-</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29526565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11-May-2015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D792635</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18-Jul-2017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ac dominator 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29492971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04-Jun-2014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D779703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21-Feb-2017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(ProMag)</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29604376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17-May-2017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D822882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10-Jul-2018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(SunlLIGHT)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29477993</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30-Dec-2013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D737498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25-Aug-2015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FIXTURE (AC/DE)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30" w:name="page331"/>
    <w:bookmarkEnd w:id="33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top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29500428</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25-Aug-2014</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D771301</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08-Nov-2016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FIXTURE (AC/DE)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29579733</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03-Oct-2016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D802828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14-Nov-2017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FIXTURE (AC/DE)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29458595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20-Jun-2013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D698987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04-Feb-2014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(AC/DE)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29451028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27-Mar-2013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D698986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04-Feb-2014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(Epic/Magnum)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29478005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30-Dec-2013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D736450</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11-Aug-2015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(Epic/Magnum)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29534411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28-Jul-2015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D751247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08-Mar-2016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(Epic/Magnum)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29534985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03-Aug-2015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D750316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23-Feb-2016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(Epic/Magnum)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HORTICULTURE GROW LIGHT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29552188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20-Jan-2016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D775760</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03-Jan-2017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HOUSING (Epic/Magnum)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(Apex Magnum-BOB)</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29514148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08-Jan-2015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D757346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24-May-2016</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(Apex Magnum-BOB)</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29563694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06-May-2016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D814687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03-Apr-2018</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(DE BOSS)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29492972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04-Jun-2014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D740486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06-Oct-2015</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LIGHT FIXTURE (LEC 315 AC)</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29567137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06-Jun-2016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D796728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05-Sep-2017</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REMOTE BALLAST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29527564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20-May-2015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D780691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07-Mar-2017</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SEALED OPTICS AIR COOLED</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29493634</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11-Jun-2014</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D748849</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02-Feb-2016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LIGHT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SEALED OPTICS AIR COOLED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29550672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06-Jan-2016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D802826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14-Nov-2017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LIGHT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SEALED OPTICS AIR COOLED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29591795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24-Jan-2017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D797353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12-Sep-2017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LIGHT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SEALED OPTICS AIR COOLED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29615132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25-Aug-2017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D825826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14-Aug-2018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 LIGHT</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SHOP LIGHT FIXTURE (TEK PRO)</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29483617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28-Feb-2014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D756016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10-May-2016</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IP Holdings,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TRAY STAND (Fast Fit)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29509634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19-Nov-2014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D756690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24-May-2016</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A DOSING SPOON AND HOLDING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29495286</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30-Jun-2014</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D744640</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01-Dec-2015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CLIP ASSEMBLY</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ANIMAL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29365929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16-Jul-2010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D671186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20-Nov-2012</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ANIMAL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29365930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16-Jul-2010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D671614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27-Nov-2012</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ANIMAL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29471413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31-Oct-2013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D713488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16-Sep-2014</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ANIMAL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29472284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11-Nov-2013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D713489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16-Sep-2014</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ANIMAL TRAP WITH COLLAPSIBLE</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12838092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16-Jul-2010</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8490322</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23-Jul-2013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APPLICATOR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29386483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01-Mar-2011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D670982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20-Nov-2012</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APPLICATOR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29475913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09-Dec-2013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D736577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18-Aug-2015</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APPLICATOR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29532941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13-Jul-2015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D779898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28-Feb-2017</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APPLICATOR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29591145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17-Jan-2017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D797529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19-Sep-2017</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APPLICATOR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29612989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07-Aug-2017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D852593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02-Jul-2019</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APPLICATOR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29674494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21-Dec-2018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D864679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29-Oct-2019</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APPLICATOR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29710832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25-Oct-2019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D999033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19-Sep-2023</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APPLICATOR WITH COLLAPSIBLE</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15828079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30-Nov-2017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10022742</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17-Jul-2018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WAND</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APPLICATOR WITH COLLAPSIBLE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16036501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16-Jul-2018</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11338313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24-May-2022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WAND</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APPLICATOR WITH COLLAPSIBLE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17747182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18-May-2022</w:t>
            </w:r>
          </w:p>
        </w:tc>
        <w:tc>
          <w:tcPr>
            <w:tcW w:w="1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WAND</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31" w:name="page332"/>
    <w:bookmarkEnd w:id="33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2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ATTRACTANTS FOR MICE</w:t>
            </w:r>
          </w:p>
        </w:tc>
        <w:tc>
          <w:tcPr>
            <w:tcW w:w="142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16401673</w:t>
            </w:r>
          </w:p>
        </w:tc>
        <w:tc>
          <w:tcPr>
            <w:tcW w:w="132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02-May-2019</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12207642</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28-Jan-2025</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ATTRACTANTS FOR RATS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16060573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08-Jun-2018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11185067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30-Nov-2021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ATTRACTANTS FOR RATS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17534446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05-Oct-2020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11666049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06-Jun-2023</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ATTRACTANTS FOR RODENTS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16302900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19-Nov-2018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11185077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30-Nov-2021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CARTRIDGE SPREADER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12347752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31-Dec-2008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8757521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24-Jun-2014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CARTRIDGE SPREADER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12939592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04-Nov-2010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8757519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24-Jun-2014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CARTRIDGE SPREADER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13453888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23-Apr-2012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8382014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26-Feb-2013</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CARTRIDGE SPREADER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13616020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14-Sep-2012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8888026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18-Nov-2014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CARTRIDGE SPREADER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13629964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28-Sep-2012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8757520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24-Jun-2014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CARTRIDGE SPREADER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14311710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23-Jun-2014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9307691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12-Apr-2016</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COATED SEEDS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14158424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17-Jan-2014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9353019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31-May-2016</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COLLAPSIBLE 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11036689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14-Jan-2005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7837073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23-Nov-2010</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COMBINED OUTER SHELL AND</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29433259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27-Sep-2012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D721613</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27-Jan-2015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INTERNAL PLUG FOR A PLANTING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COMPOSITION AND METHOD FOR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11805655</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24-May-2007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7776125</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17-Aug-2010</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INHIBITING CAKING IN A UREA</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CONTAINING FERTILIZER</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COMPOSITIONS AND METHODS</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17207009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19-Mar-2021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11672250</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13-Jun-2023</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FORMULATING MOLTEN</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6"/>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PETROLEUM ADJUVANTS TO</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IMPROVE HERBICIDAL UP-TAKE IN</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WEED PLANTS</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COMPRESSED COCONUT COIR PITH</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12749222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29-Mar-2010</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8024890</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27-Sep-2011</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GRANULES AND METHODS FOR</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6"/>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THE PRODUCTION AND USE</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THEREOF</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COMPRESSED COCONUT COIR PITH</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13191049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26-Jul-2011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8429849</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30-Apr-2013</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GRANULES AND METHODS FOR</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THE PRODUCTION AND USE</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THEREOF</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CONTROLLED-RELEASE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16893360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04-Jun-2020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11440856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13-Sep-2022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FERTILIZER 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CONTROLLED-RELEASE</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16893362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04-Jun-2020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12371393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29-Jul-2025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FERTILIZER 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DISPENSING APPARATUS WITH</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11173430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01-Jul-2005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7854357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21-Dec-2010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LOCKING CAP</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DISPENSING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29452264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15-Apr-2013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D716144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28-Oct-2014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DOSING SPOON</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29400948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02-Sep-2011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D708318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01-Jul-2014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DUAL ROTOR SPREADER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16488004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22-Aug-2019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11490561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08-Nov-2022</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ELECTRONIC BAIT STATION</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15534446</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08-Jun-2017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10791728</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06-Oct-2020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MONITORING 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ELECTRONIC BAIT STATION</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17063093</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05-Oct-2020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11825831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28-Nov-2023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MONITORING 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FERTILIZER COMPOSITIONS</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16393164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24-Apr-2019</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11091404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17-Aug-2021</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HAVING SLOW-RELEASE NITROGEN</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COMPOUNDS AND METHODS OF</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FORMING THEREOF</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FERTILIZER COMPOSITIONS</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17207538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19-Mar-2021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11905223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20-Feb-2024</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HAVING SLOW-RELEASE NITROGEN</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COMPOUNDS AND METHODS OF</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FORMING THEREOF</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32" w:name="page333"/>
    <w:bookmarkEnd w:id="33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FERTILIZER COMPOSITIONS</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17403475</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16-Aug-2021</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12180124</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31-Dec-2024</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HAVING SLOW-RELEASE NITROGEN</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COMPOUNDS AND METHODS OF</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FORMING THEREOF</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FLUID PUMP</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18706768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02-May-2024</w:t>
            </w:r>
          </w:p>
        </w:tc>
        <w:tc>
          <w:tcPr>
            <w:tcW w:w="12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GLUFOSINATE RESISTANCE</w:t>
            </w:r>
          </w:p>
        </w:tc>
        <w:tc>
          <w:tcPr>
            <w:tcW w:w="14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17/484977</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24-Sep-2021</w:t>
            </w: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CASSETTES AND PLANTS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COMPRISING THE SAME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GLUFOSINATE RESISTANCE</w:t>
            </w:r>
          </w:p>
        </w:tc>
        <w:tc>
          <w:tcPr>
            <w:tcW w:w="14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17484977</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24-Sep-2021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11920141</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05-Mar-2024</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CASSETTES AND PLANTS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COMPRISING THE SAME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GRANULAR AGRICULTURAL</w:t>
            </w:r>
          </w:p>
        </w:tc>
        <w:tc>
          <w:tcPr>
            <w:tcW w:w="14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17460073</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27-Aug-2021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12100993</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18-Jun-2024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GRANULAR TURF SAFE</w:t>
            </w:r>
          </w:p>
        </w:tc>
        <w:tc>
          <w:tcPr>
            <w:tcW w:w="1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11487774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17-Jul-2006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8114426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14-Feb-2012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MESOTRIONE 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GRANULAR TURF SAFE</w:t>
            </w:r>
          </w:p>
        </w:tc>
        <w:tc>
          <w:tcPr>
            <w:tcW w:w="1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13279467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24-Oct-2011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8293259</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23-Oct-2012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MESOTRIONE 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GRANULAR TURF SAFE</w:t>
            </w:r>
          </w:p>
        </w:tc>
        <w:tc>
          <w:tcPr>
            <w:tcW w:w="1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13656008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19-Oct-2012</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8858973</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14-Oct-2014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MESOTRIONE 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GRANULAR TURF SAFE</w:t>
            </w:r>
          </w:p>
        </w:tc>
        <w:tc>
          <w:tcPr>
            <w:tcW w:w="1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14485106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12-Sep-2014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9554574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31-Jan-2017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MESOTRIONE 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GRANULAR TURF SAFE</w:t>
            </w:r>
          </w:p>
        </w:tc>
        <w:tc>
          <w:tcPr>
            <w:tcW w:w="1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15418221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27-Jan-2017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10098348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16-Oct-2018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MESOTRIONE 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GRANULAR TURF SAFE</w:t>
            </w:r>
          </w:p>
        </w:tc>
        <w:tc>
          <w:tcPr>
            <w:tcW w:w="1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90019884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17-Jul-2006</w:t>
            </w:r>
          </w:p>
        </w:tc>
        <w:tc>
          <w:tcPr>
            <w:tcW w:w="1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MESOTRIONE COMPOSITIONS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HAND-HELD SPREADER</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29672819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10-Dec-2018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D916569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20-Apr-2021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HAND-HELD SPREADER</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29779328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19-Apr-2021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D938239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14-Dec-2021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HAND-HELD SPREADER</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29819058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13-Dec-2021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D968917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08-Nov-2022</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HAND-HELD SPREADER</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29859221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08-Nov-2022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D1012638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30-Jan-2024</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HERBICIDE COMPOSITIONS AND</w:t>
            </w:r>
          </w:p>
        </w:tc>
        <w:tc>
          <w:tcPr>
            <w:tcW w:w="14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17079457</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24-Oct-2020</w:t>
            </w: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FOR FORMULATING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USING THE SAME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HOSE-END SPREADER</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17604071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15-Oct-2021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12064782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20-Aug-2024</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HYBRID VARIETY OF (TEXAS</w:t>
            </w:r>
          </w:p>
        </w:tc>
        <w:tc>
          <w:tcPr>
            <w:tcW w:w="14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11208473</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19-Aug-2005</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PP18439</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15-Jan-2008</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BLUEGRASS AND KENTUCKY</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BLUEGRASS) X KENTUCKY</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BLUEGRASS DESIGNATED HB-329</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HYBRID VARIETY OF (TEXAS</w:t>
            </w:r>
          </w:p>
        </w:tc>
        <w:tc>
          <w:tcPr>
            <w:tcW w:w="1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11506027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17-Aug-2006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PP18934</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17-Jun-2008</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BLUEGRASS X KENTUCKY</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BLUEGRASS) X KENTUCKY</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BLUEGRASS DESIGNATED 'HB 328'</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HYBRID VARIETY OF TEXAS X</w:t>
            </w:r>
          </w:p>
        </w:tc>
        <w:tc>
          <w:tcPr>
            <w:tcW w:w="1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11197945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05-Aug-2005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PP18467</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29-Jan-2008</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KENTUCKY BLUEGRASS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DESIGNATED "HB 129'</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HYBRID VARIETY OF TEXAS X</w:t>
            </w:r>
          </w:p>
        </w:tc>
        <w:tc>
          <w:tcPr>
            <w:tcW w:w="14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11483919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10-Jul-2006</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PP21192</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10-Aug-2010</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KENTUCKY BLUGRASS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DESIGNATED HB 130</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HYDRAULIC MIXING DEVICE FOR</w:t>
            </w:r>
          </w:p>
        </w:tc>
        <w:tc>
          <w:tcPr>
            <w:tcW w:w="14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13794228</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11-Mar-2013</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9079142</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14-Jul-2015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SPRAYER 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HYDROPONIC GROWING 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15724163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03-Oct-2017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10856479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08-Dec-2020</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HYDROPONIC GROWING 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16689636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20-Nov-2019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11503783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22-Nov-2022</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HYDROPONIC GROWING 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17113327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07-Dec-2020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11690334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04-Jul-2023</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HYDROPONIC PLANTER</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29904453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06-Oct-2023</w:t>
            </w: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1260"/>
          </w:cols>
          <w:pgMar w:left="320" w:top="1440" w:right="319" w:bottom="1440" w:gutter="0" w:footer="0" w:header="0"/>
        </w:sectPr>
      </w:pPr>
    </w:p>
    <w:bookmarkStart w:id="333" w:name="page334"/>
    <w:bookmarkEnd w:id="33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2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HYDROPONIC SYSTEM</w:t>
            </w:r>
          </w:p>
        </w:tc>
        <w:tc>
          <w:tcPr>
            <w:tcW w:w="142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29670949</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21-Nov-2018</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D899299</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20-Oct-2020</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HYDROPONIC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29755189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19-Oct-2020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D926627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03-Aug-2021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HYDROPONIC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29801910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02-Aug-2021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D1000313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03-Oct-2023</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INDOOR GARDENING APPLIANCE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29292564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17-Oct-2007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D604196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 Nov-2009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INDOOR GARDENING APPLIANCE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29293343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 Nov-2007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D604197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 Nov-2009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INDOOR GROWING UNIT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29434848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17-Oct-2012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D713284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16-Sep-2014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INDOOR GROWING UNIT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29445794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15-Feb-2013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D729115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12-May-2015</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INTERNAL PLUG FOR A PLANTING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29422347</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18-May-2012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D683260</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28-May-2013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IRON-SUPPLEMENTED FERTILIZER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16083660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10-Sep-2018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11208360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28-Dec-2021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IRON-SUPPLEMENTED FERTILIZER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17562177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27-Dec-2021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11905225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20-Feb-2024</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LED PANEL FOR A HYDROPONIC</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29988267</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31-Jan-2025</w:t>
            </w: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LIGNOSULFONATE COATED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16093172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12-Oct-2018</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10745602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18-Aug-2020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CALCIUM CHLORIDE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LIGNOSULFONATE COATED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16994840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17-Aug-2020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11345838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31-May-2022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CALCIUM CHLORIDE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LIQUID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29449014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14-Mar-2013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D761116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12-Jul-2016</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LIQUID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29537264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2015-08-24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D770903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2016-11-08</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LIQUID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29579366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29-Sep-2016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D818827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29-May-2018</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LIQUID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29646000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01-May-2018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D842702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12-Mar-2019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LIQUID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29682395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05-Mar-2019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D867142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19-Nov-2019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LIQUID SPRAYER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29449646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15-Mar-2013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D708301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01-Jul-2014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LIVE CATCH RODENT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11564366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29-Nov-2006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7458182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02-Dec-2008</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METHOD FOR PREPARING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13612341</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12-Sep-2012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9198413</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01-Dec-2015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GRANULAR WEED CONTROL</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PRODUCTS HAVING IMPROVED</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DISTRIBUTION OF</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AGRICULTURALLY ACTIVE</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INGREDIENTS COATED THEREON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METHODS FOR PREPARING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11906894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04-Oct-2007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8288320</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16-Oct-2012</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GRANULAR WEED CONTROL</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PRODUCTS HAVING IMPROVED</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DISTRIBUTION OF</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6"/>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AGRICULTURALLY ACTIVE</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INGREDIENTS COATED THEREON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METHODS FOR THE PRODUCTION</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11977233</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24-Oct-2007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9155306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13-Oct-2015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OF GRANULAR COMPOSITE</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PESTICIDAL COMPOSITIONS AND</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 COMPOSITIONS PRODUCED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THEREBY</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METHODS FOR TREATING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12154105</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20-May-2008</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8790673</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29-Jul-2014</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ARTHROPODS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METHODS FOR TREATING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14336726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21-Jul-2014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10299481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28-May-2019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ARTHROPODS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METHODS FOR TREATING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14336726</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21-Jul-2014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10299481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28-May-2019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ARTHROPODS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METHODS FOR TREATING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16422515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24-May-2019</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12349678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08-Jul-2025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ARTHROPODS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34" w:name="page335"/>
    <w:bookmarkEnd w:id="33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FOR TREATING</w:t>
            </w:r>
          </w:p>
        </w:tc>
        <w:tc>
          <w:tcPr>
            <w:tcW w:w="1420" w:type="dxa"/>
            <w:vAlign w:val="bottom"/>
            <w:tcBorders>
              <w:top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17469128</w:t>
            </w:r>
          </w:p>
        </w:tc>
        <w:tc>
          <w:tcPr>
            <w:tcW w:w="13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08-Sep-2021</w:t>
            </w:r>
          </w:p>
        </w:tc>
        <w:tc>
          <w:tcPr>
            <w:tcW w:w="1260" w:type="dxa"/>
            <w:vAlign w:val="bottom"/>
            <w:tcBorders>
              <w:top w:val="single" w:sz="8" w:color="auto"/>
              <w:right w:val="single" w:sz="8" w:color="auto"/>
            </w:tcBorders>
          </w:tcPr>
          <w:p>
            <w:pPr>
              <w:spacing w:after="0"/>
              <w:rPr>
                <w:sz w:val="16"/>
                <w:szCs w:val="16"/>
                <w:color w:val="auto"/>
              </w:rPr>
            </w:pPr>
          </w:p>
        </w:tc>
        <w:tc>
          <w:tcPr>
            <w:tcW w:w="1540" w:type="dxa"/>
            <w:vAlign w:val="bottom"/>
            <w:tcBorders>
              <w:top w:val="single" w:sz="8" w:color="auto"/>
              <w:right w:val="single" w:sz="8" w:color="auto"/>
            </w:tcBorders>
          </w:tcPr>
          <w:p>
            <w:pPr>
              <w:spacing w:after="0"/>
              <w:rPr>
                <w:sz w:val="16"/>
                <w:szCs w:val="16"/>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GROWING MEDIA CONTAINING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PERSISTENT HERBICIDES</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METHODS OF MONITORING AND</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13548319</w:t>
            </w:r>
          </w:p>
        </w:tc>
        <w:tc>
          <w:tcPr>
            <w:tcW w:w="1320" w:type="dxa"/>
            <w:vAlign w:val="bottom"/>
            <w:tcBorders>
              <w:right w:val="single" w:sz="8" w:color="auto"/>
            </w:tcBorders>
          </w:tcPr>
          <w:p>
            <w:pPr>
              <w:ind w:left="260"/>
              <w:spacing w:after="0" w:line="175" w:lineRule="exact"/>
              <w:rPr>
                <w:sz w:val="20"/>
                <w:szCs w:val="20"/>
                <w:color w:val="auto"/>
              </w:rPr>
            </w:pPr>
            <w:r>
              <w:rPr>
                <w:rFonts w:ascii="Times New Roman" w:cs="Times New Roman" w:eastAsia="Times New Roman" w:hAnsi="Times New Roman"/>
                <w:sz w:val="16"/>
                <w:szCs w:val="16"/>
                <w:color w:val="auto"/>
              </w:rPr>
              <w:t>13-Jul-2012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9137990</w:t>
            </w:r>
          </w:p>
        </w:tc>
        <w:tc>
          <w:tcPr>
            <w:tcW w:w="1540" w:type="dxa"/>
            <w:vAlign w:val="bottom"/>
            <w:tcBorders>
              <w:right w:val="single" w:sz="8" w:color="auto"/>
            </w:tcBorders>
          </w:tcPr>
          <w:p>
            <w:pPr>
              <w:ind w:left="340"/>
              <w:spacing w:after="0" w:line="175" w:lineRule="exact"/>
              <w:rPr>
                <w:sz w:val="20"/>
                <w:szCs w:val="20"/>
                <w:color w:val="auto"/>
              </w:rPr>
            </w:pPr>
            <w:r>
              <w:rPr>
                <w:rFonts w:ascii="Times New Roman" w:cs="Times New Roman" w:eastAsia="Times New Roman" w:hAnsi="Times New Roman"/>
                <w:sz w:val="16"/>
                <w:szCs w:val="16"/>
                <w:color w:val="auto"/>
              </w:rPr>
              <w:t>22-Sep-2015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CONTROLLING THE WALNUT TWIG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BEETLE, PITYOPHTHORUS</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JUGLANDIS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MIST SPRAYER APPARATUS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16902922</w:t>
            </w:r>
          </w:p>
        </w:tc>
        <w:tc>
          <w:tcPr>
            <w:tcW w:w="13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16-Jun-2020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11752511</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12-Sep-2023</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MISTING DEVICE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29695172</w:t>
            </w:r>
          </w:p>
        </w:tc>
        <w:tc>
          <w:tcPr>
            <w:tcW w:w="13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17-Jun-2019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D922523</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15-Jun-2021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MISTING DEVICE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29794529</w:t>
            </w:r>
          </w:p>
        </w:tc>
        <w:tc>
          <w:tcPr>
            <w:tcW w:w="13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14-Jun-2021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D941423</w:t>
            </w:r>
          </w:p>
        </w:tc>
        <w:tc>
          <w:tcPr>
            <w:tcW w:w="15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18-Jan-2022</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MISTING DEVICE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29822160</w:t>
            </w:r>
          </w:p>
        </w:tc>
        <w:tc>
          <w:tcPr>
            <w:tcW w:w="13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06-Jan-2022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D1071410</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15-Apr-2025</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MOLE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12603233</w:t>
            </w:r>
          </w:p>
        </w:tc>
        <w:tc>
          <w:tcPr>
            <w:tcW w:w="13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21-Oct-2009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8429848</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30-Apr-2013</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MULTI-PURPOSE LIGNIN-</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17244455</w:t>
            </w:r>
          </w:p>
        </w:tc>
        <w:tc>
          <w:tcPr>
            <w:tcW w:w="1320" w:type="dxa"/>
            <w:vAlign w:val="bottom"/>
            <w:tcBorders>
              <w:right w:val="single" w:sz="8" w:color="auto"/>
            </w:tcBorders>
          </w:tcPr>
          <w:p>
            <w:pPr>
              <w:ind w:left="220"/>
              <w:spacing w:after="0" w:line="175" w:lineRule="exact"/>
              <w:rPr>
                <w:sz w:val="20"/>
                <w:szCs w:val="20"/>
                <w:color w:val="auto"/>
              </w:rPr>
            </w:pPr>
            <w:r>
              <w:rPr>
                <w:rFonts w:ascii="Times New Roman" w:cs="Times New Roman" w:eastAsia="Times New Roman" w:hAnsi="Times New Roman"/>
                <w:sz w:val="16"/>
                <w:szCs w:val="16"/>
                <w:color w:val="auto"/>
              </w:rPr>
              <w:t>29-Apr-2021</w:t>
            </w: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CARBOHYDRATE BINDING SYSTEM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NUTRIENT COMPOSITIONS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16689652</w:t>
            </w:r>
          </w:p>
        </w:tc>
        <w:tc>
          <w:tcPr>
            <w:tcW w:w="13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20-Nov-2019</w:t>
            </w:r>
          </w:p>
        </w:tc>
        <w:tc>
          <w:tcPr>
            <w:tcW w:w="12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NUTRIENT SOURCES FOR PLANT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16555938</w:t>
            </w:r>
          </w:p>
        </w:tc>
        <w:tc>
          <w:tcPr>
            <w:tcW w:w="1320" w:type="dxa"/>
            <w:vAlign w:val="bottom"/>
            <w:tcBorders>
              <w:right w:val="single" w:sz="8" w:color="auto"/>
            </w:tcBorders>
          </w:tcPr>
          <w:p>
            <w:pPr>
              <w:ind w:left="200"/>
              <w:spacing w:after="0" w:line="175" w:lineRule="exact"/>
              <w:rPr>
                <w:sz w:val="20"/>
                <w:szCs w:val="20"/>
                <w:color w:val="auto"/>
              </w:rPr>
            </w:pPr>
            <w:r>
              <w:rPr>
                <w:rFonts w:ascii="Times New Roman" w:cs="Times New Roman" w:eastAsia="Times New Roman" w:hAnsi="Times New Roman"/>
                <w:sz w:val="16"/>
                <w:szCs w:val="16"/>
                <w:color w:val="auto"/>
              </w:rPr>
              <w:t>29-Aug-2019</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12391626</w:t>
            </w:r>
          </w:p>
        </w:tc>
        <w:tc>
          <w:tcPr>
            <w:tcW w:w="154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6"/>
                <w:szCs w:val="16"/>
                <w:color w:val="auto"/>
              </w:rPr>
              <w:t>19-Aug-2025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GROWTH MEDIUMS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PH BUFFERED PLANT NUTRIENT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11321023</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6"/>
                <w:szCs w:val="16"/>
                <w:color w:val="auto"/>
              </w:rPr>
              <w:t>28-Dec-2005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7818916</w:t>
            </w:r>
          </w:p>
        </w:tc>
        <w:tc>
          <w:tcPr>
            <w:tcW w:w="1540" w:type="dxa"/>
            <w:vAlign w:val="bottom"/>
            <w:tcBorders>
              <w:right w:val="single" w:sz="8" w:color="auto"/>
            </w:tcBorders>
          </w:tcPr>
          <w:p>
            <w:pPr>
              <w:ind w:left="340"/>
              <w:spacing w:after="0" w:line="169" w:lineRule="exact"/>
              <w:rPr>
                <w:sz w:val="20"/>
                <w:szCs w:val="20"/>
                <w:color w:val="auto"/>
              </w:rPr>
            </w:pPr>
            <w:r>
              <w:rPr>
                <w:rFonts w:ascii="Times New Roman" w:cs="Times New Roman" w:eastAsia="Times New Roman" w:hAnsi="Times New Roman"/>
                <w:sz w:val="16"/>
                <w:szCs w:val="16"/>
                <w:color w:val="auto"/>
              </w:rPr>
              <w:t>26-Oct-2010</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COMPOSITIONS AND METHODS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GROWING PLANTS</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PH BUFFERED PLANT NUTRIENT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12911590</w:t>
            </w:r>
          </w:p>
        </w:tc>
        <w:tc>
          <w:tcPr>
            <w:tcW w:w="1320" w:type="dxa"/>
            <w:vAlign w:val="bottom"/>
            <w:tcBorders>
              <w:right w:val="single" w:sz="8" w:color="auto"/>
            </w:tcBorders>
          </w:tcPr>
          <w:p>
            <w:pPr>
              <w:ind w:left="240"/>
              <w:spacing w:after="0" w:line="175" w:lineRule="exact"/>
              <w:rPr>
                <w:sz w:val="20"/>
                <w:szCs w:val="20"/>
                <w:color w:val="auto"/>
              </w:rPr>
            </w:pPr>
            <w:r>
              <w:rPr>
                <w:rFonts w:ascii="Times New Roman" w:cs="Times New Roman" w:eastAsia="Times New Roman" w:hAnsi="Times New Roman"/>
                <w:sz w:val="16"/>
                <w:szCs w:val="16"/>
                <w:color w:val="auto"/>
              </w:rPr>
              <w:t>25-Oct-2010</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8091275</w:t>
            </w:r>
          </w:p>
        </w:tc>
        <w:tc>
          <w:tcPr>
            <w:tcW w:w="1540" w:type="dxa"/>
            <w:vAlign w:val="bottom"/>
            <w:tcBorders>
              <w:right w:val="single" w:sz="8" w:color="auto"/>
            </w:tcBorders>
          </w:tcPr>
          <w:p>
            <w:pPr>
              <w:ind w:left="360"/>
              <w:spacing w:after="0" w:line="175" w:lineRule="exact"/>
              <w:rPr>
                <w:sz w:val="20"/>
                <w:szCs w:val="20"/>
                <w:color w:val="auto"/>
              </w:rPr>
            </w:pPr>
            <w:r>
              <w:rPr>
                <w:rFonts w:ascii="Times New Roman" w:cs="Times New Roman" w:eastAsia="Times New Roman" w:hAnsi="Times New Roman"/>
                <w:sz w:val="16"/>
                <w:szCs w:val="16"/>
                <w:color w:val="auto"/>
              </w:rPr>
              <w:t>10-Jan-2012</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COMPOSITIONS AND METHODS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GROWING PLANTS</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29859670</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11-Nov-2022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D1097265</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07-Oct-2025</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 GROW LIGHT</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29859695</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11-Nov-2022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D1085500</w:t>
            </w:r>
          </w:p>
        </w:tc>
        <w:tc>
          <w:tcPr>
            <w:tcW w:w="15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22-Jul-2025</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PLANT GROWING SYSTEM AND</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14379116</w:t>
            </w:r>
          </w:p>
        </w:tc>
        <w:tc>
          <w:tcPr>
            <w:tcW w:w="1320" w:type="dxa"/>
            <w:vAlign w:val="bottom"/>
            <w:tcBorders>
              <w:right w:val="single" w:sz="8" w:color="auto"/>
            </w:tcBorders>
          </w:tcPr>
          <w:p>
            <w:pPr>
              <w:ind w:left="200"/>
              <w:spacing w:after="0" w:line="175" w:lineRule="exact"/>
              <w:rPr>
                <w:sz w:val="20"/>
                <w:szCs w:val="20"/>
                <w:color w:val="auto"/>
              </w:rPr>
            </w:pPr>
            <w:r>
              <w:rPr>
                <w:rFonts w:ascii="Times New Roman" w:cs="Times New Roman" w:eastAsia="Times New Roman" w:hAnsi="Times New Roman"/>
                <w:sz w:val="16"/>
                <w:szCs w:val="16"/>
                <w:color w:val="auto"/>
              </w:rPr>
              <w:t>15-Aug-2014</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10602673</w:t>
            </w:r>
          </w:p>
        </w:tc>
        <w:tc>
          <w:tcPr>
            <w:tcW w:w="154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6"/>
                <w:szCs w:val="16"/>
                <w:color w:val="auto"/>
              </w:rPr>
              <w:t>31-Mar-2020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OF USING THE SAME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PLANT GROWING SYSTEM AND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16832866</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6"/>
                <w:szCs w:val="16"/>
                <w:color w:val="auto"/>
              </w:rPr>
              <w:t>27-Mar-2020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11154015</w:t>
            </w:r>
          </w:p>
        </w:tc>
        <w:tc>
          <w:tcPr>
            <w:tcW w:w="1540" w:type="dxa"/>
            <w:vAlign w:val="bottom"/>
            <w:tcBorders>
              <w:right w:val="single" w:sz="8" w:color="auto"/>
            </w:tcBorders>
          </w:tcPr>
          <w:p>
            <w:pPr>
              <w:ind w:left="340"/>
              <w:spacing w:after="0" w:line="169" w:lineRule="exact"/>
              <w:rPr>
                <w:sz w:val="20"/>
                <w:szCs w:val="20"/>
                <w:color w:val="auto"/>
              </w:rPr>
            </w:pPr>
            <w:r>
              <w:rPr>
                <w:rFonts w:ascii="Times New Roman" w:cs="Times New Roman" w:eastAsia="Times New Roman" w:hAnsi="Times New Roman"/>
                <w:sz w:val="16"/>
                <w:szCs w:val="16"/>
                <w:color w:val="auto"/>
              </w:rPr>
              <w:t>26-Oct-2021</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OF USING THE SAME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PLANT GROWING SYSTEM AND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17509398</w:t>
            </w:r>
          </w:p>
        </w:tc>
        <w:tc>
          <w:tcPr>
            <w:tcW w:w="132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6"/>
                <w:szCs w:val="16"/>
                <w:color w:val="auto"/>
              </w:rPr>
              <w:t>25-Oct-2021</w:t>
            </w:r>
          </w:p>
        </w:tc>
        <w:tc>
          <w:tcPr>
            <w:tcW w:w="1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OF USING THE SAME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 SENSOR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29583418</w:t>
            </w:r>
          </w:p>
        </w:tc>
        <w:tc>
          <w:tcPr>
            <w:tcW w:w="13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04-Nov-2016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D829574</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02-Oct-2018</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 SENSOR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29660754</w:t>
            </w:r>
          </w:p>
        </w:tc>
        <w:tc>
          <w:tcPr>
            <w:tcW w:w="13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22-Aug-2018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D869297</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10-Dec-2019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 SENSOR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29716251</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09-Dec-2019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D943430</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15-Feb-2022</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 SENSOR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29826523</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14-Feb-2022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D1008822</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26-Dec-2023</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PLANTING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29433264</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27-Sep-2012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D713758</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23-Sep-2014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PLANTING SYSTEM</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29413720</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17-Feb-2012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D671028</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20-Nov-2012</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PLANTING SYSTEM CARRYING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29428679</w:t>
            </w:r>
          </w:p>
        </w:tc>
        <w:tc>
          <w:tcPr>
            <w:tcW w:w="1320" w:type="dxa"/>
            <w:vAlign w:val="bottom"/>
            <w:tcBorders>
              <w:right w:val="single" w:sz="8" w:color="auto"/>
            </w:tcBorders>
          </w:tcPr>
          <w:p>
            <w:pPr>
              <w:ind w:left="200"/>
              <w:spacing w:after="0" w:line="175" w:lineRule="exact"/>
              <w:rPr>
                <w:sz w:val="20"/>
                <w:szCs w:val="20"/>
                <w:color w:val="auto"/>
              </w:rPr>
            </w:pPr>
            <w:r>
              <w:rPr>
                <w:rFonts w:ascii="Times New Roman" w:cs="Times New Roman" w:eastAsia="Times New Roman" w:hAnsi="Times New Roman"/>
                <w:sz w:val="16"/>
                <w:szCs w:val="16"/>
                <w:color w:val="auto"/>
              </w:rPr>
              <w:t>02-Aug-2012</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D688588</w:t>
            </w:r>
          </w:p>
        </w:tc>
        <w:tc>
          <w:tcPr>
            <w:tcW w:w="154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6"/>
                <w:szCs w:val="16"/>
                <w:color w:val="auto"/>
              </w:rPr>
              <w:t>27-Aug-2013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DEVICE</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PLANTS COMPRISING A</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16705540</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6"/>
                <w:szCs w:val="16"/>
                <w:color w:val="auto"/>
              </w:rPr>
              <w:t>06-Dec-2019</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6"/>
              </w:rPr>
              <w:t>11162113</w:t>
            </w:r>
          </w:p>
        </w:tc>
        <w:tc>
          <w:tcPr>
            <w:tcW w:w="1540" w:type="dxa"/>
            <w:vAlign w:val="bottom"/>
            <w:tcBorders>
              <w:right w:val="single" w:sz="8" w:color="auto"/>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02-Nov-2021</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GIBBERELLIC ACID 2-OXIDASE</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GENE EXPRESSION CASSETTE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PLANTS COMPRISING EVENTS</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14904520</w:t>
            </w:r>
          </w:p>
        </w:tc>
        <w:tc>
          <w:tcPr>
            <w:tcW w:w="1320" w:type="dxa"/>
            <w:vAlign w:val="bottom"/>
            <w:tcBorders>
              <w:right w:val="single" w:sz="8" w:color="auto"/>
            </w:tcBorders>
          </w:tcPr>
          <w:p>
            <w:pPr>
              <w:ind w:left="240"/>
              <w:spacing w:after="0" w:line="175" w:lineRule="exact"/>
              <w:rPr>
                <w:sz w:val="20"/>
                <w:szCs w:val="20"/>
                <w:color w:val="auto"/>
              </w:rPr>
            </w:pPr>
            <w:r>
              <w:rPr>
                <w:rFonts w:ascii="Times New Roman" w:cs="Times New Roman" w:eastAsia="Times New Roman" w:hAnsi="Times New Roman"/>
                <w:sz w:val="16"/>
                <w:szCs w:val="16"/>
                <w:color w:val="auto"/>
              </w:rPr>
              <w:t>12-Jan-2016</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10501753</w:t>
            </w:r>
          </w:p>
        </w:tc>
        <w:tc>
          <w:tcPr>
            <w:tcW w:w="154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6"/>
                <w:szCs w:val="16"/>
                <w:color w:val="auto"/>
              </w:rPr>
              <w:t>10-Dec-2019</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PP009-401, PP009-415 AND PP009-469,</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COMPOSITIONS, SEQUENCES, AND</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FOR DETECTION</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THEREOF</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PLANTS COMPRISING HERBICIDE-</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16193135</w:t>
            </w:r>
          </w:p>
        </w:tc>
        <w:tc>
          <w:tcPr>
            <w:tcW w:w="1320" w:type="dxa"/>
            <w:vAlign w:val="bottom"/>
            <w:tcBorders>
              <w:right w:val="single" w:sz="8" w:color="auto"/>
            </w:tcBorders>
          </w:tcPr>
          <w:p>
            <w:pPr>
              <w:ind w:left="200"/>
              <w:spacing w:after="0" w:line="175" w:lineRule="exact"/>
              <w:rPr>
                <w:sz w:val="20"/>
                <w:szCs w:val="20"/>
                <w:color w:val="auto"/>
              </w:rPr>
            </w:pPr>
            <w:r>
              <w:rPr>
                <w:rFonts w:ascii="Times New Roman" w:cs="Times New Roman" w:eastAsia="Times New Roman" w:hAnsi="Times New Roman"/>
                <w:sz w:val="16"/>
                <w:szCs w:val="16"/>
                <w:color w:val="auto"/>
              </w:rPr>
              <w:t>16-Nov-2018</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11466285</w:t>
            </w:r>
          </w:p>
        </w:tc>
        <w:tc>
          <w:tcPr>
            <w:tcW w:w="1540" w:type="dxa"/>
            <w:vAlign w:val="bottom"/>
            <w:tcBorders>
              <w:right w:val="single" w:sz="8" w:color="auto"/>
            </w:tcBorders>
          </w:tcPr>
          <w:p>
            <w:pPr>
              <w:ind w:left="340"/>
              <w:spacing w:after="0" w:line="175" w:lineRule="exact"/>
              <w:rPr>
                <w:sz w:val="20"/>
                <w:szCs w:val="20"/>
                <w:color w:val="auto"/>
              </w:rPr>
            </w:pPr>
            <w:r>
              <w:rPr>
                <w:rFonts w:ascii="Times New Roman" w:cs="Times New Roman" w:eastAsia="Times New Roman" w:hAnsi="Times New Roman"/>
                <w:sz w:val="16"/>
                <w:szCs w:val="16"/>
                <w:color w:val="auto"/>
              </w:rPr>
              <w:t>11-Oct-2022</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RESISTANT EVENT SEQUENCES,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PLANT MATERIALS, AND METHODS</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DETECTION THEREOF</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POWERED HAND-HELD 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15234095</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11-Aug-2016</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10595458</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24-Mar-2020</w:t>
            </w:r>
          </w:p>
        </w:tc>
      </w:tr>
    </w:tbl>
    <w:p>
      <w:pPr>
        <w:sectPr>
          <w:pgSz w:w="11900" w:h="16838" w:orient="portrait"/>
          <w:cols w:equalWidth="0" w:num="1">
            <w:col w:w="11260"/>
          </w:cols>
          <w:pgMar w:left="320" w:top="1440" w:right="319" w:bottom="1440" w:gutter="0" w:footer="0" w:header="0"/>
        </w:sectPr>
      </w:pPr>
    </w:p>
    <w:bookmarkStart w:id="335" w:name="page336"/>
    <w:bookmarkEnd w:id="33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2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POWERED HAND-HELD SPREADER</w:t>
            </w:r>
          </w:p>
        </w:tc>
        <w:tc>
          <w:tcPr>
            <w:tcW w:w="142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29536927</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20-Aug-2015</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D796922</w:t>
            </w:r>
          </w:p>
        </w:tc>
        <w:tc>
          <w:tcPr>
            <w:tcW w:w="154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12-Sep-2017</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POWERED HAND-HELD 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29613646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11-Aug-2017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D855421</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06-Aug-2019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POWERED HAND-HELD 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29700683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05-Aug-2019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D893270</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18-Aug-2020</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POWERED HAND-HELD 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29746700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17-Aug-2020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D959937</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09-Aug-2022</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PRODUCT CARTRIDGE FOR USE</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29543812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28-Oct-2015</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D772957</w:t>
            </w:r>
          </w:p>
        </w:tc>
        <w:tc>
          <w:tcPr>
            <w:tcW w:w="154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6"/>
                <w:szCs w:val="16"/>
                <w:color w:val="auto"/>
              </w:rPr>
              <w:t>29-Nov-2016</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WITH A SPREADER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READY TO USE HOSE END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14577225</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19-Dec-2014</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9980430</w:t>
            </w:r>
          </w:p>
        </w:tc>
        <w:tc>
          <w:tcPr>
            <w:tcW w:w="1540" w:type="dxa"/>
            <w:vAlign w:val="bottom"/>
            <w:tcBorders>
              <w:right w:val="single" w:sz="8" w:color="auto"/>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29-May-2018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SPRAYER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READY-TO-USE HOSE END</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17568983</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05-Jan-2022</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11744171</w:t>
            </w:r>
          </w:p>
        </w:tc>
        <w:tc>
          <w:tcPr>
            <w:tcW w:w="1540" w:type="dxa"/>
            <w:vAlign w:val="bottom"/>
            <w:tcBorders>
              <w:right w:val="single" w:sz="8" w:color="auto"/>
            </w:tcBorders>
          </w:tcPr>
          <w:p>
            <w:pPr>
              <w:ind w:left="340"/>
              <w:spacing w:after="0" w:line="169" w:lineRule="exact"/>
              <w:rPr>
                <w:sz w:val="20"/>
                <w:szCs w:val="20"/>
                <w:color w:val="auto"/>
              </w:rPr>
            </w:pPr>
            <w:r>
              <w:rPr>
                <w:rFonts w:ascii="Times New Roman" w:cs="Times New Roman" w:eastAsia="Times New Roman" w:hAnsi="Times New Roman"/>
                <w:sz w:val="16"/>
                <w:szCs w:val="16"/>
                <w:color w:val="auto"/>
              </w:rPr>
              <w:t>05-Sep-2023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SPRAYER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REBAITABLE RODENT BAIT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12983782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03-Jan-2011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8984802</w:t>
            </w:r>
          </w:p>
        </w:tc>
        <w:tc>
          <w:tcPr>
            <w:tcW w:w="1540" w:type="dxa"/>
            <w:vAlign w:val="bottom"/>
            <w:tcBorders>
              <w:right w:val="single" w:sz="8" w:color="auto"/>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24-Mar-2015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STATIONS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RETRACTING TUNNEL RODENT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13738008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10-Jan-2013</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9220256</w:t>
            </w:r>
          </w:p>
        </w:tc>
        <w:tc>
          <w:tcPr>
            <w:tcW w:w="1540" w:type="dxa"/>
            <w:vAlign w:val="bottom"/>
            <w:tcBorders>
              <w:right w:val="single" w:sz="8" w:color="auto"/>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29-Dec-2015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TRAP</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RETRACTING TUNNEL RODENT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14946927</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20-Nov-2015</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10512259</w:t>
            </w:r>
          </w:p>
        </w:tc>
        <w:tc>
          <w:tcPr>
            <w:tcW w:w="1540" w:type="dxa"/>
            <w:vAlign w:val="bottom"/>
            <w:tcBorders>
              <w:right w:val="single" w:sz="8" w:color="auto"/>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24-Dec-2019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TRAP</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RETRACTING TUNNEL RODENT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16724219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21-Dec-2019</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11185066</w:t>
            </w:r>
          </w:p>
        </w:tc>
        <w:tc>
          <w:tcPr>
            <w:tcW w:w="1540" w:type="dxa"/>
            <w:vAlign w:val="bottom"/>
            <w:tcBorders>
              <w:right w:val="single" w:sz="8" w:color="auto"/>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30-Nov-2021</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TRAP</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RETRACTING TUNNEL RODENT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17536488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29-Nov-2021</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12382946</w:t>
            </w:r>
          </w:p>
        </w:tc>
        <w:tc>
          <w:tcPr>
            <w:tcW w:w="1540" w:type="dxa"/>
            <w:vAlign w:val="bottom"/>
            <w:tcBorders>
              <w:right w:val="single" w:sz="8" w:color="auto"/>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12-Aug-2025</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TRAP</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RODENT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29590426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10-Jan-2017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D847295</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30-Apr-2019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RODENT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29689325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29-Apr-2019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D868201</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26-Nov-2019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RODENT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29714556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29-Nov-2019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D956170</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28-Jun-2022</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RODENT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29843909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24-Jun-2022</w:t>
            </w: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RODENT TRAP HAVING A PIVOTING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12139849</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16-Jun-2008</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7814702</w:t>
            </w:r>
          </w:p>
        </w:tc>
        <w:tc>
          <w:tcPr>
            <w:tcW w:w="1540" w:type="dxa"/>
            <w:vAlign w:val="bottom"/>
            <w:tcBorders>
              <w:right w:val="single" w:sz="8" w:color="auto"/>
            </w:tcBorders>
          </w:tcPr>
          <w:p>
            <w:pPr>
              <w:ind w:left="340"/>
              <w:spacing w:after="0" w:line="175" w:lineRule="exact"/>
              <w:rPr>
                <w:sz w:val="20"/>
                <w:szCs w:val="20"/>
                <w:color w:val="auto"/>
              </w:rPr>
            </w:pPr>
            <w:r>
              <w:rPr>
                <w:rFonts w:ascii="Times New Roman" w:cs="Times New Roman" w:eastAsia="Times New Roman" w:hAnsi="Times New Roman"/>
                <w:sz w:val="16"/>
                <w:szCs w:val="16"/>
                <w:color w:val="auto"/>
              </w:rPr>
              <w:t>19-Oct-2010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PLATFORM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RODENT TRAP HAVING A PIVOTING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12904279</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14-Oct-2010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8490323</w:t>
            </w:r>
          </w:p>
        </w:tc>
        <w:tc>
          <w:tcPr>
            <w:tcW w:w="1540" w:type="dxa"/>
            <w:vAlign w:val="bottom"/>
            <w:tcBorders>
              <w:right w:val="single" w:sz="8" w:color="auto"/>
            </w:tcBorders>
          </w:tcPr>
          <w:p>
            <w:pPr>
              <w:ind w:left="360"/>
              <w:spacing w:after="0" w:line="169" w:lineRule="exact"/>
              <w:rPr>
                <w:sz w:val="20"/>
                <w:szCs w:val="20"/>
                <w:color w:val="auto"/>
              </w:rPr>
            </w:pPr>
            <w:r>
              <w:rPr>
                <w:rFonts w:ascii="Times New Roman" w:cs="Times New Roman" w:eastAsia="Times New Roman" w:hAnsi="Times New Roman"/>
                <w:sz w:val="16"/>
                <w:szCs w:val="16"/>
                <w:color w:val="auto"/>
              </w:rPr>
              <w:t>23-Jul-2013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PLATFORM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ind w:left="700"/>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RODENT TRAP HAVING A PIVOTING</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16476713</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09-Jul-2019</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11252952</w:t>
            </w:r>
          </w:p>
        </w:tc>
        <w:tc>
          <w:tcPr>
            <w:tcW w:w="1540" w:type="dxa"/>
            <w:vAlign w:val="bottom"/>
            <w:tcBorders>
              <w:right w:val="single" w:sz="8" w:color="auto"/>
            </w:tcBorders>
          </w:tcPr>
          <w:p>
            <w:pPr>
              <w:ind w:left="340"/>
              <w:spacing w:after="0" w:line="169" w:lineRule="exact"/>
              <w:rPr>
                <w:sz w:val="20"/>
                <w:szCs w:val="20"/>
                <w:color w:val="auto"/>
              </w:rPr>
            </w:pPr>
            <w:r>
              <w:rPr>
                <w:rFonts w:ascii="Times New Roman" w:cs="Times New Roman" w:eastAsia="Times New Roman" w:hAnsi="Times New Roman"/>
                <w:sz w:val="16"/>
                <w:szCs w:val="16"/>
                <w:color w:val="auto"/>
              </w:rPr>
              <w:t>22-Feb-2022</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PLATFORM</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RODENT TRAP HAVING A SNARE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11956963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14-Dec-2007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7921593</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12-Apr-2011</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RODENT TRAP HAVING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11956912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14-Dec-2007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7886479</w:t>
            </w:r>
          </w:p>
        </w:tc>
        <w:tc>
          <w:tcPr>
            <w:tcW w:w="1540" w:type="dxa"/>
            <w:vAlign w:val="bottom"/>
            <w:tcBorders>
              <w:right w:val="single" w:sz="8" w:color="auto"/>
            </w:tcBorders>
          </w:tcPr>
          <w:p>
            <w:pPr>
              <w:ind w:left="340"/>
              <w:spacing w:after="0" w:line="175" w:lineRule="exact"/>
              <w:rPr>
                <w:sz w:val="20"/>
                <w:szCs w:val="20"/>
                <w:color w:val="auto"/>
              </w:rPr>
            </w:pPr>
            <w:r>
              <w:rPr>
                <w:rFonts w:ascii="Times New Roman" w:cs="Times New Roman" w:eastAsia="Times New Roman" w:hAnsi="Times New Roman"/>
                <w:sz w:val="16"/>
                <w:szCs w:val="16"/>
                <w:color w:val="auto"/>
              </w:rPr>
              <w:t>15-Feb-2011</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COMPRESSIVE TRAPPING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MEMBERS</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SET OF PLANTING CONTAINERS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29433262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27-Sep-2012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D712784</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09-Sep-2014</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SILICONE SURFACTANT-BASED</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11801466</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10-May-2007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8734821</w:t>
            </w:r>
          </w:p>
        </w:tc>
        <w:tc>
          <w:tcPr>
            <w:tcW w:w="154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6"/>
                <w:szCs w:val="16"/>
                <w:color w:val="auto"/>
              </w:rPr>
              <w:t>27-May-2014</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AGRICULTURAL FORMULATIONS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AND METHODS FOR USE THEREOF</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SPRAYER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12646079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23-Dec-2009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8807455</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19-Aug-2014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SPRAYER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29386485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01-Mar-2011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D650046</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06-Dec-2011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SPRAYER HEAD AND BOTTLE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29753755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01-Oct-2020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D1011912</w:t>
            </w:r>
          </w:p>
        </w:tc>
        <w:tc>
          <w:tcPr>
            <w:tcW w:w="15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23-Jan-2024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SPRAYING DEVICE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29448257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11-Mar-2013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D708293</w:t>
            </w:r>
          </w:p>
        </w:tc>
        <w:tc>
          <w:tcPr>
            <w:tcW w:w="15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01-Jul-2014</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29595095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24-Feb-2017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D860261</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17-Sep-2019</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29699097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23-Jul-2019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D909421</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02-Feb-2021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29765012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05-Jan-2021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D936109</w:t>
            </w:r>
          </w:p>
        </w:tc>
        <w:tc>
          <w:tcPr>
            <w:tcW w:w="15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16-Nov-2021</w:t>
            </w:r>
          </w:p>
        </w:tc>
      </w:tr>
      <w:tr>
        <w:trPr>
          <w:trHeight w:val="223"/>
        </w:trPr>
        <w:tc>
          <w:tcPr>
            <w:tcW w:w="29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SPREADER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29815506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15-Nov-2021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D956827</w:t>
            </w:r>
          </w:p>
        </w:tc>
        <w:tc>
          <w:tcPr>
            <w:tcW w:w="15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05-Jul-2022</w:t>
            </w:r>
          </w:p>
        </w:tc>
      </w:tr>
      <w:tr>
        <w:trPr>
          <w:trHeight w:val="175"/>
        </w:trPr>
        <w:tc>
          <w:tcPr>
            <w:tcW w:w="2920" w:type="dxa"/>
            <w:vAlign w:val="bottom"/>
            <w:tcBorders>
              <w:left w:val="single" w:sz="8" w:color="auto"/>
              <w:right w:val="single" w:sz="8" w:color="auto"/>
            </w:tcBorders>
          </w:tcPr>
          <w:p>
            <w:pPr>
              <w:ind w:left="700"/>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TAMPER-RESISTANT RODENT BAIT</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12983725</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03-Jan-2011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9532564</w:t>
            </w:r>
          </w:p>
        </w:tc>
        <w:tc>
          <w:tcPr>
            <w:tcW w:w="1540" w:type="dxa"/>
            <w:vAlign w:val="bottom"/>
            <w:tcBorders>
              <w:right w:val="single" w:sz="8" w:color="auto"/>
            </w:tcBorders>
          </w:tcPr>
          <w:p>
            <w:pPr>
              <w:ind w:left="360"/>
              <w:spacing w:after="0" w:line="175" w:lineRule="exact"/>
              <w:rPr>
                <w:sz w:val="20"/>
                <w:szCs w:val="20"/>
                <w:color w:val="auto"/>
              </w:rPr>
            </w:pPr>
            <w:r>
              <w:rPr>
                <w:rFonts w:ascii="Times New Roman" w:cs="Times New Roman" w:eastAsia="Times New Roman" w:hAnsi="Times New Roman"/>
                <w:sz w:val="16"/>
                <w:szCs w:val="16"/>
                <w:color w:val="auto"/>
              </w:rPr>
              <w:t>03-Jan-2017</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36" w:name="page337"/>
    <w:bookmarkEnd w:id="33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TAMPER-RESISTANT RODENT BAIT</w:t>
            </w:r>
          </w:p>
        </w:tc>
        <w:tc>
          <w:tcPr>
            <w:tcW w:w="1420" w:type="dxa"/>
            <w:vAlign w:val="bottom"/>
            <w:tcBorders>
              <w:top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15396809</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02-Jan-2017</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10694736</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30-Jun-2020</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TAMPER-RESISTANT RODENT BAIT</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16916082</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29-Jun-2020</w:t>
            </w:r>
          </w:p>
        </w:tc>
        <w:tc>
          <w:tcPr>
            <w:tcW w:w="1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STATION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UREA FERTILIZER COMPOSITIONS</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15073181</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17-Mar-2016</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9663412</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30-May-2017</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COMPRISING RICE HULLS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UREA FERTILIZER COMPOSITIONS</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15607096</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26-May-2017</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10822290</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03-Nov-2020</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COMPRISING RICE HULLS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UREA FERTILIZER COMPOSITIONS</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17086610</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02-Nov-2020</w:t>
            </w: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COMPRISING RICE HULLS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OF USE</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VANGUARD BOTTLE/DISPENSING</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29365376</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08-Jul-2010</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D681470</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07-May-2013</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CONTAINER</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6"/>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VANGUARD II/LIQUID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29381346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17-Dec-2010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D663626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17-Jul-2012</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VANGUARD III/LIQUID CONTAINER</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29381345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17-Dec-2010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D660164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22-May-2012</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WASP REPELLENT DEVICE</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11149149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10-Jun-2005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7744280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29-Jun-2010</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WINDOW FLY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13063644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28-Jul-2011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10299470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28-May-2019</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WINDOW FLY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16422262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24-May-2019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11172668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16-Nov-2021</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OMS Investments,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WINDOW FLY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17526079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15-Nov-2021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11963523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23-Apr-2024</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OMS Investments, Inc. (as successor in</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HYBRID VARIETY OF TEXAS X</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12071554</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22-Feb-2008</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PP21045</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01-Jun-2010</w:t>
            </w:r>
          </w:p>
        </w:tc>
      </w:tr>
      <w:tr>
        <w:trPr>
          <w:trHeight w:val="189"/>
        </w:trPr>
        <w:tc>
          <w:tcPr>
            <w:tcW w:w="2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interest to SMG Brands, Inc.)</w:t>
            </w: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KENTUCKY BLUEGRASS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DESIGNATED HB-128</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 INSECT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16626609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26-Dec-2019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12193427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14-Jan-2025</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COMPOUNDS AND METHODS FOR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13120543</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29-Jun-2011</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9789044</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17-Oct-2017</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REPELLING BLOOD-FEEDING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ARTHROPODS AND DETERRING</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THEIR LANDING AND FEEDING</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COMPOUNDS AND METHODS FOR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15784858</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16-Oct-2017</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10842726</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24-Nov-2020</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REPELLING BLOOD-FEEDING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ARTHROPODS AND DETERRING</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THEIR LANDING AND FEEDING</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CONTECH/COMPOUNDS,</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12057960</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28-Mar-2008</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8889731</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18-Nov-2014</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COMPOSITIONS AND METHODS</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FOR REPELLING BLOOD-FEEDING</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ARTHROPODS AND DETERRING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THEIR LANDING AND FEEDING</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CONTECH/METHOD AND</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12019097</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24-Jan-2008</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8940287</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27-Jan-2015</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COMPOSITION FOR ATTRACTING</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FRUIT FLIES TO TRAPS</w:t>
            </w: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INSECT TRAP</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19020325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14-Jan-2025</w:t>
            </w:r>
          </w:p>
        </w:tc>
        <w:tc>
          <w:tcPr>
            <w:tcW w:w="12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METHODS AND APPARATUS FOR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14402752</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21-Nov-2014</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9877471</w:t>
            </w: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30-Jan-2018</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ATTRACTING RATS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169"/>
        </w:trPr>
        <w:tc>
          <w:tcPr>
            <w:tcW w:w="29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METHODS AND APPARATUS FOR</w:t>
            </w:r>
          </w:p>
        </w:tc>
        <w:tc>
          <w:tcPr>
            <w:tcW w:w="1420" w:type="dxa"/>
            <w:vAlign w:val="bottom"/>
            <w:tcBorders>
              <w:right w:val="single" w:sz="8" w:color="auto"/>
            </w:tcBorders>
          </w:tcPr>
          <w:p>
            <w:pPr>
              <w:jc w:val="right"/>
              <w:ind w:right="319"/>
              <w:spacing w:after="0" w:line="169" w:lineRule="exact"/>
              <w:rPr>
                <w:sz w:val="20"/>
                <w:szCs w:val="20"/>
                <w:color w:val="auto"/>
              </w:rPr>
            </w:pPr>
            <w:r>
              <w:rPr>
                <w:rFonts w:ascii="Times New Roman" w:cs="Times New Roman" w:eastAsia="Times New Roman" w:hAnsi="Times New Roman"/>
                <w:sz w:val="16"/>
                <w:szCs w:val="16"/>
                <w:color w:val="auto"/>
              </w:rPr>
              <w:t>15882704</w:t>
            </w:r>
          </w:p>
        </w:tc>
        <w:tc>
          <w:tcPr>
            <w:tcW w:w="13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29-Jan-2018</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10212928</w:t>
            </w:r>
          </w:p>
        </w:tc>
        <w:tc>
          <w:tcPr>
            <w:tcW w:w="15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26-Feb-2019</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ATTRACTING RATS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37" w:name="page338"/>
    <w:bookmarkEnd w:id="33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Scotts Canada Ltd.</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COMPOSITIONS AND</w:t>
            </w:r>
          </w:p>
        </w:tc>
        <w:tc>
          <w:tcPr>
            <w:tcW w:w="1420" w:type="dxa"/>
            <w:vAlign w:val="bottom"/>
            <w:tcBorders>
              <w:top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14892662</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20-Nov-2015</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9936694</w:t>
            </w:r>
          </w:p>
        </w:tc>
        <w:tc>
          <w:tcPr>
            <w:tcW w:w="154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10-Apr-2018</w:t>
            </w:r>
          </w:p>
        </w:tc>
      </w:tr>
      <w:tr>
        <w:trPr>
          <w:trHeight w:val="189"/>
        </w:trPr>
        <w:tc>
          <w:tcPr>
            <w:tcW w:w="292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FOR ATTRACTING AND</w:t>
            </w:r>
          </w:p>
        </w:tc>
        <w:tc>
          <w:tcPr>
            <w:tcW w:w="14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75"/>
        </w:trPr>
        <w:tc>
          <w:tcPr>
            <w:tcW w:w="292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STIMULATING FEEDING BY MICE</w:t>
            </w: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AND RATS</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17"/>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Scotts France SAS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DEVICE OF CAPTURE OF INSECTS</w:t>
            </w:r>
          </w:p>
        </w:tc>
        <w:tc>
          <w:tcPr>
            <w:tcW w:w="14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15767095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09-Apr-2018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11213024</w:t>
            </w:r>
          </w:p>
        </w:tc>
        <w:tc>
          <w:tcPr>
            <w:tcW w:w="15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04-Jan-2022</w:t>
            </w:r>
          </w:p>
        </w:tc>
      </w:tr>
      <w:tr>
        <w:trPr>
          <w:trHeight w:val="175"/>
        </w:trPr>
        <w:tc>
          <w:tcPr>
            <w:tcW w:w="292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Scotts International B.V</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SYSTEM AND METHOD FOR</w:t>
            </w:r>
          </w:p>
        </w:tc>
        <w:tc>
          <w:tcPr>
            <w:tcW w:w="1420" w:type="dxa"/>
            <w:vAlign w:val="bottom"/>
            <w:tcBorders>
              <w:right w:val="single" w:sz="8" w:color="auto"/>
            </w:tcBorders>
          </w:tcPr>
          <w:p>
            <w:pPr>
              <w:jc w:val="right"/>
              <w:ind w:right="319"/>
              <w:spacing w:after="0" w:line="175" w:lineRule="exact"/>
              <w:rPr>
                <w:sz w:val="20"/>
                <w:szCs w:val="20"/>
                <w:color w:val="auto"/>
              </w:rPr>
            </w:pPr>
            <w:r>
              <w:rPr>
                <w:rFonts w:ascii="Times New Roman" w:cs="Times New Roman" w:eastAsia="Times New Roman" w:hAnsi="Times New Roman"/>
                <w:sz w:val="16"/>
                <w:szCs w:val="16"/>
                <w:color w:val="auto"/>
              </w:rPr>
              <w:t>11969880</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04-Jan-2008</w:t>
            </w:r>
          </w:p>
        </w:tc>
        <w:tc>
          <w:tcPr>
            <w:tcW w:w="1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8008079</w:t>
            </w:r>
          </w:p>
        </w:tc>
        <w:tc>
          <w:tcPr>
            <w:tcW w:w="1540" w:type="dxa"/>
            <w:vAlign w:val="bottom"/>
            <w:tcBorders>
              <w:right w:val="single" w:sz="8" w:color="auto"/>
            </w:tcBorders>
          </w:tcPr>
          <w:p>
            <w:pPr>
              <w:ind w:left="320"/>
              <w:spacing w:after="0" w:line="175" w:lineRule="exact"/>
              <w:rPr>
                <w:sz w:val="20"/>
                <w:szCs w:val="20"/>
                <w:color w:val="auto"/>
              </w:rPr>
            </w:pPr>
            <w:r>
              <w:rPr>
                <w:rFonts w:ascii="Times New Roman" w:cs="Times New Roman" w:eastAsia="Times New Roman" w:hAnsi="Times New Roman"/>
                <w:sz w:val="16"/>
                <w:szCs w:val="16"/>
                <w:color w:val="auto"/>
              </w:rPr>
              <w:t>30-Aug-2011</w:t>
            </w:r>
          </w:p>
        </w:tc>
      </w:tr>
      <w:tr>
        <w:trPr>
          <w:trHeight w:val="210"/>
        </w:trPr>
        <w:tc>
          <w:tcPr>
            <w:tcW w:w="292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FERTILIZER SELECTION</w:t>
            </w:r>
          </w:p>
        </w:tc>
        <w:tc>
          <w:tcPr>
            <w:tcW w:w="14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33"/>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TRADEMARK APPLICATIONS AND REGISTRATIONS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2"/>
                <w:szCs w:val="22"/>
                <w:color w:val="auto"/>
                <w:w w:val="96"/>
              </w:rPr>
              <w:t>Owner</w:t>
            </w:r>
          </w:p>
        </w:tc>
        <w:tc>
          <w:tcPr>
            <w:tcW w:w="2820" w:type="dxa"/>
            <w:vAlign w:val="bottom"/>
            <w:tcBorders>
              <w:top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2"/>
                <w:szCs w:val="22"/>
                <w:color w:val="auto"/>
              </w:rPr>
              <w:t>Mark</w:t>
            </w:r>
          </w:p>
        </w:tc>
        <w:tc>
          <w:tcPr>
            <w:tcW w:w="1680" w:type="dxa"/>
            <w:vAlign w:val="bottom"/>
            <w:tcBorders>
              <w:top w:val="single" w:sz="8" w:color="auto"/>
              <w:bottom w:val="single" w:sz="8" w:color="auto"/>
              <w:right w:val="single" w:sz="8" w:color="auto"/>
            </w:tcBorders>
            <w:shd w:val="clear" w:color="auto" w:fill="E7E6E6"/>
          </w:tcPr>
          <w:p>
            <w:pPr>
              <w:ind w:left="380"/>
              <w:spacing w:after="0"/>
              <w:rPr>
                <w:sz w:val="20"/>
                <w:szCs w:val="20"/>
                <w:color w:val="auto"/>
              </w:rPr>
            </w:pPr>
            <w:r>
              <w:rPr>
                <w:rFonts w:ascii="Times New Roman" w:cs="Times New Roman" w:eastAsia="Times New Roman" w:hAnsi="Times New Roman"/>
                <w:sz w:val="22"/>
                <w:szCs w:val="22"/>
                <w:color w:val="auto"/>
              </w:rPr>
              <w:t>Serial No.</w:t>
            </w:r>
          </w:p>
        </w:tc>
        <w:tc>
          <w:tcPr>
            <w:tcW w:w="1660" w:type="dxa"/>
            <w:vAlign w:val="bottom"/>
            <w:tcBorders>
              <w:top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2"/>
                <w:szCs w:val="22"/>
                <w:color w:val="auto"/>
                <w:w w:val="98"/>
              </w:rPr>
              <w:t>File Date</w:t>
            </w:r>
          </w:p>
        </w:tc>
        <w:tc>
          <w:tcPr>
            <w:tcW w:w="1680" w:type="dxa"/>
            <w:vAlign w:val="bottom"/>
            <w:tcBorders>
              <w:top w:val="single" w:sz="8" w:color="auto"/>
              <w:bottom w:val="single" w:sz="8" w:color="auto"/>
              <w:right w:val="single" w:sz="8" w:color="auto"/>
            </w:tcBorders>
            <w:shd w:val="clear" w:color="auto" w:fill="E7E6E6"/>
          </w:tcPr>
          <w:p>
            <w:pPr>
              <w:ind w:left="440"/>
              <w:spacing w:after="0"/>
              <w:rPr>
                <w:sz w:val="20"/>
                <w:szCs w:val="20"/>
                <w:color w:val="auto"/>
              </w:rPr>
            </w:pPr>
            <w:r>
              <w:rPr>
                <w:rFonts w:ascii="Times New Roman" w:cs="Times New Roman" w:eastAsia="Times New Roman" w:hAnsi="Times New Roman"/>
                <w:sz w:val="22"/>
                <w:szCs w:val="22"/>
                <w:color w:val="auto"/>
              </w:rPr>
              <w:t>Reg. No.</w:t>
            </w:r>
          </w:p>
        </w:tc>
        <w:tc>
          <w:tcPr>
            <w:tcW w:w="1680" w:type="dxa"/>
            <w:vAlign w:val="bottom"/>
            <w:tcBorders>
              <w:top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2"/>
                <w:szCs w:val="22"/>
                <w:color w:val="auto"/>
                <w:w w:val="97"/>
              </w:rPr>
              <w:t>Reg. Date</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(Alien Face Design)</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97778166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2023-02-02</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7707284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2025-02-25</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(Flower Design)</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77630736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2008-12-10</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3688542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2009-09-29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(Leaf Design)</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85256543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2011-03-03</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4258312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2012-12-11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(Skull Face Design)</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97778162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2023-02-02</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7707283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2025-02-25</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(Spartan Helmet Design)</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77727521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2009-05-01</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3718258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2009-12-01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(Spartan Helmet Design)</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87001519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2016-04-14</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5229281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2017-06-20</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(Sun, Water, and Leaf Design)</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77429495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2008-03-24</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3544957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2008-12-09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AC / DE</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85953123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2013-06-06</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4549414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2014-06-10</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ACID DROP</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88339715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2019-03-14</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6137210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2020-08-25</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ACTIVE CAN-LITE FILTER</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85698801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2012-08-08</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5124522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2017-01-17</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ACTIVE CAN-LITE FILTER</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97336035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2022-03-29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ACTIVE CAN-LITE FILTER</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97337204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2022-03-29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ADVANCED NUTRIENT</w:t>
            </w:r>
          </w:p>
        </w:tc>
        <w:tc>
          <w:tcPr>
            <w:tcW w:w="1680" w:type="dxa"/>
            <w:vAlign w:val="bottom"/>
            <w:tcBorders>
              <w:right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78567584</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2005-02-15</w:t>
            </w:r>
          </w:p>
        </w:tc>
        <w:tc>
          <w:tcPr>
            <w:tcW w:w="168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3076223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2006-04-04</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SYSTEM</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AEROFLO</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75389640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1997-11-13</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2287106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1999-10-19</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AGROLED</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85195652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2010-12-10</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3982794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2011-06-21</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AGROTECH</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77076145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2007-01-04</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3409961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2008-04-08</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AIR OUT</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87107607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2016-07-18</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5365832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2017-12-26</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ALCHEMIST</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87102656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2016-07-13</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5215311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2017-05-30</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ALCHEMIST</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97372286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2022-04-20</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ALCHEMIST</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97372291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2022-04-20</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ALICE'S GARDEN</w:t>
            </w:r>
          </w:p>
        </w:tc>
        <w:tc>
          <w:tcPr>
            <w:tcW w:w="1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78916195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2006-06-24</w:t>
            </w:r>
          </w:p>
        </w:tc>
        <w:tc>
          <w:tcPr>
            <w:tcW w:w="168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3459657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2008-07-01</w:t>
            </w:r>
          </w:p>
        </w:tc>
      </w:tr>
    </w:tbl>
    <w:p>
      <w:pPr>
        <w:sectPr>
          <w:pgSz w:w="11900" w:h="16838" w:orient="portrait"/>
          <w:cols w:equalWidth="0" w:num="1">
            <w:col w:w="11260"/>
          </w:cols>
          <w:pgMar w:left="320" w:top="1440" w:right="319" w:bottom="1440" w:gutter="0" w:footer="0" w:header="0"/>
        </w:sectPr>
      </w:pPr>
    </w:p>
    <w:bookmarkStart w:id="338" w:name="page339"/>
    <w:bookmarkEnd w:id="33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ANCIENT FOREST</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77334705</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2007-11-20</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3609674</w:t>
            </w:r>
          </w:p>
        </w:tc>
        <w:tc>
          <w:tcPr>
            <w:tcW w:w="168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2009-04-21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APOLLO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85494385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2011-12-13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4150296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2012-05-29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AQUA CLONE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86875434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2016-01-14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5083705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2016-11-15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AQUA HEAT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87402987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2017-04-07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5334232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2017-11-14</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AQUASHIELD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77571301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2008-09-16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3646292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2009-06-30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ARES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85750880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2012-10-10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4397760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2013-09-03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ARMOR SI</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85664084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2012-06-28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4397468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2013-09-03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ATLAS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85288121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2011-04-06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4028950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2011-09-20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BEES KNEES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99287338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2025-07-16</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BHUDZ</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90281768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2020-10-27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6925610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2022-12-13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BHULK</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88654270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2019-10-15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6218056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2020-12-08</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BIGBOY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90260047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2020-10-16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6416239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2021-07-13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BIOBUD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77704779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2009-04-01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3741118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2010-01-19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BIOMARINE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77524478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2008-07-17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3732291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2009-12-29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BIOROOT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77604532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2008-10-30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3745332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2010-02-02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BIOTHRIVE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78366007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2004-02-11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3021902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2005-11-29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BIOWEED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77705141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2009-04-02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3741119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2010-01-19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BLHUME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88654273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2019-10-15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6218057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2020-12-08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BLOCKBUSTER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77796975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2009-08-04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3848774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2010-09-14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BOTANICARE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76214852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2001-02-23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2679845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2003-01-28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BOTANICARE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77122522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2007-03-05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3367984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2008-01-15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BOTANICARE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97335334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2022-03-29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BOTANICARE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97335337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2022-03-29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BOTANICARE COCOPRO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88714191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2019-12-04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6782807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2022-07-05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BREAKWATER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99021988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2025-01-29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CALIMAGIC</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85357510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2011-06-27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4207362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2012-09-11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CAL-MAG PLUS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86125186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2013-11-21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4647959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2014-12-02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CAMG+</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77755241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2009-06-09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3734186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2010-01-05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CAN-FILTERS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76479288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2002-12-31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3069655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2006-03-21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CHARGED COCO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86639056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2015-05-22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5014125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2016-08-02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CHLORASHIELD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88208695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2018-11-28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5787494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2019-06-25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CLAMP CLIP</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86479451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2014-12-12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4843125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2015-10-27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CLEAREX</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76214815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2001-02-23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2507022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2001-11-13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CNS17</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78773913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2005-12-15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3257137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2007-06-26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CO2 RAIN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86492707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2014-12-30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4869568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2015-12-15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COCOGRO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78405705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2004-04-21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3015132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2005-11-15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COCONOT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85475325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2011-11-17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4175108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2012-07-17</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COCOPRO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88948162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2020-06-04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6775497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2022-06-28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COCOROX</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85388701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2011-08-03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4219147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2012-10-02</w:t>
            </w:r>
          </w:p>
        </w:tc>
      </w:tr>
    </w:tbl>
    <w:p>
      <w:pPr>
        <w:sectPr>
          <w:pgSz w:w="11900" w:h="16838" w:orient="portrait"/>
          <w:cols w:equalWidth="0" w:num="1">
            <w:col w:w="11180"/>
          </w:cols>
          <w:pgMar w:left="320" w:top="1440" w:right="399" w:bottom="1440" w:gutter="0" w:footer="0" w:header="0"/>
        </w:sectPr>
      </w:pPr>
    </w:p>
    <w:bookmarkStart w:id="339" w:name="page340"/>
    <w:bookmarkEnd w:id="33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COCOTEK</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76009560</w:t>
            </w:r>
          </w:p>
        </w:tc>
        <w:tc>
          <w:tcPr>
            <w:tcW w:w="166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2000-03-27</w:t>
            </w:r>
          </w:p>
        </w:tc>
        <w:tc>
          <w:tcPr>
            <w:tcW w:w="168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2595318</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2002-07-16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CROP CLIP</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86535012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2015-02-13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4906427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2016-02-23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CYCLONE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86306153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2014-06-11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4960804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2016-05-17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CYCO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85275260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2011-03-24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4052557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2011-11-08</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DEEP COVER MISTER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90281765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2020-10-27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6648025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2022-02-15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DIAMOND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85771912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2012-11-05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4998499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2016-07-12</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DOMINATOR XXXL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85762638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2012-10-24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4548454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2014-06-10</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ECOGROWER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78431234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2004-06-07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3077656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2006-04-04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ECONO WING REFLECTOR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78479368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2004-09-07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3262059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2007-07-10</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ECOPLUS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78361853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2004-02-03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3110088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2006-06-27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ECOPLUS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86767432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2015-09-24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5330243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2017-11-07</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ECOSPRING</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90787754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2021-06-22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6724684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2022-05-24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ECOSPRING</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90817620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2021-07-08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6724740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2022-05-24</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EOS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85290184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2011-04-08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4049180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2011-11-01</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ETELLIGENT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87466201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2017-05-26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5482481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2018-05-29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EZ BREEZE</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77377114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2008-01-22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3544835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2008-12-09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EZ FLEX</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86313741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2014-06-18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4914523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2016-03-08</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EZ PULL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86357410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2014-08-05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4919678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2016-03-15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FARMER'S MARKET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88377325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2019-04-09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6137261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2020-08-25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FAST FIT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85401295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2011-08-18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4140388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2012-05-08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FF</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85459537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2011-10-28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4169372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2012-07-03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FLO-N-GRO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85024623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2010-04-27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3902247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2011-01-04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FLORA KLEEN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78285091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2003-08-08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2877535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2004-08-24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FLORA SERIES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77221724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2007-07-03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3494774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2008-09-02</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FLORA SERIES TRILOGY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98606632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2024-06-18</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FLORABLEND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78691078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2005-08-11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3336396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2007-11-13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FLORABLOOM</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75389659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1997-11-13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2212923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1998-12-22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FLORADUO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85146754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2010-10-06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4001532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2011-07-26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FLORAGRO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75389839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1997-11-13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2208987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1998-12-08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FLORALICIOUS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78123765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2002-04-24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2748936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2003-08-05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FLORAMATO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76415742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2002-05-28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2688646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2003-02-18</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FLORAMICRO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75389649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1997-11-13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2212920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1998-12-22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FLORANECTAR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77264074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2007-08-24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3487513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2008-08-19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FLORANOVA</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78241016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2003-04-23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2940790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2005-04-12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FLORAPRO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87607942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2017-09-14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6008367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2020-03-10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FLORASHIELD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76246056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2001-04-26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2599338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2002-07-23</w:t>
            </w:r>
          </w:p>
        </w:tc>
      </w:tr>
    </w:tbl>
    <w:p>
      <w:pPr>
        <w:sectPr>
          <w:pgSz w:w="11900" w:h="16838" w:orient="portrait"/>
          <w:cols w:equalWidth="0" w:num="1">
            <w:col w:w="11180"/>
          </w:cols>
          <w:pgMar w:left="320" w:top="1440" w:right="399" w:bottom="1440" w:gutter="0" w:footer="0" w:header="0"/>
        </w:sectPr>
      </w:pPr>
    </w:p>
    <w:bookmarkStart w:id="340" w:name="page341"/>
    <w:bookmarkEnd w:id="34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FLORESSENCE</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88377331</w:t>
            </w:r>
          </w:p>
        </w:tc>
        <w:tc>
          <w:tcPr>
            <w:tcW w:w="166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2019-04-09</w:t>
            </w:r>
          </w:p>
        </w:tc>
        <w:tc>
          <w:tcPr>
            <w:tcW w:w="168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6137262</w:t>
            </w:r>
          </w:p>
        </w:tc>
        <w:tc>
          <w:tcPr>
            <w:tcW w:w="168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2020-08-25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FRUITNFUSION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77345165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2007-12-05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3462094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2008-07-08</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GALAXY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78803143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2006-01-31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3321092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2007-10-23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GALAXY DIGITAL LOGIC</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85795523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2012-12-05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4548532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2014-06-10</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GARDEN PARTY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99287334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2025-07-16</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GENERAL HYDROPONICS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75381887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1997-10-30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2256620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1999-06-29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GENERAL HYDROPONICS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75381889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1997-10-30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2260505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1999-07-13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GENERAL HYDROPONICS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97335330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2022-03-29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GENERAL HYDROPONICS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97335333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2022-03-29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GENERAL HYDROPONICS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99298085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2025-07-23</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RAPIDSTART ROOTING</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GEL</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GENERAL ORGANICS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78291464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2003-08-23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3437504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2008-05-27</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GH</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77633446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2008-12-15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3688554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2009-09-29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GIANT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86406397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2014-09-25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4899254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2016-02-09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GO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87846865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2018-03-23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6646595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2022-02-15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GREAT WHITE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77350647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2007-12-12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3535159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2008-11-18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GREEN EYE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86492679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2014-12-30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4869567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2015-12-15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GRO MOMMA</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86429728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2014-10-21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4748060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2015-06-02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87060016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2016-06-03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5194481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2017-05-02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97372265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2022-04-20</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97372282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2022-04-20</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GROUNDSWELL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87418527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2017-04-20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5482373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2018-05-29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GROVISION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86638307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2015-05-21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4938360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2016-04-12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GROWERS EDGE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85526569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2012-01-26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4325483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2013-04-23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GROWER'S EDGE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86563341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2015-03-13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5586511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2018-10-16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GROWER'S EDGE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86610890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2015-04-27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4925496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2016-03-29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GROWER'S EDGE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86981833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2015-03-13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5188146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2017-04-18</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GROWING CLIMATE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86754473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2015-09-11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5033399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2016-08-30</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SOLUTIONS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GROWLAB</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77144025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2007-03-29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3456390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2008-07-01</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HORTICULTURAL</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HARD CORE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85648835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2012-06-11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4381083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2013-08-06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HARVEST KEEPER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86077488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2013-09-27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4728481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2015-04-28</w:t>
            </w:r>
          </w:p>
        </w:tc>
      </w:tr>
    </w:tbl>
    <w:p>
      <w:pPr>
        <w:sectPr>
          <w:pgSz w:w="11900" w:h="16838" w:orient="portrait"/>
          <w:cols w:equalWidth="0" w:num="1">
            <w:col w:w="11180"/>
          </w:cols>
          <w:pgMar w:left="320" w:top="1440" w:right="399" w:bottom="1440" w:gutter="0" w:footer="0" w:header="0"/>
        </w:sectPr>
      </w:pPr>
    </w:p>
    <w:bookmarkStart w:id="341" w:name="page342"/>
    <w:bookmarkEnd w:id="34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HARVEST KEEPER</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86978378</w:t>
            </w:r>
          </w:p>
        </w:tc>
        <w:tc>
          <w:tcPr>
            <w:tcW w:w="166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2013-10-25</w:t>
            </w:r>
          </w:p>
        </w:tc>
        <w:tc>
          <w:tcPr>
            <w:tcW w:w="168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4943020</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2016-04-19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HARVEST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77435304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2008-03-31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3524036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2008-10-28</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HARVESTPRO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87584544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2017-08-25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6434783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2021-07-27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HAWTHORNE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88749787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2020-01-07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7019317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2023-04-04</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HAWTHORNE GARDENING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88390294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2019-04-17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5925096</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2019-12-03</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HAWTHORNE GARDENING</w:t>
            </w:r>
          </w:p>
        </w:tc>
        <w:tc>
          <w:tcPr>
            <w:tcW w:w="1680" w:type="dxa"/>
            <w:vAlign w:val="bottom"/>
            <w:tcBorders>
              <w:right w:val="single" w:sz="8" w:color="auto"/>
            </w:tcBorders>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88390311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2019-04-17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6918597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2022-12-06</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HEAVY BRIX MOLASSES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86415855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2014-10-06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4947099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2016-04-26</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HELIOS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85140156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2010-09-28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3957794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2011-05-10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HERCULES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86428713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2014-10-20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4751861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2015-06-09</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HIGH PERFORMANCE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86604493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2015-04-21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5019433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2016-08-09</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SHADES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HIGH STAKES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86534997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2015-02-13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4947610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2016-04-26</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HI-RES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98458259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2024-03-20</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HYDRO FLOW</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85377262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2011-07-21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4144315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2012-05-15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HYDRO FLOW</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85601836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2012-04-18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4250134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2012-11-27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HYDRO FLOW</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85602289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2012-04-19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4253748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2012-12-04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HYDROGUARD</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85801191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2012-12-12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4472301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2014-01-21</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HYDROLOGIC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97345044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2022-04-04</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PURIFICATION SYSTEMS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HYDROLOGIC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97345051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2022-04-04</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PURIFICATION SYSTEMS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HYDRO-LOGIC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85228271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2011-01-27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4039863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2011-10-11</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PURIFICATION SYSTEMS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HYDROPLEX</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77919422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2010-01-25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3844496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2010-09-07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HYDROTON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86273542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2014-05-06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4652890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2014-12-09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HYDROVESCENT AIR DISC</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86682048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2015-07-02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5028337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2016-08-23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HYPER ARC</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87225594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2016-11-03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5267734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2017-08-15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HYPERION</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86011761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2013-07-16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4791144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2015-08-11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HYPERLOGIC</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86331127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2014-07-08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4770250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2015-07-07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IDEAL AIR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87258857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2016-12-06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5578026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2018-10-09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IDEAL AIR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97372273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2022-04-20</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IDEAL AIR COMMERCIAL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86631501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2015-05-15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4967591</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2016-05-31</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GRADE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IDEAL H2O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86562143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2015-03-12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4804186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2015-09-01</w:t>
            </w:r>
          </w:p>
        </w:tc>
      </w:tr>
    </w:tbl>
    <w:p>
      <w:pPr>
        <w:sectPr>
          <w:pgSz w:w="11900" w:h="16838" w:orient="portrait"/>
          <w:cols w:equalWidth="0" w:num="1">
            <w:col w:w="11180"/>
          </w:cols>
          <w:pgMar w:left="320" w:top="1440" w:right="399" w:bottom="1440" w:gutter="0" w:footer="0" w:header="0"/>
        </w:sectPr>
      </w:pPr>
    </w:p>
    <w:bookmarkStart w:id="342" w:name="page343"/>
    <w:bookmarkEnd w:id="34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IDEAL-AIR</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87977865</w:t>
            </w:r>
          </w:p>
        </w:tc>
        <w:tc>
          <w:tcPr>
            <w:tcW w:w="166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2016-12-06</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5581007</w:t>
            </w:r>
          </w:p>
        </w:tc>
        <w:tc>
          <w:tcPr>
            <w:tcW w:w="168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2018-10-09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INNER SUN</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78694411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2005-08-17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3303854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2007-10-02</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IRRADIATOR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85762651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2012-10-24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4389825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2013-08-20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ISUNLIGHT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85438705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2011-10-04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4201196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2012-09-04</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JAWS</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97511584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2022-07-20</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KIND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85189038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2010-12-02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4372919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2013-07-23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KIND BASE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86087886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2013-10-10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4595828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2014-09-02</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KOOLBLOOM</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78214499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2003-02-13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2883192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2004-09-07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LEC</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86263296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2014-04-25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4625060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2014-10-21</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LEC</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87104491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2016-07-14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5341804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2017-11-21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LEC</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87210773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2016-10-20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5357861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2017-12-19</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LEGACY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85931791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2013-05-14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4573434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2014-07-22</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LEVEL LIFT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87910515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2018-05-07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5773028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2019-06-11</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LIGHT EMITTING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86263309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2014-04-25</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4686155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2015-02-10</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CERAMIC</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LIGHT EMITTING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87104507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2016-07-14</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5267932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2017-08-15</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CERAMIC</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LIGHT EMITTING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87210776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2016-10-20</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5494062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2018-06-12</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CERAMIC</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LIQUICRAFT BLOOM</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88377334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2019-04-09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6190657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2020-11-03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LIQUICRAFT GROW</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88377342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2019-04-09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6190658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2020-11-03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LIQUID KARMA</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76378595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2002-03-05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2723592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2003-06-10</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LUMENMAX</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78495610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2004-10-06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3112961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2006-07-04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LUXX LIGHTING</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90293299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2020-11-02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6460193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2021-08-24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LUXX LIGHTING CO.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87350812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2017-02-27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5476591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2018-05-22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MAGNUM LOW PRO XXXL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86404645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2014-09-24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5027673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2016-08-23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MAGNUM XXXL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77946602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2010-02-27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3906718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2011-01-18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MASTER GREEN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87732333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2017-12-22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5795303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2019-07-02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MAX-DUCT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85698742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2012-08-08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5111815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2017-01-03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MAX-FAN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85698745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2012-08-08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4851562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2015-11-10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MAX-FAN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85698925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2012-08-08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4851563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2015-11-10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MAXIBLOOM</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77328666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2007-11-13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3461821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2008-07-08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MEASURE MASTER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85525268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2012-01-25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4269664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2013-01-01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MEASURE MASTER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87245919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2016-11-22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5218568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2017-06-06</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MEASURE MASTER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88635554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2019-09-30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6063102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2020-05-26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MERCURY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85081363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2010-07-09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3908139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2011-01-18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MICRO GARDEN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78406689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2004-04-22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3027009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2005-12-13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MICRO75</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90787764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2021-06-22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6724686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2022-05-24</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MICRO75</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90817610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2021-07-08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6724738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2022-05-24</w:t>
            </w:r>
          </w:p>
        </w:tc>
      </w:tr>
    </w:tbl>
    <w:p>
      <w:pPr>
        <w:sectPr>
          <w:pgSz w:w="11900" w:h="16838" w:orient="portrait"/>
          <w:cols w:equalWidth="0" w:num="1">
            <w:col w:w="11180"/>
          </w:cols>
          <w:pgMar w:left="320" w:top="1440" w:right="399" w:bottom="1440" w:gutter="0" w:footer="0" w:header="0"/>
        </w:sectPr>
      </w:pPr>
    </w:p>
    <w:bookmarkStart w:id="343" w:name="page344"/>
    <w:bookmarkEnd w:id="34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MOTHER EARTH</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78550904</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2005-01-20</w:t>
            </w:r>
          </w:p>
        </w:tc>
        <w:tc>
          <w:tcPr>
            <w:tcW w:w="168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3254164</w:t>
            </w:r>
          </w:p>
        </w:tc>
        <w:tc>
          <w:tcPr>
            <w:tcW w:w="168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2007-06-19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MOTHER EARTH</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86949120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2016-03-22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5059505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2016-10-11</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MOTHER EARTH</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86949146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2016-03-22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5059506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2016-10-11</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MOTHER EARTH</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97335339</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2022-03-29</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EXPERTLY CRAFTED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MEDIAS &amp; AMENDMENTS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MOTHER EARTH</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97335341</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2022-03-29</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EXPERTLY CRAFTED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MEDIAS &amp; AMENDMENTS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NATIONAL GARDEN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78688982</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2005-08-09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3188356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2006-12-19</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WHOLESALE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NEW WAVE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78464192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2004-08-09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3143158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2006-09-12</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NX LEVEL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86686774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2015-07-08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5014323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2016-08-02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ORGANICARE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77632330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2008-12-12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3678997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2009-09-08</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ORGANICARE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78799822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2006-01-26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3525801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2008-10-28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ORGANICARE BLOOM</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90531639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2021-02-17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7081287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2023-06-13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ORGANICARE GROW</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90531642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2021-02-17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6958375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2023-01-17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PAR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85870247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2013-03-07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5045843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2016-09-20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PAR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87650847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2017-10-18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5460826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2018-05-01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PHRESH</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77612372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2008-11-11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3694025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2009-10-06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PINEAPPLERUSH</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85172832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2010-11-09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3966425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2011-05-24</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POWER CLONER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78790163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2006-01-12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3227210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2007-04-10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PREEVOLUTION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90787759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2021-06-22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6724685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2022-05-24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PREEVOLUTION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90817617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2021-07-08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6724739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2022-05-24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PROGRO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90518873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2021-02-08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7087570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2023-06-20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PRORELEASE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90207268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2020-09-24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6702498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2022-04-12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PURE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77257564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2007-08-16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3551121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2008-12-23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PURE BLEND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78790409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2006-01-12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3180595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2006-12-05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PURE BLEND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86276124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2014-05-08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4674555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2015-01-20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PURE BLEND TEA</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86275149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2014-05-07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4666481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2015-01-06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PURPINATOR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88410151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2019-04-30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5902909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2019-11-05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PURPINATOR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88410155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2019-04-30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5902910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2019-11-05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Q-MAX</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87467784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2017-05-30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6891578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2022-11-08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RAIN RING</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86309474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2014-06-13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4905788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2016-02-23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RAINFOREST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75389644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1997-11-13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2287107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1999-10-19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RAINMAKER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85509895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2012-01-05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4269614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2013-01-01</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RAINMAKER DEEP COVER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90135366</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2020-08-25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6890199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2022-11-01</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MISTER</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44" w:name="page345"/>
    <w:bookmarkEnd w:id="34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RAPID ROOTER</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76215358</w:t>
            </w:r>
          </w:p>
        </w:tc>
        <w:tc>
          <w:tcPr>
            <w:tcW w:w="166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2001-02-26</w:t>
            </w:r>
          </w:p>
        </w:tc>
        <w:tc>
          <w:tcPr>
            <w:tcW w:w="168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2674009</w:t>
            </w:r>
          </w:p>
        </w:tc>
        <w:tc>
          <w:tcPr>
            <w:tcW w:w="168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2003-01-14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RAPIDSTART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77338670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2007-11-28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3894234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2010-12-21</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RARE EARTH</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76009561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2000-03-27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2596232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2002-07-16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RHIZOBLAST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86134668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2013-12-04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4629879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2014-10-28</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ROOT DOWN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97294455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2022-03-03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6964359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2023-01-24</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ROOT RAIN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87637018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2017-10-06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5874872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2019-10-01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ROOT STAR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86669995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2015-06-22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5014262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2016-08-02</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RYZOFUEL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86682934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2015-07-03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5092202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2016-11-29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SE BOSS</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87628112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2017-09-29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5460823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2018-05-01</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SEAPLEX</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77258045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2007-08-17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3535002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2008-11-18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SEASON'S CHOICE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88377337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2019-04-09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6137263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2020-08-25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SENSHI</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86857638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2015-12-22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5083676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2016-11-15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SHEAR PERFECTION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86124793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2013-11-20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4809256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2015-09-08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SILICA BLAST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86276135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2014-05-08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4666505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2015-01-06</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SIMPLE START</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86511515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2015-01-22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4915041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2016-03-08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SINGLED OUT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86558938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2015-03-10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5182151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2017-04-11</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SKY HOOK</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86790760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2015-10-16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5028590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2016-08-23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SMALL BOY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85420179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2011-09-12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4280474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2013-01-22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SMART VOLT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78836796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2006-03-14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3345837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2007-11-27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SNAPTURE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78240994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2003-04-23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2978727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2005-07-26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SOLOGRO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78405969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2004-04-21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2947966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2005-05-10</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SPARTAN SERIES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86427329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2014-10-17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4748047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2015-06-02</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SPARTAN SERIES BY TITAN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86428551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2014-10-20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4767865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2015-07-07</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CONTROLS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SPECTRALUX</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77035428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2006-11-02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3369952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2008-01-15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STOUT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87336640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2017-02-15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5536626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2018-08-07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SUBCULTURE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78386290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2004-03-17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2996040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2005-09-13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SUBTERRA</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88377321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2019-04-09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6137260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2020-08-25</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SUGA RUSH</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86436797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2014-10-28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4755770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2015-06-16</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SUGAR LOAD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86445239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2014-11-05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4914808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2016-03-08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SUN BLAZE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78596991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2005-03-29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3146841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2006-09-19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SUN HOIST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86741017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2015-08-28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5880301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2019-10-08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SUN HUT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77076395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2007-01-04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3370046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2008-01-15</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SUN SPOOL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85271283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2011-03-18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4226600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2012-10-16</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SUN SYSTEM</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77909454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2010-01-11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3888950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2010-12-14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SUN SYSTEM</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86885420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2016-01-25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5601679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2018-11-06</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SUN SYSTEM HELIOGROW</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99372246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2025-09-03</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LED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SUNLIFT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78480844</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2004-09-09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3405291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2008-04-01</w:t>
            </w:r>
          </w:p>
        </w:tc>
      </w:tr>
    </w:tbl>
    <w:p>
      <w:pPr>
        <w:sectPr>
          <w:pgSz w:w="11900" w:h="16838" w:orient="portrait"/>
          <w:cols w:equalWidth="0" w:num="1">
            <w:col w:w="11180"/>
          </w:cols>
          <w:pgMar w:left="320" w:top="1440" w:right="399" w:bottom="1440" w:gutter="0" w:footer="0" w:header="0"/>
        </w:sectPr>
      </w:pPr>
    </w:p>
    <w:bookmarkStart w:id="345" w:name="page346"/>
    <w:bookmarkEnd w:id="34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SUNLIGHT</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86142097</w:t>
            </w:r>
          </w:p>
        </w:tc>
        <w:tc>
          <w:tcPr>
            <w:tcW w:w="166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2013-12-12</w:t>
            </w:r>
          </w:p>
        </w:tc>
        <w:tc>
          <w:tcPr>
            <w:tcW w:w="168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4679842</w:t>
            </w:r>
          </w:p>
        </w:tc>
        <w:tc>
          <w:tcPr>
            <w:tcW w:w="168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2015-01-27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SUPA STIKY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86682931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2015-07-03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5083185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2016-11-15</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SUPER LOGIC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85669647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2012-07-05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4419582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2013-10-15</w:t>
            </w: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PROFESSIONAL</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COMMERCIAL REVERSE</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OSMOSIS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SUPER SPROUTER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86255596</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2014-04-17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4802007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2015-09-01</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SUPER SPROUTER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87550300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2017-07-31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5563664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2018-09-18</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SUPER SPROUTER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90135370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2020-08-25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6647606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2022-02-15</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AIRMAX</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SUPER SUN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78323099</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2003-11-04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2906644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2004-11-30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SUPERSPROUTER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87470267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2017-05-31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6348303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2021-05-11</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SUPERSPROUTER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86503367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2015-01-14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4752105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2015-06-09</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SEEDLING HEAT MAT</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SURE TEST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86979601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2014-07-30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5019386</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2016-08-09</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SWEET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78610298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2005-04-15</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3329090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2007-11-06</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TALL BOY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85420167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2011-09-12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4280473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2013-01-22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TEK 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78683673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2005-08-02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3262675</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2007-07-10</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TERPINATOR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86254161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2014-04-16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4641088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2014-11-18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TERPINATOR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86254191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2014-04-16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4641091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2014-11-18</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TERRACRAFT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88258847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2019-01-11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6185803</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2020-10-27</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THE ART OF PROPAGATION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86518582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2015-01-29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4938024</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2016-04-12</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THE BIG EASY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85886805</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2013-03-26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4435791</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2013-11-19</w:t>
            </w: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THE ORIGINAL CAN-FAN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76479285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2002-12-31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3018947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2005-11-29</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L'AUTHENTIQUE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THE ORIGINAL CAN-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76479287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2002-12-31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3047314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2006-01-24</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FILTERS L'AUTHENTIQUE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TITAN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97626702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2022-10-11</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TITAN CONTROLS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77464372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2008-05-02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3604100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2009-04-07</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TITAN CONTROLS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97336041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2022-03-29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TITAN CONTROLS</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97337211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2022-03-29</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TRIFECTA</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85783973</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2012-11-20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4408567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2013-09-24</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TRILOCK</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90597148</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2021-03-23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7081327</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2023-06-13</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TRISHIELD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90518871</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2021-02-08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7062712</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2023-05-23</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TRUE LIBERTY</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87873002</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2018-04-11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5626398</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2018-12-11</w:t>
            </w: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TRUE LIBERTY BAGS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87873177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2018-04-11</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5626400</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2018-12-11</w:t>
            </w:r>
          </w:p>
        </w:tc>
      </w:tr>
      <w:tr>
        <w:trPr>
          <w:trHeight w:val="291"/>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TRUEFLO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98325367</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2023-12-21</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ULTRA SUN</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86127070</w:t>
            </w:r>
          </w:p>
        </w:tc>
        <w:tc>
          <w:tcPr>
            <w:tcW w:w="1660" w:type="dxa"/>
            <w:vAlign w:val="bottom"/>
            <w:tcBorders>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2013-11-22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4560359</w:t>
            </w:r>
          </w:p>
        </w:tc>
        <w:tc>
          <w:tcPr>
            <w:tcW w:w="168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2014-07-01</w:t>
            </w:r>
          </w:p>
        </w:tc>
      </w:tr>
    </w:tbl>
    <w:p>
      <w:pPr>
        <w:sectPr>
          <w:pgSz w:w="11900" w:h="16838" w:orient="portrait"/>
          <w:cols w:equalWidth="0" w:num="1">
            <w:col w:w="11180"/>
          </w:cols>
          <w:pgMar w:left="320" w:top="1440" w:right="399" w:bottom="1440" w:gutter="0" w:footer="0" w:header="0"/>
        </w:sectPr>
      </w:pPr>
    </w:p>
    <w:bookmarkStart w:id="346" w:name="page347"/>
    <w:bookmarkEnd w:id="34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URBAN OASIS</w:t>
            </w:r>
          </w:p>
        </w:tc>
        <w:tc>
          <w:tcPr>
            <w:tcW w:w="16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86505964</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2015-01-16</w:t>
            </w:r>
          </w:p>
        </w:tc>
        <w:tc>
          <w:tcPr>
            <w:tcW w:w="168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4790584</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2015-08-11</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VERMIBLEND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85479308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2011-11-22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4175440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2012-07-17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VERMICROP ORGANICS</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77270813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2007-09-04</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3408907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2008-04-08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VERMIFEAST</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85693896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2012-08-02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4309018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2013-03-26</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VERMIFIRE</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85693700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2012-08-02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4309008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2013-03-26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VERMIPRO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86158336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2014-01-06</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4809365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2015-09-08</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VERMISOIL</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85476293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2011-11-18</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4175204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2012-07-17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VERTIZONTAL REFLECTOR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78466378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2004-08-12</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3070261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2006-03-21</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VGANIC</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77604394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2008-10-30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3825883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2010-07-27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VITAMINO</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85083724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2010-07-13</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4250515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2012-11-27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WATERFARM</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77618022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2008-11-19</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3678935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2009-09-08</w:t>
            </w: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WILD CHILD</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99287340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2025-07-16</w:t>
            </w: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YIELD MASTER</w:t>
            </w:r>
          </w:p>
        </w:tc>
        <w:tc>
          <w:tcPr>
            <w:tcW w:w="168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78840083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2006-03-17</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3327517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2007-10-30</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YOUR BEST START FOR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87470626</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2017-05-31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6322432</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2021-04-13</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SEEDS AND CUTTINGS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YOUR INDUSTRY OUR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90585339</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2021-03-17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6628989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2022-01-25</w:t>
            </w: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INDUSTRY</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90"/>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HGCI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ZEPHYR</w:t>
            </w:r>
          </w:p>
        </w:tc>
        <w:tc>
          <w:tcPr>
            <w:tcW w:w="168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88636113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2019-09-30</w:t>
            </w:r>
          </w:p>
        </w:tc>
        <w:tc>
          <w:tcPr>
            <w:tcW w:w="168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6198241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2020-11-17</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(Bird Image)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90764807</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2021-06-09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7003105</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2023-03-21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(Bottle Design)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78398161</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2004-04-07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2996182</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2005-09-13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(Floral Image)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74345087</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1993-01-04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1854361</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1994-09-20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(Girl and Boy Image)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85975701</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2010-11-16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4050957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2011-11-01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(Girl and Dog Image)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85975557</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2010-11-16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4050944</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2011-11-01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(Petal Image)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85624947</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4373489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2013-07-23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(Petal Image)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85979212</w:t>
            </w:r>
          </w:p>
        </w:tc>
        <w:tc>
          <w:tcPr>
            <w:tcW w:w="1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4359363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2013-06-25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47" w:name="page348"/>
    <w:bookmarkEnd w:id="34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(Petal Image)</w:t>
            </w:r>
          </w:p>
        </w:tc>
        <w:tc>
          <w:tcPr>
            <w:tcW w:w="1680" w:type="dxa"/>
            <w:vAlign w:val="bottom"/>
            <w:tcBorders>
              <w:top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86518118</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2015-01-29</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4840082</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2015-10-27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(Rectangular Design Image)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74642109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1995-03-06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2139929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1998-03-03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(Rectangular Design)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76568151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2003-12-22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2991191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2005-09-06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(Rectangular Design)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76568418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2003-12-22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2950646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2005-05-10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(Rectangular Design)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76568421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2003-12-22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2991195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2005-09-06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10 MINUTE LAWN CARE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98431400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2024-03-04</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EZ FEED PLUS</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GREENING POWER</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10 MINUTE LAWN CARE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98431402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2024-03-04</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EZ FEED PLUS</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WEED CONTROL</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1868 VENTURES 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88796618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2020-02-13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6342896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2021-05-04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AERATE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90339226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2020-11-24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7013054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2023-03-28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AEROFLOAT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98123950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2023-08-09</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AEROGARDEN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88681006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2019-11-05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6069037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2020-06-02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AEROGARDEN BOUNTY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98177724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2023-09-13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7340097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2024-03-26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AEROGARDEN SPRIG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98177726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2023-09-13</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ALL IN ONE PARTICLES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88331364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2019-03-08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5851560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2019-09-03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48" w:name="page349"/>
    <w:bookmarkEnd w:id="34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ALL-IN-ONE PARTICLES</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75823259</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1999-10-14</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2459228</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2001-06-12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AMAZE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88653256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2019-10-14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6229423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2020-12-22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AMAZE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88653257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2019-10-14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6229424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2020-12-22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AMAZE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88653261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2019-10-14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6412086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2021-07-06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AMAZE MOIST-SURE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88654274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2019-10-15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6456489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2021-08-17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POTTING MIX</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AMBITIOUS GRASS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88731428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2019-12-18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6937058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2022-12-27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AQUACOIR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76067562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2000-06-09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2533745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2002-01-29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ASSURANCE PARTICLE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85788102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2012-11-27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4618073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2014-10-07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TECHNOLOGY</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B</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90754383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2021-06-04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6778395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2022-07-05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B 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85658978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2012-06-22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4268320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2013-01-01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BAD SPOT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88420884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2019-05-08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6054814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2020-05-12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BARK YARD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88420872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2019-05-08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6222792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2020-12-15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BARK YARD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88636108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2019-09-30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6097909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2020-07-07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BARKYARD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88749585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2020-01-07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6449663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2021-08-10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BARKYARD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88749588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2020-01-07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6449664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2021-08-10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49" w:name="page350"/>
    <w:bookmarkEnd w:id="34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BARKYARD</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88749590</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2020-01-07</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6218317</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2020-12-08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BARKYARD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88749593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2020-01-07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6290583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2021-03-09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BIRD • B • GONE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98933284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2025-01-02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BIRD • B • GONE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98933285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2025-01-02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BIRD • B • GONE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98933286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2025-01-02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BIRD • B • GONE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98933289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2025-01-02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BIRD • B • GONE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98933290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2025-01-02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BIRD·B·GONE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76255846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2001-05-11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2658355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2002-12-10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BIRD-B-GONE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75680795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1999-04-12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2562771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2002-04-23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BLACK MAGIC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73026147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1974-07-05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1025987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1975-12-02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BLACK MAGIC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86795720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2015-10-22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5060901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2016-10-11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BLADEBOOST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97824683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2023-03-06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7590634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2024-12-03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BLOOM BOOSTER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75532220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1998-08-06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2352695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2000-05-23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BOLD BLOOMS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85163052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2010-10-27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4154872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2012-06-05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BONE MEAL ADDED TO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78478709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2004-09-03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3102399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2006-06-06</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GROW BIG, BEAUTIFUL</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BLOOMS!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0" w:name="page351"/>
    <w:bookmarkEnd w:id="35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BONUS</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72057014</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1958-08-11</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0671699</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1958-12-30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BOVUNG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72002732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1956-02-15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0637918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1956-12-04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BRED IN THE SOUTH FOR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78750656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2005-11-09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3145564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2006-09-19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SOUTH</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BUG B 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77187581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2007-05-22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4198679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2012-08-28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BUG B GON MAX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76527628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2003-06-25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2907105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2004-11-30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BUG B GON MAX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78335226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2003-12-02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2980869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2005-08-02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BUG B-GON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88699950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2019-11-20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6798248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2022-07-19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BUG-B-GON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74663974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1995-04-20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2073033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1997-06-24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BUGCLEAR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88375420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2019-04-08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6154340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2020-09-15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BUG-GETA</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71408561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1938-07-16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0364386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1939-01-31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BUG-GETA</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76568423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2003-12-22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2908136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2004-12-07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BULB FUEL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85163063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2010-10-27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4158526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2012-06-12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CATSTOP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78502664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2004-10-20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3045478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2006-01-17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CLASSIC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75552863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1998-09-14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2259667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1999-07-06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COLOR ADVANTAGE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85136819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2010-09-23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4268705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2013-01-01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1" w:name="page352"/>
    <w:bookmarkEnd w:id="35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COLORGUARD</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78461713</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2004-08-04</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3119220</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2006-07-25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COLORLAST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88604092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2019-09-04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6078447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2020-06-16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COLORSHIELD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85620509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2012-05-09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4217967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2012-10-02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COLORSTAY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88596010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2019-08-28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6002623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2020-03-03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COMFORT WAND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85008807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2010-04-07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4191099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2012-08-14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CREATING A DIRT NERD'S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98512322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2024-04-22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PARADISE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DARKNESS FOR THE</w:t>
            </w:r>
          </w:p>
        </w:tc>
        <w:tc>
          <w:tcPr>
            <w:tcW w:w="1680" w:type="dxa"/>
            <w:vAlign w:val="bottom"/>
            <w:tcBorders>
              <w:right w:val="single" w:sz="8" w:color="auto"/>
            </w:tcBorders>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86759611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2015-09-17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5042734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2016-09-13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GREATER GOOD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DEDICATED TO A</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76483029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2003-01-15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2771509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2003-10-07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BEAUTIFUL WORLD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DEDICATED TO A</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76554782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2003-10-28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2967925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2005-07-12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BEAUTIFUL WORLD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DEL MAR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76330164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2001-10-26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2621074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2002-09-17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DELUXE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78596281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2005-03-28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3216628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2007-03-06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DELUXE EDGEGUARD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78596234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2005-03-28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3123027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2006-08-01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DIAL N SPRAY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76074152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2000-06-21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2501762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2001-10-30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DIAL 'N SPRAY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75018171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1995-11-13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2100774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1997-09-30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DIRT NERD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98479409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2024-04-02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2" w:name="page353"/>
    <w:bookmarkEnd w:id="35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DIRT NERD</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98500418</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2024-04-15</w:t>
            </w:r>
          </w:p>
        </w:tc>
        <w:tc>
          <w:tcPr>
            <w:tcW w:w="168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spacing w:after="0"/>
              <w:rPr>
                <w:sz w:val="22"/>
                <w:szCs w:val="22"/>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DISEASEEX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87073478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2016-06-16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5487163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2018-06-05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EARTHGRO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73548581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1985-07-17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1378337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1986-01-14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EARTHGRO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73548582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1985-07-17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1378721</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1986-01-21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EARTHGRO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87660692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2017-10-26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5547463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2018-08-21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EARTHGRO THE NATURAL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74248033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1992-02-20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1723116</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1992-10-13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CHOICE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EARTHGRO THE NATURAL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74248367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1992-02-21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1726060</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1992-10-20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CHOICE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EASY HAND-HELD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75618813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1999-01-11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2318946</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2000-02-15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SPREADER</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ECOSCRAPS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85359612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2011-06-29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4117813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2012-03-27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ECOSCRAPS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87201983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2016-10-13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5387730</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2018-01-23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ECOSCRAPS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88796621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2020-02-13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6141163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2020-09-01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EDGEGUARD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76272795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2001-06-18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2730134</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2003-06-24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ENGINEERED TO KILL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86666571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2015-06-18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5813757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2019-07-23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EVERYDROP</w:t>
            </w:r>
          </w:p>
        </w:tc>
        <w:tc>
          <w:tcPr>
            <w:tcW w:w="1680" w:type="dxa"/>
            <w:vAlign w:val="bottom"/>
            <w:tcBorders>
              <w:right w:val="single" w:sz="8" w:color="auto"/>
            </w:tcBorders>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86518115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2015-01-29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4928821</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2016-03-29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EXPAND 'N GRO</w:t>
            </w:r>
          </w:p>
        </w:tc>
        <w:tc>
          <w:tcPr>
            <w:tcW w:w="1680" w:type="dxa"/>
            <w:vAlign w:val="bottom"/>
            <w:tcBorders>
              <w:right w:val="single" w:sz="8" w:color="auto"/>
            </w:tcBorders>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77907119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2010-01-07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4049881</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2011-11-01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3" w:name="page354"/>
    <w:bookmarkEnd w:id="35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EZ FEED</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90136261</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2020-08-25</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6804670</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2022-07-26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EZ PATCH</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86484740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2014-12-18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5119981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2017-01-10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EZ SEED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77475132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2008-05-15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3684031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2009-09-15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EZ SEED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77475135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2008-05-15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3803758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2010-06-15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FAST ROOT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77775805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2009-07-07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3986307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2011-06-28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FASTROOT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98380403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2024-01-29</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FIBERPRO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90401591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2020-12-22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7101372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2023-07-04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FIRE ANT MOUND BLITZ</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90768485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2021-06-11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6919535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2022-12-06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FOAMGUARD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87526671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2017-07-13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5571711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2018-09-25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FUNDAMENTALS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87846992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2018-03-23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6380635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2021-06-08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GNAT SHIELD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98606737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2024-06-18</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GO GETTER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88847573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2020-03-25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6404668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2021-06-29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GO 'N' 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79240510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2018-03-07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5864683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2019-09-24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GOOD BOY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88420881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2019-05-08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6054813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2020-05-12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GOOD DOGS DESERVE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88948167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2020-06-04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6270229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2021-02-16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GREAT LAWNS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4" w:name="page355"/>
    <w:bookmarkEnd w:id="35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GOURMET FOOD FOR</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76507430</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2003-03-31</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2857495</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2004-06-29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YOUR GARDEN</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GRASS-B-GON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75018170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1995-11-13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1995777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1996-08-20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GREAT GARDENS A LONG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75558614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1998-09-24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2635704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2002-10-15</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ISLAND COMPOST</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PRODUCT</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GREEN LIGHT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73651641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1987-03-27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1471159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1988-01-05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GREEN LIGHT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74199632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1991-09-03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1762245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1993-04-06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GREEN LIGHT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74201997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1991-09-09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1759315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1993-03-23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GREENDIGS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88659605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2019-10-18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6278736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2021-02-23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GREENDIGS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88759460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2020-01-15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6274036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2021-02-16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GREENDIGS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88759461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2020-01-15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6357053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2021-05-18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86629383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5046484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2016-09-20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GRO MORE GOOD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88731433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2019-12-18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6096062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2020-07-07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GROGOOD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77765626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2009-06-22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3742255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2010-01-26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GROMOREGOOD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90136259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2020-08-25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6326584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2021-04-20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GROUNDCLEAR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74663976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1995-04-20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1963325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1996-03-19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GROWING BEAUTIFUL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76412014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2002-05-24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2744695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2003-07-29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LAWNS SINCE 1907</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5" w:name="page356"/>
    <w:bookmarkEnd w:id="35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GROWS BIG, BEAUTIFUL</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78478732</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2004-09-03</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3003102</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2005-09-27</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TREES &amp; SHRUBS</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GUARANTEED!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GROWS PLANTS TWICE AS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85753208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2012-10-12</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4334940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2013-05-14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BIG</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GROWS PLANTS TWICE AS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76238633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2001-04-09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2515267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2001-12-04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BIG!</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GRUBEX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74684399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1995-06-05</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2031114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1997-01-14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HALTS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72050929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1958-05-02</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0678297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1959-05-12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HAMPTONS ESTATE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78491248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2004-09-29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3112952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2006-07-04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HAMPTONS ESTATE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76421840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2002-06-17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2702442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2003-04-01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MULCH</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HANDY GREEN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74157298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1991-04-08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1676587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1992-02-25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HANDYLOCK</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86723543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2015-08-13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5020552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2016-08-16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HAPPY LAWN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88731430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2019-12-18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6404480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2021-06-29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HEAT-TOLERANT BLUE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78863054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2006-04-17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3786489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2010-05-04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HOME DEFENSE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75485179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1998-05-14</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2361235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2000-06-27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HOME DEFENSE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87978368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2017-08-03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5582421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2018-10-09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HOME DEFENSE MAX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78398143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2004-04-07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2979973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2005-07-26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HOW TO BE A DIRT NERD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98512319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2024-04-22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6" w:name="page357"/>
    <w:bookmarkEnd w:id="35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HUGE DIRT NERD IT'S ALL</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98479415</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2024-04-02</w:t>
            </w:r>
          </w:p>
        </w:tc>
        <w:tc>
          <w:tcPr>
            <w:tcW w:w="168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spacing w:after="0"/>
              <w:rPr>
                <w:sz w:val="22"/>
                <w:szCs w:val="22"/>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ABOUT THE DIRT</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HYPONEX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73147187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1977-11-04</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1104112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1978-10-17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INSTEAD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88698249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2019-11-19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6404427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2021-06-29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INSTEAD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88698257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2019-11-19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6404428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2021-06-29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INSTEAD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88698259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2019-11-19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6404429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2021-06-29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KILL &amp; CONTAIN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86240989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2014-04-03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4726406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2015-04-28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KNOCK! KNOCK!</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88300427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2019-02-13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6456209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2021-08-17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LAWN DOG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88420879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2019-05-08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6577036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2021-11-30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LAWN PRO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73135698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1977-07-28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1135940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1980-05-27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LAWN PRO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77631557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2008-12-11</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4292566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2013-02-19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LAWN RESPONSE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86484745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2014-12-18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4869555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2015-12-15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LAWNSOIL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76340150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2001-11-20</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2634945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2002-10-15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LIQUAFEED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78544351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2005-01-08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3121990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2006-07-25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LIVE TOTAL HEALTH IN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77621253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2008-11-25</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3714299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2009-11-24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EVERYTHING I DO</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LUNARLY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87926891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2018-05-18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6782599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2022-07-05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7" w:name="page358"/>
    <w:bookmarkEnd w:id="35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MAX</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78336001</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2003-12-03</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4050084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2011-11-01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MIRACID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72049881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1958-04-17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0669483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1958-11-11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 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85689170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2012-07-27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4301408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2013-03-12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 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85689188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2012-07-27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4301409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2013-03-12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 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85980284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2012-08-07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4462833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2014-01-07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MIRACLE-AERATOR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78261957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2003-06-13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2877413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2004-08-24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72046856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1958-02-28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0668868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1958-10-28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73283281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1980-10-24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1223038</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1983-01-11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76496455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2003-03-04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2820953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2004-03-09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76496457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2003-03-04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3233837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2007-04-24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77775762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2009-07-07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4026583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2011-09-13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85679456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2012-07-17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4301017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2013-03-12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85688757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2012-07-27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4289145</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2013-02-12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85688831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2012-07-27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4289146</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2013-02-12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85688870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2012-07-27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4301405</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2013-03-12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8" w:name="page359"/>
    <w:bookmarkEnd w:id="35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85688948</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2012-07-27</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4301406</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2013-03-12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85689009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2012-07-27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4289147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2013-02-12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85833618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2013-01-28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5054888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2016-10-04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85833632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2013-01-28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5054889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2016-10-04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85982327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2013-01-28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4606786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2014-09-16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85983171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2012-12-12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4717153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2015-04-07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85983504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2012-12-12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4717173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2015-04-07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86980260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2015-02-19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5061179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2016-10-11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86984135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2015-02-19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5586670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2018-10-16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87126961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2016-08-04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5514367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2018-07-10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87126962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2016-08-04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5961834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2020-01-14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87126964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2016-08-04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5961835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2020-01-14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87976280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2016-08-09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5366525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2017-12-26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97246062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2022-01-31</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640"/>
              <w:spacing w:after="0" w:line="243" w:lineRule="exact"/>
              <w:rPr>
                <w:sz w:val="20"/>
                <w:szCs w:val="20"/>
                <w:color w:val="auto"/>
              </w:rPr>
            </w:pPr>
            <w:r>
              <w:rPr>
                <w:rFonts w:ascii="Times New Roman" w:cs="Times New Roman" w:eastAsia="Times New Roman" w:hAnsi="Times New Roman"/>
                <w:sz w:val="22"/>
                <w:szCs w:val="22"/>
                <w:color w:val="auto"/>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97254133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2022-02-04</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59" w:name="page360"/>
    <w:bookmarkEnd w:id="35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98325370</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2023-12-21</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7552313</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2024-10-29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BRILLIANT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90518880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2021-02-08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6777488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2022-07-05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BLOOMS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GARDEN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78478903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2004-09-03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3190987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2007-01-02</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SOIL FLOWERS &amp;</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VEGETABLES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GARDEN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97049591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2021-09-28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7020402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2023-04-04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TO GO</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GARDEN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76027638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2000-04-14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2618699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2002-09-10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WEED PREVENTER</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GRO BAG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98643595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2024-07-11</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HEAD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88080555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2018-08-16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6309393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2021-03-30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1"/>
              </w:rPr>
              <w:t>START</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KIDS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90353977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2020-12-02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7249779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2023-12-19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ORGANIC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98380399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2024-01-29</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ORGANIC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98380402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2024-01-29</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MIRACLE-GRO ORGANIC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78782928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2005-12-30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3180531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2006-12-05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CHOICE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87981070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2017-05-24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5921878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2019-11-26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PERFORMANCE ORGANICS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POUR &amp;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75751306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1999-06-29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2601682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2002-07-30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FEED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RESCUE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90281753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2020-10-27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6901933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2022-11-15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MIRACLE-GRO SPRING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90281755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2020-10-27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6775837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2022-06-28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AHEAD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0" w:name="page361"/>
    <w:bookmarkEnd w:id="36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MOISTURE ADVANTAGE</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78546997</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2005-01-13</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3596539</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2009-03-24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MOISTURE CONTROL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77396482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2008-02-13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3511488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2008-10-07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MOISTURE CONTROL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77540829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2008-08-06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3653640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2009-07-14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MOISTURE MANAGER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85380279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2011-07-25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4166849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2012-07-03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MOSQUITO B 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98606634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2024-06-18</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MOSSEX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87073481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2016-06-16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5800708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2019-07-09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MOUND BLITZ</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90768487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2021-06-11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6919536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2022-12-06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MOUSE ZERO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87226954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2016-11-04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6913265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2022-11-29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NATURE SCAPES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76293274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2001-07-31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2730197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2003-06-24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NATURE'S CARE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85487174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2011-12-05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4495259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2014-03-11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NATURE'S CARE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85487208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2011-12-05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4597561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2014-09-02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NATURE'S CARE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86975557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2013-07-03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4626395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2014-10-21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NURSERY SELECT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75983506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1999-04-26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2976437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2005-07-26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O.M. SCOTT &amp; SONS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98606607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2024-06-18</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O.M. SCOTT &amp; SONS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98606615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2024-06-18</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1" w:name="page362"/>
    <w:bookmarkEnd w:id="36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O.M. SCOTT &amp; SONS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98606616</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2024-06-18</w:t>
            </w:r>
          </w:p>
        </w:tc>
        <w:tc>
          <w:tcPr>
            <w:tcW w:w="168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spacing w:after="0"/>
              <w:rPr>
                <w:sz w:val="22"/>
                <w:szCs w:val="22"/>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O.M. SCOTT &amp; SONS</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98606618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2024-06-18</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O.M. SCOTT &amp; SONS</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98606738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2024-06-18</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ORGANIC CHOICE</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76437836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2002-08-05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3307689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2007-10-09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ORGANIC CHOICE</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76977510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2002-08-05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2978064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2005-07-26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ORTHENE</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71518750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1947-03-10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0435040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1947-12-09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71107611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1917-11-26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0121042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1918-04-02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71491151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1945-11-06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0423264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1946-08-27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71503865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1946-06-14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0429604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1947-05-06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71504742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1946-06-28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0431438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1947-07-22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71592303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1950-02-11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0546883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1951-08-21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72026749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1957-04-11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0654963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1957-11-26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73084297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1976-04-19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1071832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1977-08-23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77434297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2008-03-28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3582553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2009-03-03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77434300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2008-03-28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3582554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2009-03-03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2" w:name="page363"/>
    <w:bookmarkEnd w:id="36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85624720</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2012-05-14</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4356625</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2013-06-25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85624765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4264573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2012-12-25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85624775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4568796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2014-07-15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85624786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4568797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2014-07-15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85624846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4356627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2013-06-25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85624869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4271554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2013-01-08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85624876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4564703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2014-07-08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85624884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2012-05-14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4564704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2014-07-08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86093761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2013-10-17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4537548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2014-05-27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87554652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2017-08-03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6329092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2021-04-20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87789549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2018-02-08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5782724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2019-06-18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97246067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2022-01-31</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97254132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2022-02-04</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ORTHO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98754368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2024-09-17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7762390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2025-04-15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 ALLCLEAR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88491573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2019-06-27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6137538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2020-08-25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3" w:name="page364"/>
    <w:bookmarkEnd w:id="3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ORTHO BUGCLEAR</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88375425</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2019-04-08</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6154342</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2020-09-15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ORTHO MAX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76977381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2003-06-25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2949392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2005-05-10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 ORTHENE FIRE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76126545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2000-09-12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2898495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2004-11-02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ANT KILLER</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ORTHO WEEDCLEAR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88375426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2019-04-08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6154343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2020-09-15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PATCHMASTER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74269604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1992-04-27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1747322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1993-01-19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PATCHMASTER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74416209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1993-07-23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1895652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1995-05-23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PERFORMANCE ORGANICS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88010681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2018-06-22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5802047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2019-07-09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PLANT POTION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90281756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2020-10-27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6925609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2022-12-13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PLUS 2</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75349966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1997-09-02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2260387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1999-07-13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3"/>
              </w:rPr>
              <w:t>POLY-S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74297729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1992-07-27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1769579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1993-05-11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POTSHOTS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88778437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2020-01-30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6274077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2021-02-16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PRESS 'N SET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77925850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2010-02-02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3839534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2010-08-24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PROBLEM SOLVER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76582574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2004-03-19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3025329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2005-12-13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PULL 'N SPRAY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75532275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1998-08-06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2367573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2000-07-18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QUICK FIX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73836574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1989-11-06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1599792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1990-06-05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4" w:name="page365"/>
    <w:bookmarkEnd w:id="36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QUICK START</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74676419</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1995-05-18</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2261270</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1999-07-13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QUICKHAND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97778145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2023-02-02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RAINFOREST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87410099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2017-04-13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5764139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2019-05-28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RAT ZERO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87226943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2016-11-04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6091260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2020-06-30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READY-SPRAY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98449776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2024-03-14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7565522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2024-11-12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ROOT FACTORY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85662914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2012-06-27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4927747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2016-03-29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ROOT FARM</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87127379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2016-08-04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5525406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2018-07-24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SCARECROW</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75002967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1995-10-10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2072647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1997-06-17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73134973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1977-07-22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1102463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1978-09-19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74302691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1992-08-10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1761034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1993-03-30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74302692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1992-08-10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1761035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1993-03-30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74302694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1992-08-10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1761049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1993-03-30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75590242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1998-11-10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2279538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1999-09-21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75590247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1998-11-10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2302132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1999-12-21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75591774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1998-11-10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2325834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2000-03-07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5" w:name="page366"/>
    <w:bookmarkEnd w:id="36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75615675</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1999-01-05</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2325961</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2000-03-07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75615676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1999-01-05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2344989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2000-04-25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76349867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2001-12-17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2624834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2002-09-24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85389655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2011-08-04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4358553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2013-06-25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85831471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2013-01-24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4420988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2013-10-22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85831794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2013-01-24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4420992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2013-10-22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85843297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2013-02-07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4424572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2013-10-29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85843351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2013-02-07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4410495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2013-10-01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85849810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2013-02-14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4424612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2013-10-29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85849851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2013-02-14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4414131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2013-10-08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85849885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2013-02-14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4410558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2013-10-01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85889254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2013-03-28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4769147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2015-07-07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85982783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2013-02-14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4622102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2014-10-14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85984204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2013-02-14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5045879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2016-09-20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1000"/>
              <w:spacing w:after="0" w:line="243" w:lineRule="exact"/>
              <w:rPr>
                <w:sz w:val="20"/>
                <w:szCs w:val="20"/>
                <w:color w:val="auto"/>
              </w:rPr>
            </w:pPr>
            <w:r>
              <w:rPr>
                <w:rFonts w:ascii="Times New Roman" w:cs="Times New Roman" w:eastAsia="Times New Roman" w:hAnsi="Times New Roman"/>
                <w:sz w:val="22"/>
                <w:szCs w:val="22"/>
                <w:color w:val="auto"/>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86013605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2013-07-18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5181865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2017-04-11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6" w:name="page367"/>
    <w:bookmarkEnd w:id="36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86013608</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2013-07-18</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5176632</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2017-04-04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86093762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2013-10-17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4732441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2015-05-05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86333175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2014-07-10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4791828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2015-08-11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86976107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2013-07-18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4736834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2015-05-12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86976108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2013-07-18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4736835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2015-05-12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87039640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2016-05-17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5183383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2017-04-11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87915460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2018-05-10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6043152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2020-04-28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88491565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2019-06-27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6913411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2022-11-29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97246074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2022-01-31</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97254135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2022-02-04</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97824688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2023-03-06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7581519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2024-11-26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99142665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2025-04-17</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BONUS 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75650269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1999-02-26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2551497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2002-03-26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BONUS S WEED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78485356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2004-09-17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3023457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2005-12-06</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AND FEED LAWN</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FERTILIZER AND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BROADLEAF WEED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CONTROL TIMING:</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7" w:name="page368"/>
    <w:bookmarkEnd w:id="36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SCOTTS FOUNDATION</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87789563</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2018-02-08</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5822608</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2019-07-30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HERITAGE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88089377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2018-08-23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6158759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2020-09-22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MIRACLE-GRO</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98892484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2024-12-09</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NO-QUIBBLE MONEY</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BACK GUARANTEE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NO-QUIBBLE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75031313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1995-11-06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2297201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1999-12-07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GUARANTEE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NO-QUIBBLE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87232386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2016-11-10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5487426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2018-06-05</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MONEY BACK</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GUARANTEE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PROGRAM</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90139573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2020-08-26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6804672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2022-07-26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SCOTTS PROVISTA</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87410100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2017-04-13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6389510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2021-06-15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PURSUE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90526839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2021-02-12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7516490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2024-09-24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SECURE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98325366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2023-12-21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7639667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2025-01-07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NUTRIENTS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SCOTTS SNAP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77849958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2009-10-15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3854837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2010-09-28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SCOTTS TRAINING</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76320608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2001-10-02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2634861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2002-10-15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INSTITUTE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TURF BUILDER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78485434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2004-09-17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3060086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2006-02-21</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LAWN FERTILIZER WITH</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ADDED NUTRIENTS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TURF BUILDER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97278573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2022-02-22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7167053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2023-09-19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RAPID GRASS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TURF BUILDER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99034991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2025-02-10</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TRIPLE ACTION</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8" w:name="page369"/>
    <w:bookmarkEnd w:id="36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SCOTTS TURF BUILDER</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78485390</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2004-09-17</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3125764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2006-08-08</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WITH HALTS CRABGRASS</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PREVENTER LAWN</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FERTIZER AND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CRABGRASS PREVENTER</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SCOTTS TURF BUILDER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78485415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2004-09-17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3060085</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2006-02-21</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WITH PLUS 2 WEED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CONTROL LAWN</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FERTILIZER AND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BROADLEAF WEED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83"/>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CONTROL TIMING:</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37"/>
        </w:trPr>
        <w:tc>
          <w:tcPr>
            <w:tcW w:w="1680" w:type="dxa"/>
            <w:vAlign w:val="bottom"/>
            <w:tcBorders>
              <w:left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SCOTTS TURF BUILDER</w:t>
            </w:r>
          </w:p>
        </w:tc>
        <w:tc>
          <w:tcPr>
            <w:tcW w:w="1680" w:type="dxa"/>
            <w:vAlign w:val="bottom"/>
            <w:tcBorders>
              <w:right w:val="single" w:sz="8" w:color="auto"/>
            </w:tcBorders>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rPr>
              <w:t>78485404</w:t>
            </w:r>
          </w:p>
        </w:tc>
        <w:tc>
          <w:tcPr>
            <w:tcW w:w="1660" w:type="dxa"/>
            <w:vAlign w:val="bottom"/>
            <w:tcBorders>
              <w:right w:val="single" w:sz="8" w:color="auto"/>
            </w:tcBorders>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2004-09-17</w:t>
            </w:r>
          </w:p>
        </w:tc>
        <w:tc>
          <w:tcPr>
            <w:tcW w:w="1680" w:type="dxa"/>
            <w:vAlign w:val="bottom"/>
            <w:tcBorders>
              <w:right w:val="single" w:sz="8" w:color="auto"/>
            </w:tcBorders>
          </w:tcPr>
          <w:p>
            <w:pPr>
              <w:jc w:val="right"/>
              <w:ind w:right="372"/>
              <w:spacing w:after="0" w:line="237" w:lineRule="exact"/>
              <w:rPr>
                <w:sz w:val="20"/>
                <w:szCs w:val="20"/>
                <w:color w:val="auto"/>
              </w:rPr>
            </w:pPr>
            <w:r>
              <w:rPr>
                <w:rFonts w:ascii="Times New Roman" w:cs="Times New Roman" w:eastAsia="Times New Roman" w:hAnsi="Times New Roman"/>
                <w:sz w:val="22"/>
                <w:szCs w:val="22"/>
                <w:color w:val="auto"/>
              </w:rPr>
              <w:t>3060084</w:t>
            </w:r>
          </w:p>
        </w:tc>
        <w:tc>
          <w:tcPr>
            <w:tcW w:w="168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2006-02-21</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WITH SUMMERGUARD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LAWN FERTILIZER AND</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INSECT CONTROL</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SECURE CATCH</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77961697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2010-03-17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3839552</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2010-08-24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SECURE-KILL</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77925346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2010-02-01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4039153</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2011-10-11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SEED POD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85642186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2012-06-04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4777506</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2015-07-21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SHADE MIX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76383857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2002-03-14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2760971</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2003-09-09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SHAKE 'N FEED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76303985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2001-08-22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2705327</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2003-04-08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SHAKE 'N FEED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77002731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2006-09-19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3254549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2007-06-26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SINGLES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77434258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2008-03-28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3516349</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2008-10-14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SINGLES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77434292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2008-03-28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3516350</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2008-10-14</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69" w:name="page370"/>
    <w:bookmarkEnd w:id="36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SMART-RELEASE</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78402253</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2004-04-15</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2908852</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2004-12-07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SNAKE B 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85658726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2012-06-22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4381104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2013-08-06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SNAP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77849965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2009-10-15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4292633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2013-02-19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SNAP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77849969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2009-10-15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4143056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2012-05-15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SNAP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77849977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2009-10-15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3861945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2010-10-12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SNAP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77980139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2009-10-15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3865904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2010-10-19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SNAP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77980140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2009-10-15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3865905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2010-10-19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SNAP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85650466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2012-06-13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4264690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2012-12-25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SNAP PAC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77849972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2009-10-15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3975305</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2011-06-07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SOUTHERN GOLD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76205552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2001-02-05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2568448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2002-05-07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SPEED YOU CAN TRUST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88354381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2019-03-25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6852777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2022-09-20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SPEED YOU CAN TRUST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88653253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2019-10-14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6885262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2022-10-25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SPRING AHEAD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90518875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2021-02-08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6769432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2022-06-21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SQUIRREL-BE-GONE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76250740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2001-05-02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3095944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2006-05-23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SQUIRRELSTOP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78502707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2004-10-20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3028461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2005-12-13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70" w:name="page371"/>
    <w:bookmarkEnd w:id="37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STARTER</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73722264</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1988-04-14</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1553382</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1989-08-29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STARTER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74288331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1992-06-26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1748763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1993-01-26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STEP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77740323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2009-05-19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3718567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2009-12-01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SUCCESSFUL ORGANIC</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98325368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2023-12-21</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GARDENING MADE</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ATTAINABLE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SUMMERGUARD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76233393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2001-03-30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2673017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2003-01-07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SUN &amp; SHADE MIX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76383856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2002-03-14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2760970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2003-09-09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SUPER BLOOM</w:t>
            </w:r>
          </w:p>
        </w:tc>
        <w:tc>
          <w:tcPr>
            <w:tcW w:w="1680" w:type="dxa"/>
            <w:vAlign w:val="bottom"/>
            <w:tcBorders>
              <w:right w:val="single" w:sz="8" w:color="auto"/>
            </w:tcBorders>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72401135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1971-08-25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0943913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1972-10-03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SURPRISE CRAFTED BY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97049584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2021-09-28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7007761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2023-03-21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SWALLOW SHIELD BY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87909927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2018-05-07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5921803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2019-11-26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BIRD-B-GONE</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TAKES THE GUESSWORK</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78450039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2004-07-13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3033147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2005-12-20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OUT OF FEEDING!</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TAKES THE GUESSWORK</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77545441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2008-08-12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3656918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2009-07-21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OUT OF WATERING!</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TANGLEFOOT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72272990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1967-06-05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0851266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1968-06-25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THE BACKYARD 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90754385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2021-06-04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6778396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2022-07-05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THE BACKYARD SCOTTS</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90754387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2021-06-04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6849762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2022-09-20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MIRACLE-GRO</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THE DIRT NERD'S GUIDE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98512323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2024-04-22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TO GARDENING</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71" w:name="page372"/>
    <w:bookmarkEnd w:id="37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ORIGINAL</w:t>
            </w:r>
          </w:p>
        </w:tc>
        <w:tc>
          <w:tcPr>
            <w:tcW w:w="168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86889784</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2016-01-28</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5071778</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2016-11-01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WASPINATOR</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THE SCOTTS WAY</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90136264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2020-08-25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6415063</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2021-07-13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THICK'R LAWN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87554662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2017-08-03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5618480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2018-11-27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TOMCAT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73816297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1989-08-01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1586482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1990-03-13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TOMCAT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86161037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2014-01-09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4579870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2014-08-05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TOMCAT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86810293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2015-11-05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5200849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2017-05-09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TOMCAT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87410097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2017-04-13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5487832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2018-06-05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TOMCAT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97255945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2022-02-07</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TOMCAT ADVANCED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97778158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2023-02-02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7922370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2025-08-26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BRAND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TOMCAT ADVANCED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97778160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2023-02-02</w:t>
            </w: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BRAND</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TOUCH UP</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85008906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2010-04-07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4017298</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2011-08-23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TREE TANGLEFOOT PEST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74439050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1993-09-23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1970746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1996-04-30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BARRIER</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TURF BUILDER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71381851</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1936-08-05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0341806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1936-12-22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TURF BUILDER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76081333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2000-06-29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2636529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2002-10-15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TURF BUILDER</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78679032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2005-07-26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3628812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2009-05-26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72" w:name="page373"/>
    <w:bookmarkEnd w:id="37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TURF BUILDER PLUS 2</w:t>
            </w:r>
          </w:p>
        </w:tc>
        <w:tc>
          <w:tcPr>
            <w:tcW w:w="1680" w:type="dxa"/>
            <w:vAlign w:val="bottom"/>
            <w:tcBorders>
              <w:top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73110315</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1976-12-20</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1071231</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1977-08-16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TURF BUILDER PLUS</w:t>
            </w:r>
          </w:p>
        </w:tc>
        <w:tc>
          <w:tcPr>
            <w:tcW w:w="1680" w:type="dxa"/>
            <w:vAlign w:val="bottom"/>
            <w:tcBorders>
              <w:right w:val="single" w:sz="8" w:color="auto"/>
            </w:tcBorders>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73110316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1976-12-20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1071232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1977-08-16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HALTS</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TWELVE</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87981370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2017-11-09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5829986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2019-08-06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ULTRAFEED</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87761662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2018-01-19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5764680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2019-05-28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UNMARK</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88785652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2020-02-05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6235287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2020-12-29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WATER SMART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77200788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2007-06-07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3632062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2009-06-02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WATER SMART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77323047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2007-11-06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4225856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2012-10-16</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WATER SMART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77975703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2007-06-07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3477872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2008-07-29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WATER SMART FORMULA</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77238879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2007-07-25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4222092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2012-10-09</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MAKES THE MOST OF</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EVERY DROP</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WATER SMART FORMULA</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77493390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2008-06-06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4609957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2014-09-23</w:t>
            </w: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MAKES THE MOST OF</w:t>
            </w:r>
          </w:p>
        </w:tc>
        <w:tc>
          <w:tcPr>
            <w:tcW w:w="16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29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EVERY DROP</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3"/>
              </w:rPr>
              <w:t>WATERSMART</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77555656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2008-08-26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4445487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2013-12-10</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WEED B GON MAX</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78335260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2003-12-02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3061002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2006-02-21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WEED B-GON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88699946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2019-11-20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6798247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2022-07-19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WEED-B-GON</w:t>
            </w:r>
          </w:p>
        </w:tc>
        <w:tc>
          <w:tcPr>
            <w:tcW w:w="1680" w:type="dxa"/>
            <w:vAlign w:val="bottom"/>
            <w:tcBorders>
              <w:right w:val="single" w:sz="8" w:color="auto"/>
            </w:tcBorders>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72346224</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1969-12-15</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0903317</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1970-12-01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73" w:name="page374"/>
    <w:bookmarkEnd w:id="37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WEED-B-GON</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74725338</w:t>
            </w:r>
          </w:p>
        </w:tc>
        <w:tc>
          <w:tcPr>
            <w:tcW w:w="1660" w:type="dxa"/>
            <w:vAlign w:val="bottom"/>
            <w:tcBorders>
              <w:top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1995-09-05</w:t>
            </w:r>
          </w:p>
        </w:tc>
        <w:tc>
          <w:tcPr>
            <w:tcW w:w="16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2088157</w:t>
            </w:r>
          </w:p>
        </w:tc>
        <w:tc>
          <w:tcPr>
            <w:tcW w:w="168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1997-08-12</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WEEDCLEAR</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88375423</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2019-04-08</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6154341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2020-09-15</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WEEDEX</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74571379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1994-09-09</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2566359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2002-05-07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WEEDEX</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75673642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1999-04-02</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2407926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2000-11-28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WEEDEX</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87103510</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2016-07-14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5800720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2019-07-09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WEEDGRIP</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86425629</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2014-10-16</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5004059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2016-07-19</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WHIRL</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88141016</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2018-10-03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5973814</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2020-01-28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WHITNEY FARMS</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75355797</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1997-09-10</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2280431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1999-09-28</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WHITNEY FARMS</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77927438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2010-02-03</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4032270</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2011-09-27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WINTERGUARD</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78655075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2005-06-21</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3238229</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2007-05-01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WIZZ</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86651325</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2015-06-04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5101216</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2016-12-13</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YARDSAFE</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76554158</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2003-10-27</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2952792</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2005-05-17</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r>
        <w:trPr>
          <w:trHeight w:val="243"/>
        </w:trPr>
        <w:tc>
          <w:tcPr>
            <w:tcW w:w="16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OMS</w:t>
            </w:r>
          </w:p>
        </w:tc>
        <w:tc>
          <w:tcPr>
            <w:tcW w:w="28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ZEROSCRUB</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87891112</w:t>
            </w:r>
          </w:p>
        </w:tc>
        <w:tc>
          <w:tcPr>
            <w:tcW w:w="1660" w:type="dxa"/>
            <w:vAlign w:val="bottom"/>
            <w:tcBorders>
              <w:right w:val="single" w:sz="8" w:color="auto"/>
            </w:tcBorders>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2018-04-24</w:t>
            </w:r>
          </w:p>
        </w:tc>
        <w:tc>
          <w:tcPr>
            <w:tcW w:w="1680" w:type="dxa"/>
            <w:vAlign w:val="bottom"/>
            <w:tcBorders>
              <w:right w:val="single" w:sz="8" w:color="auto"/>
            </w:tcBorders>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5759061</w:t>
            </w:r>
          </w:p>
        </w:tc>
        <w:tc>
          <w:tcPr>
            <w:tcW w:w="1680" w:type="dxa"/>
            <w:vAlign w:val="bottom"/>
            <w:tcBorders>
              <w:right w:val="single" w:sz="8" w:color="auto"/>
            </w:tcBorders>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2019-05-21</w:t>
            </w:r>
          </w:p>
        </w:tc>
      </w:tr>
      <w:tr>
        <w:trPr>
          <w:trHeight w:val="29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Investments, Inc.</w:t>
            </w:r>
          </w:p>
        </w:tc>
        <w:tc>
          <w:tcPr>
            <w:tcW w:w="28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180"/>
          </w:cols>
          <w:pgMar w:left="320" w:top="1440" w:right="399" w:bottom="1440" w:gutter="0" w:footer="0" w:header="0"/>
        </w:sectPr>
      </w:pPr>
    </w:p>
    <w:bookmarkStart w:id="374" w:name="page375"/>
    <w:bookmarkEnd w:id="374"/>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8</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Specified Excluded IP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39"/>
          </w:cols>
          <w:pgMar w:left="320" w:top="1404" w:right="1440" w:bottom="1440" w:gutter="0" w:footer="0" w:header="0"/>
        </w:sectPr>
      </w:pPr>
    </w:p>
    <w:bookmarkStart w:id="375" w:name="page376"/>
    <w:bookmarkEnd w:id="375"/>
    <w:p>
      <w:pPr>
        <w:jc w:val="center"/>
        <w:ind w:right="20"/>
        <w:spacing w:after="0"/>
        <w:rPr>
          <w:sz w:val="20"/>
          <w:szCs w:val="20"/>
          <w:color w:val="auto"/>
        </w:rPr>
      </w:pPr>
      <w:r>
        <w:rPr>
          <w:rFonts w:ascii="Times New Roman" w:cs="Times New Roman" w:eastAsia="Times New Roman" w:hAnsi="Times New Roman"/>
          <w:sz w:val="22"/>
          <w:szCs w:val="22"/>
          <w:color w:val="auto"/>
        </w:rPr>
        <w:t>Schedule 9</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Pledged Note</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840" w:type="dxa"/>
            <w:vAlign w:val="bottom"/>
            <w:tcBorders>
              <w:top w:val="single" w:sz="8" w:color="auto"/>
              <w:left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Grantor</w:t>
            </w:r>
          </w:p>
        </w:tc>
        <w:tc>
          <w:tcPr>
            <w:tcW w:w="28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Issuer</w:t>
            </w:r>
          </w:p>
        </w:tc>
        <w:tc>
          <w:tcPr>
            <w:tcW w:w="282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Payee</w:t>
            </w:r>
          </w:p>
        </w:tc>
        <w:tc>
          <w:tcPr>
            <w:tcW w:w="2800" w:type="dxa"/>
            <w:vAlign w:val="bottom"/>
            <w:tcBorders>
              <w:top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84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The Scotts Miracle-Gro Company</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Bad Dog Holdings LLC, a Delaware</w:t>
            </w:r>
          </w:p>
        </w:tc>
        <w:tc>
          <w:tcPr>
            <w:tcW w:w="28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 Scotts Miracle-Gro Company</w:t>
            </w:r>
          </w:p>
        </w:tc>
        <w:tc>
          <w:tcPr>
            <w:tcW w:w="2800" w:type="dxa"/>
            <w:vAlign w:val="bottom"/>
            <w:tcBorders>
              <w:right w:val="single" w:sz="8" w:color="auto"/>
            </w:tcBorders>
          </w:tcPr>
          <w:p>
            <w:pPr>
              <w:jc w:val="right"/>
              <w:ind w:right="1590"/>
              <w:spacing w:after="0" w:line="191" w:lineRule="exact"/>
              <w:rPr>
                <w:sz w:val="20"/>
                <w:szCs w:val="20"/>
                <w:color w:val="auto"/>
              </w:rPr>
            </w:pPr>
            <w:r>
              <w:rPr>
                <w:rFonts w:ascii="Times New Roman" w:cs="Times New Roman" w:eastAsia="Times New Roman" w:hAnsi="Times New Roman"/>
                <w:sz w:val="18"/>
                <w:szCs w:val="18"/>
                <w:color w:val="auto"/>
                <w:w w:val="97"/>
              </w:rPr>
              <w:t>$39,000,000.00</w:t>
            </w: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limited liability company</w:t>
            </w: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08" w:right="31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20"/>
          <w:szCs w:val="20"/>
          <w:color w:val="auto"/>
        </w:rPr>
        <w:t>Annex 1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Seventh Amended and Restated Guarantee and Collateral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ASSUMPTION AGREEMENT, dated as of ________________, 20__, made by ______________________________,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 corporation (the “</w:t>
      </w:r>
      <w:r>
        <w:rPr>
          <w:rFonts w:ascii="Times New Roman" w:cs="Times New Roman" w:eastAsia="Times New Roman" w:hAnsi="Times New Roman"/>
          <w:sz w:val="19"/>
          <w:szCs w:val="19"/>
          <w:u w:val="single" w:color="auto"/>
          <w:color w:val="auto"/>
        </w:rPr>
        <w:t>Additional Grantor</w:t>
      </w:r>
      <w:r>
        <w:rPr>
          <w:rFonts w:ascii="Times New Roman" w:cs="Times New Roman" w:eastAsia="Times New Roman" w:hAnsi="Times New Roman"/>
          <w:sz w:val="19"/>
          <w:szCs w:val="19"/>
          <w:color w:val="auto"/>
        </w:rPr>
        <w:t>”), in favor of JPMorgan Chase Bank, N.A., as administrative agent (in such capacity,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banks and other financial institutions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parties to the Credit Agreement referred to below.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capitalized terms not defined herein shall have the meaning ascribed to them in such Credit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The Scotts Miracle-Gro Company, an Ohio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Subsidiary Borrowers, the Lenders, the Administrative Agent, the Documentation Agent and the Syndication Agent have entered into a Seventh Amended and Restated Credit Agreement, dated as of November 21, 2025 (as amended, supplemented or otherwise modified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WHEREAS, in connection with the Credit Agreement, the Company and certain of its Affiliates (other than the Additional Grantor) have entered into the Seventh Amended and Restated Guarantee and Collateral Agreement, dated as of November 21, 2025 (as amended, supplemented or otherwise modified from time to time, the “</w:t>
      </w:r>
      <w:r>
        <w:rPr>
          <w:rFonts w:ascii="Times New Roman" w:cs="Times New Roman" w:eastAsia="Times New Roman" w:hAnsi="Times New Roman"/>
          <w:sz w:val="20"/>
          <w:szCs w:val="20"/>
          <w:u w:val="single" w:color="auto"/>
          <w:color w:val="auto"/>
        </w:rPr>
        <w:t>Guarantee and Collateral Agreement</w:t>
      </w:r>
      <w:r>
        <w:rPr>
          <w:rFonts w:ascii="Times New Roman" w:cs="Times New Roman" w:eastAsia="Times New Roman" w:hAnsi="Times New Roman"/>
          <w:sz w:val="20"/>
          <w:szCs w:val="20"/>
          <w:color w:val="auto"/>
        </w:rPr>
        <w:t>”) in favor of the Administrative Agent for the ratable benefit of the Secured Parties;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the Credit Agreement requires the Additional Grantor to become a party to the Guarantee and Collateral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and</w:t>
      </w:r>
    </w:p>
    <w:p>
      <w:pPr>
        <w:spacing w:after="0" w:line="20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WHEREAS, the Additional Grantor has agreed to execute and deliver this Assumption Agreement in order to become a party to the Guarantee and Collateral Agreement;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IT IS AGREED:</w:t>
      </w:r>
    </w:p>
    <w:p>
      <w:pPr>
        <w:spacing w:after="0" w:line="229" w:lineRule="exact"/>
        <w:rPr>
          <w:sz w:val="20"/>
          <w:szCs w:val="20"/>
          <w:color w:val="auto"/>
        </w:rPr>
      </w:pPr>
    </w:p>
    <w:p>
      <w:pPr>
        <w:jc w:val="both"/>
        <w:ind w:firstLine="1304"/>
        <w:spacing w:after="0" w:line="251" w:lineRule="auto"/>
        <w:tabs>
          <w:tab w:leader="none" w:pos="1669"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Guarantee and Collateral Agreement</w:t>
      </w:r>
      <w:r>
        <w:rPr>
          <w:rFonts w:ascii="Times New Roman" w:cs="Times New Roman" w:eastAsia="Times New Roman" w:hAnsi="Times New Roman"/>
          <w:sz w:val="20"/>
          <w:szCs w:val="20"/>
          <w:color w:val="auto"/>
        </w:rPr>
        <w:t>. By executing and delivering this Assumption Agreement, the Additional Grantor, as provided in Section 9.14 of the Guarantee and Collateral Agreement, hereby becomes a party to the Guarantee and Collateral Agreement as a Guarantor and as a Grantor thereunder with the same force and effect as if originally named therein as a as a Guarantor and Grantor and, without limiting the generality of the foregoing, hereby expressly assumes all obligations and liabilities of a Guarantor and a Grantor thereunder. The information set forth in Annex 1-A hereto is hereby added to the information set forth in the Schedules to the Guarantee and Collateral Agreement. The Additional Grantor hereby represents and warrants that each of the representations and warranties contained in Section 5 of the Guarantee and Collateral Agreement is true and correct on and as the date hereof (after giving effect to this Assumption Agreement) as if made on and as of such date.</w:t>
      </w:r>
    </w:p>
    <w:p>
      <w:pPr>
        <w:spacing w:after="0" w:line="191" w:lineRule="exact"/>
        <w:rPr>
          <w:rFonts w:ascii="Times New Roman" w:cs="Times New Roman" w:eastAsia="Times New Roman" w:hAnsi="Times New Roman"/>
          <w:sz w:val="20"/>
          <w:szCs w:val="20"/>
          <w:color w:val="auto"/>
        </w:rPr>
      </w:pPr>
    </w:p>
    <w:p>
      <w:pPr>
        <w:ind w:right="20" w:firstLine="1304"/>
        <w:spacing w:after="0" w:line="273" w:lineRule="auto"/>
        <w:tabs>
          <w:tab w:leader="none" w:pos="1723" w:val="left"/>
        </w:tabs>
        <w:numPr>
          <w:ilvl w:val="0"/>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THIS ASSUMPTION AGREEMENT SHALL BE CONSTRUED IN ACCORDANCE WITH AND GOVERNED BY THE LAW OF THE STATE OF NEW YORK.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ectPr>
          <w:pgSz w:w="11900" w:h="16838" w:orient="portrait"/>
          <w:cols w:equalWidth="0" w:num="1">
            <w:col w:w="11240"/>
          </w:cols>
          <w:pgMar w:left="320" w:top="1413" w:right="339" w:bottom="1440" w:gutter="0" w:footer="0" w:header="0"/>
        </w:sectPr>
      </w:pPr>
    </w:p>
    <w:bookmarkStart w:id="377" w:name="page378"/>
    <w:bookmarkEnd w:id="377"/>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undersigned has caused this Assumption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[ADDITIONAL GRANTOR]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20"/>
          </w:cols>
          <w:pgMar w:left="320" w:top="125" w:right="35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20"/>
          <w:szCs w:val="20"/>
          <w:color w:val="auto"/>
        </w:rPr>
        <w:t>Annex 1-A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Assumption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Supplement to Schedule 9</w:t>
      </w:r>
    </w:p>
    <w:p>
      <w:pPr>
        <w:sectPr>
          <w:pgSz w:w="11900" w:h="16838" w:orient="portrait"/>
          <w:cols w:equalWidth="0" w:num="1">
            <w:col w:w="10120"/>
          </w:cols>
          <w:pgMar w:left="1440" w:top="1413" w:right="339"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20"/>
          <w:szCs w:val="20"/>
          <w:color w:val="auto"/>
        </w:rPr>
        <w:t>Annex 2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Seventh Amended and Restated Guarantee and Collateral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COPYRIGHT SECURITY AGREEMENT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COPYRIGHT SECURITY AGREEMENT, dated as of [__], 202[_] (this “Agreement”), is made by each of the signatories hereto indicated as a “Grantor” (each, a “Grantor” and collectively, the “Grantors”) in favor of JPMORGAN CHASE BANK, N.A., as administrative agent for the Secured Parties (in such capacity and together with its successors and assigns in such capacity, the “Administrative Agent”).</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pursuant to that certain Seventh Amended and Restated Credit Agreement, dated as of November 21, 2025 (as amended, restated, amended and restated, supplemented or otherwise modified from time to time, the “Credit Agreement”),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“Guarantee and Collateral Agreement”), between each of the Grantors and the Administrative Agent, pursuant to which each of the Grantors assigned, transferred and granted to the Administrative Agent, for the benefit of the Secured Parties, a security interest in the Copyright Collateral (as defined below); and</w:t>
      </w:r>
    </w:p>
    <w:p>
      <w:pPr>
        <w:spacing w:after="0" w:line="20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WHEREAS, pursuant to the Guarantee and Collateral Agreement, each Grantor agreed to execute and this Agreement, in order to record the security interest granted to the Administrative Agent for the benefit of the Secured Parties with the United States Copyright Office.</w:t>
      </w:r>
    </w:p>
    <w:p>
      <w:pPr>
        <w:spacing w:after="0" w:line="15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is hereby acknowledged, the Grantors hereby agree with the Administrative Agent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Defined Terms</w:t>
      </w:r>
    </w:p>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respective meanings given thereto in the Guarantee and Collateral Agreement, and if not defined therein, shall have the respective meanings given thereto in the Credit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Grant of Security Interest</w:t>
      </w: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“Copyright Collateral”) as collateral security for the prompt and complete</w:t>
      </w:r>
    </w:p>
    <w:p>
      <w:pPr>
        <w:sectPr>
          <w:pgSz w:w="11900" w:h="16838" w:orient="portrait"/>
          <w:cols w:equalWidth="0" w:num="1">
            <w:col w:w="11240"/>
          </w:cols>
          <w:pgMar w:left="320" w:top="1413" w:right="3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20"/>
          <w:szCs w:val="20"/>
          <w:color w:val="auto"/>
        </w:rPr>
        <w:t>payment and performance when due (whether at the stated maturity, by acceleration or otherwise) of such Grantor’s Obligations:</w:t>
      </w:r>
    </w:p>
    <w:p>
      <w:pPr>
        <w:spacing w:after="0" w:line="256" w:lineRule="exact"/>
        <w:rPr>
          <w:sz w:val="20"/>
          <w:szCs w:val="20"/>
          <w:color w:val="auto"/>
        </w:rPr>
      </w:pPr>
    </w:p>
    <w:p>
      <w:pPr>
        <w:jc w:val="both"/>
        <w:ind w:firstLine="656"/>
        <w:spacing w:after="0" w:line="250" w:lineRule="auto"/>
        <w:tabs>
          <w:tab w:leader="none" w:pos="9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works of authorship and all intellectual property rights therein, all copyrights (whether or not the underlying works of authorship have been published), including but not limited to copyrights in software and databases, all designs (including but not limited to all industrial designs, “Protected Designs” within the meaning of 17 U.S.C. 1301 et. Seq. and Community designs), and all “Mask Works” (as defined in 17 U.S.C. 901 of the U.S. Copyright Act), whether registered or unregistered, and with respect to any and all of the foregoing: (i) all registrations and applications for registration thereof including, without limitation, the registrations and applications in the United States Copyright Office listed in Schedule A attached hereto, (ii) all extensions, renewals, and restorations thereof, (iii) all rights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but excluding any Excluded IP.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Guarantee and Collateral Agreement</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Governing Law</w:t>
      </w:r>
    </w:p>
    <w:p>
      <w:pPr>
        <w:spacing w:after="0" w:line="2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Counterparts</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381" w:name="page382"/>
    <w:bookmarkEnd w:id="381"/>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Grantor has caused this Agreement to be executed and delivered by its duly authorized officer as of the date first set forth above.</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GRANTOR],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Grantor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251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753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Copyright Security Agreement]</w:t>
      </w:r>
    </w:p>
    <w:p>
      <w:pPr>
        <w:sectPr>
          <w:pgSz w:w="11900" w:h="16838" w:orient="portrait"/>
          <w:cols w:equalWidth="0" w:num="1">
            <w:col w:w="11240"/>
          </w:cols>
          <w:pgMar w:left="320" w:top="1413" w:right="339" w:bottom="1440" w:gutter="0" w:footer="0" w:header="0"/>
        </w:sectPr>
      </w:pPr>
    </w:p>
    <w:bookmarkStart w:id="382" w:name="page383"/>
    <w:bookmarkEnd w:id="382"/>
    <w:p>
      <w:pPr>
        <w:ind w:left="498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COPYRIGHT SECURITY AGREEMENT</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COPYRIGHT REGISTRATIONS</w:t>
      </w:r>
    </w:p>
    <w:p>
      <w:pPr>
        <w:spacing w:after="0" w:line="276" w:lineRule="exact"/>
        <w:rPr>
          <w:sz w:val="20"/>
          <w:szCs w:val="20"/>
          <w:color w:val="auto"/>
        </w:rPr>
      </w:pPr>
    </w:p>
    <w:tbl>
      <w:tblPr>
        <w:tblLayout w:type="fixed"/>
        <w:tblInd w:w="7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22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Registration No.</w:t>
            </w:r>
          </w:p>
        </w:tc>
        <w:tc>
          <w:tcPr>
            <w:tcW w:w="230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Registration Date</w:t>
            </w:r>
          </w:p>
        </w:tc>
      </w:tr>
      <w:tr>
        <w:trPr>
          <w:trHeight w:val="254"/>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COPYRIGHT APPLICATIONS</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700" w:type="dxa"/>
            <w:vAlign w:val="bottom"/>
            <w:tcBorders>
              <w:top w:val="single" w:sz="8" w:color="auto"/>
              <w:left w:val="single" w:sz="8" w:color="auto"/>
              <w:bottom w:val="single" w:sz="8" w:color="auto"/>
              <w:right w:val="single" w:sz="8" w:color="auto"/>
            </w:tcBorders>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Title</w:t>
            </w:r>
          </w:p>
        </w:tc>
        <w:tc>
          <w:tcPr>
            <w:tcW w:w="350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Application / Case No.</w:t>
            </w:r>
          </w:p>
        </w:tc>
        <w:tc>
          <w:tcPr>
            <w:tcW w:w="2060" w:type="dxa"/>
            <w:vAlign w:val="bottom"/>
            <w:tcBorders>
              <w:top w:val="single" w:sz="8" w:color="auto"/>
              <w:bottom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Filing Date</w:t>
            </w:r>
          </w:p>
        </w:tc>
      </w:tr>
      <w:tr>
        <w:trPr>
          <w:trHeight w:val="254"/>
        </w:trPr>
        <w:tc>
          <w:tcPr>
            <w:tcW w:w="5700" w:type="dxa"/>
            <w:vAlign w:val="bottom"/>
            <w:tcBorders>
              <w:left w:val="single" w:sz="8" w:color="auto"/>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r>
      <w:tr>
        <w:trPr>
          <w:trHeight w:val="250"/>
        </w:trPr>
        <w:tc>
          <w:tcPr>
            <w:tcW w:w="5700" w:type="dxa"/>
            <w:vAlign w:val="bottom"/>
            <w:tcBorders>
              <w:left w:val="single" w:sz="8" w:color="auto"/>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250"/>
        </w:trPr>
        <w:tc>
          <w:tcPr>
            <w:tcW w:w="5700" w:type="dxa"/>
            <w:vAlign w:val="bottom"/>
            <w:tcBorders>
              <w:left w:val="single" w:sz="8" w:color="auto"/>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250"/>
        </w:trPr>
        <w:tc>
          <w:tcPr>
            <w:tcW w:w="5700" w:type="dxa"/>
            <w:vAlign w:val="bottom"/>
            <w:tcBorders>
              <w:left w:val="single" w:sz="8" w:color="auto"/>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r>
        <w:trPr>
          <w:trHeight w:val="250"/>
        </w:trPr>
        <w:tc>
          <w:tcPr>
            <w:tcW w:w="5700" w:type="dxa"/>
            <w:vAlign w:val="bottom"/>
            <w:tcBorders>
              <w:left w:val="single" w:sz="8" w:color="auto"/>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09" w:right="319" w:bottom="1440" w:gutter="0" w:footer="0" w:header="0"/>
        </w:sectPr>
      </w:pPr>
    </w:p>
    <w:bookmarkStart w:id="383" w:name="page384"/>
    <w:bookmarkEnd w:id="383"/>
    <w:p>
      <w:pPr>
        <w:jc w:val="right"/>
        <w:spacing w:after="0"/>
        <w:rPr>
          <w:sz w:val="20"/>
          <w:szCs w:val="20"/>
          <w:color w:val="auto"/>
        </w:rPr>
      </w:pPr>
      <w:r>
        <w:rPr>
          <w:rFonts w:ascii="Times New Roman" w:cs="Times New Roman" w:eastAsia="Times New Roman" w:hAnsi="Times New Roman"/>
          <w:sz w:val="20"/>
          <w:szCs w:val="20"/>
          <w:color w:val="auto"/>
        </w:rPr>
        <w:t>Annex 3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Seventh Amended and Restated Guarantee and Collateral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PATENT SECURITY AGREEMENT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PATENT SECURITY AGREEMENT, dated as of [__], 202[_] (this “Agreement”), is made by each of the signatories hereto indicated as a Grantor (each, a “Grantor” and collectively, the “Grantors”) in favor of JPMORGAN CHASE BANK, N.A., as administrative agent for the Secured Parties (in such capacity and together with its successors and assigns in such capacity, the “Administrative Agent”).</w:t>
      </w: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pursuant to that certain Seventh Amended and Restated Credit Agreement, dated as of November 21, 2025 (as amended, restated, amended and restated, supplemented or otherwise modified from time to time, the “Credit Agreement”),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spacing w:after="0" w:line="20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“Guarantee and Collateral Agreement”), between each of the Grantors and the Administrative Agent, pursuant to which each of the Grantors assigned, transferred and granted to the Administrative Agent, for the benefit of the Secured Parties, a security interest in the Patent Collateral (as defined below); and</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the Guarantee and Collateral Agreement, each Grantor agreed to execute and this Agreement, in order to record the security interest granted to the Administrative Agent for the benefit of the Secured Parties with the United States Patent and Trademark Office.</w:t>
      </w:r>
    </w:p>
    <w:p>
      <w:pPr>
        <w:spacing w:after="0" w:line="20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is hereby acknowledged, the Grantors hereby agree with the Administrative Agent as follows: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Defined Terms</w:t>
      </w:r>
    </w:p>
    <w:p>
      <w:pPr>
        <w:spacing w:after="0" w:line="2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respective meanings given thereto in the Guarantee and Collateral Agreement, and if not defined therein, shall have the respective meanings given thereto in the Credit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Grant of Security Interest</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“Patent Collateral”) as collateral security for the prompt and complete payment</w:t>
      </w:r>
    </w:p>
    <w:p>
      <w:pPr>
        <w:sectPr>
          <w:pgSz w:w="11900" w:h="16838" w:orient="portrait"/>
          <w:cols w:equalWidth="0" w:num="1">
            <w:col w:w="11240"/>
          </w:cols>
          <w:pgMar w:left="320" w:top="1413" w:right="3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20"/>
          <w:szCs w:val="20"/>
          <w:color w:val="auto"/>
        </w:rPr>
        <w:t>and performance when due (whether at the stated maturity, by acceleration or otherwise) of such Grantor’s Obligations:</w:t>
      </w:r>
    </w:p>
    <w:p>
      <w:pPr>
        <w:spacing w:after="0" w:line="256" w:lineRule="exact"/>
        <w:rPr>
          <w:sz w:val="20"/>
          <w:szCs w:val="20"/>
          <w:color w:val="auto"/>
        </w:rPr>
      </w:pPr>
    </w:p>
    <w:p>
      <w:pPr>
        <w:jc w:val="both"/>
        <w:ind w:firstLine="656"/>
        <w:spacing w:after="0" w:line="251" w:lineRule="auto"/>
        <w:tabs>
          <w:tab w:leader="none" w:pos="917"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patentable inventions and designs, all patents, certificates of invention, and similar industrial property rights, and applications for any of the foregoing, including without limitation: (i) each patent and patent application in the United States Patent and Trademark Office listed in Schedule A attached hereto, (ii) all reissues, substitutes, divisions, continuations, continuations-in-part, extensions, renewals, and reexaminations thereof, (iii) all inventions and improvements described and claimed therein, (iv) all rights to sue or otherwise recover for any past, present and future infringement or other violation thereof, (v) all Proceeds of the foregoing, including, without limitation, license fees, royalties, income, payments, claims, damages, and proceeds of suit now or hereafter due and/or payable with respect thereto, income, royalties, damages and other payments now and hereafter due and/or payable with respect thereto, and (vi) all other rights of any accruing thereunder or pertaining thereto; but excluding any Excluded IP.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Guarantee and Collateral Agreement</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Governing Law</w:t>
      </w:r>
    </w:p>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Counterparts</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385" w:name="page386"/>
    <w:bookmarkEnd w:id="385"/>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Grantor has caused this Agreement to be executed and delivered by its duly authorized officer as of the date first set forth above.</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GRANTOR],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Grantor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251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628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Patent Security Agreement]</w:t>
      </w:r>
    </w:p>
    <w:p>
      <w:pPr>
        <w:sectPr>
          <w:pgSz w:w="11900" w:h="16838" w:orient="portrait"/>
          <w:cols w:equalWidth="0" w:num="1">
            <w:col w:w="11240"/>
          </w:cols>
          <w:pgMar w:left="320" w:top="1413" w:right="339" w:bottom="1440" w:gutter="0" w:footer="0" w:header="0"/>
        </w:sectPr>
      </w:pPr>
    </w:p>
    <w:bookmarkStart w:id="386" w:name="page387"/>
    <w:bookmarkEnd w:id="386"/>
    <w:p>
      <w:pPr>
        <w:ind w:left="474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PATENT SECURITY AGREEMENT</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PATENTS AND PATENT APPLICATIONS</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200" w:type="dxa"/>
            <w:vAlign w:val="bottom"/>
            <w:tcBorders>
              <w:top w:val="single" w:sz="8" w:color="auto"/>
              <w:left w:val="single" w:sz="8" w:color="auto"/>
              <w:bottom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21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Application No.</w:t>
            </w:r>
          </w:p>
        </w:tc>
        <w:tc>
          <w:tcPr>
            <w:tcW w:w="21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Filing Date</w:t>
            </w:r>
          </w:p>
        </w:tc>
        <w:tc>
          <w:tcPr>
            <w:tcW w:w="216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Patent No.</w:t>
            </w:r>
          </w:p>
        </w:tc>
        <w:tc>
          <w:tcPr>
            <w:tcW w:w="20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Issue Date</w:t>
            </w:r>
          </w:p>
        </w:tc>
      </w:tr>
      <w:tr>
        <w:trPr>
          <w:trHeight w:val="254"/>
        </w:trPr>
        <w:tc>
          <w:tcPr>
            <w:tcW w:w="2200" w:type="dxa"/>
            <w:vAlign w:val="bottom"/>
            <w:tcBorders>
              <w:left w:val="single" w:sz="8" w:color="auto"/>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0800"/>
          </w:cols>
          <w:pgMar w:left="560" w:top="1409" w:right="539"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20"/>
          <w:szCs w:val="20"/>
          <w:color w:val="auto"/>
        </w:rPr>
        <w:t>Annex 4 to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Seventh Amended and Restated Guarantee and Collateral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TRADEMARK SECURITY AGREEMENT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TRADEMARK SECURITY AGREEMENT, dated as of [__], 202[_] (this “Agreement”), is made by each of the signatories hereto indicated as a Grantor (each, a “Grantor” and collectively, the “Grantors”) in favor of JPMORGAN CHASE BANK, N.A., as administrative agent for the Secured Parties (in such capacity and together with its successors and assigns in such capacity, the “Administrative Agent”).</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pursuant to that certain Seventh Amended and Restated Credit Agreement, dated as of November 21, 2025 (as amended, restated, amended and restated, supplemented or otherwise modified from time to time, the “Credit Agreement”),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as a condition precedent to the obligation of the Lenders to make their respective extension of credit to the Borrowers under the Credit Agreement, the Grantors entered into a Seventh Amended and Restated Guarantee and Collateral, dated as of November 21, 2025 (as amended, restated, amended and restated, supplemented or otherwise modified from time to time, the “Guarantee and Collateral Agreement”), between each of the Grantors and the Administrative Agent, pursuant to which each of the Grantors assigned, transferred and granted to the Administrative Agent, for the benefit of the Secured Parties, a security interest in the Trademark Collateral (as defined below); and</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the Guarantee and Collateral Agreement, each Grantor agreed to execute and this Agreement, in order to record the security interest granted to the Administrative Agent for the benefit of the Secured Parties with the United States Patent and Trademark Office.</w:t>
      </w:r>
    </w:p>
    <w:p>
      <w:pPr>
        <w:spacing w:after="0" w:line="20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is hereby acknowledged, the Grantors hereby agree with the Administrative Agent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Defined Terms</w:t>
      </w:r>
    </w:p>
    <w:p>
      <w:pPr>
        <w:spacing w:after="0" w:line="2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respective meanings given thereto in the Guarantee and Collateral Agreement, and if not defined therein, shall have the respective meanings given thereto in the Credit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Grant of Security Interest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SECTION 2.1 Grant of Security</w:t>
      </w:r>
      <w:r>
        <w:rPr>
          <w:rFonts w:ascii="Times New Roman" w:cs="Times New Roman" w:eastAsia="Times New Roman" w:hAnsi="Times New Roman"/>
          <w:sz w:val="20"/>
          <w:szCs w:val="20"/>
          <w:color w:val="auto"/>
        </w:rPr>
        <w:t>. Each Grantor hereby assigns and transfers to the Administrative Agent, and hereby grants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“Trademark Collateral”) as collateral</w:t>
      </w:r>
    </w:p>
    <w:p>
      <w:pPr>
        <w:sectPr>
          <w:pgSz w:w="11900" w:h="16838" w:orient="portrait"/>
          <w:cols w:equalWidth="0" w:num="1">
            <w:col w:w="11240"/>
          </w:cols>
          <w:pgMar w:left="320" w:top="1413" w:right="339" w:bottom="1440" w:gutter="0" w:footer="0" w:header="0"/>
        </w:sectPr>
      </w:pPr>
    </w:p>
    <w:bookmarkStart w:id="388" w:name="page389"/>
    <w:bookmarkEnd w:id="388"/>
    <w:p>
      <w:pPr>
        <w:spacing w:after="0" w:line="283" w:lineRule="auto"/>
        <w:rPr>
          <w:sz w:val="20"/>
          <w:szCs w:val="20"/>
          <w:color w:val="auto"/>
        </w:rPr>
      </w:pPr>
      <w:r>
        <w:rPr>
          <w:rFonts w:ascii="Times New Roman" w:cs="Times New Roman" w:eastAsia="Times New Roman" w:hAnsi="Times New Roman"/>
          <w:sz w:val="20"/>
          <w:szCs w:val="20"/>
          <w:color w:val="auto"/>
        </w:rPr>
        <w:t>security for the prompt and complete payment and performance when due (whether at the stated maturity, by acceleration or otherwise) of such Grantor’s Obligations:</w:t>
      </w:r>
    </w:p>
    <w:p>
      <w:pPr>
        <w:spacing w:after="0" w:line="173" w:lineRule="exact"/>
        <w:rPr>
          <w:sz w:val="20"/>
          <w:szCs w:val="20"/>
          <w:color w:val="auto"/>
        </w:rPr>
      </w:pPr>
    </w:p>
    <w:p>
      <w:pPr>
        <w:jc w:val="both"/>
        <w:ind w:firstLine="656"/>
        <w:spacing w:after="0" w:line="252" w:lineRule="auto"/>
        <w:tabs>
          <w:tab w:leader="none" w:pos="93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trademarks, service marks, trade names, corporate names, company names, business names, fictitious business names, trade dress, trade styles, logos, Internet domain names, other indicia of origin or source identification, and general intangibles of a like nature, whether registered or unregistered, and with respect to any and all of the foregoing: (i) all registrations and applications for registration thereof including, without limitation, the registrations and applications in the United States Patent and Trademark Office listed in Schedule A attached hereto, (ii) all extension and renewals thereof, (iii) all of the goodwill of the business connected with the use of and symbolized by any of the foregoing, (iv) all rights to sue or otherwise recover for any past, present and future infringement, dilution,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2.2 Certain Limited Exclusions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anything herein to the contrary, in no event shall the Trademark Collateral include or the security interest granted under Section 2.1 hereof attach to (i) any “intent-to-use” application for registration of a Trademark filed pursuant to Section 1(b) of the Lanham Act, 15 U.S.C. § 1051, prior to the filing and acceptance of a “Statement of Use” or an “Amendment to Allege Use”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(ii) any other Excluded IP.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Guarantee and Collateral Agreement</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Governing Law</w:t>
      </w:r>
    </w:p>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Counterparts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w:t>
      </w:r>
    </w:p>
    <w:p>
      <w:pPr>
        <w:sectPr>
          <w:pgSz w:w="11900" w:h="16838" w:orient="portrait"/>
          <w:cols w:equalWidth="0" w:num="1">
            <w:col w:w="11240"/>
          </w:cols>
          <w:pgMar w:left="320" w:top="1413" w:right="339" w:bottom="1440" w:gutter="0" w:footer="0" w:header="0"/>
        </w:sectPr>
      </w:pPr>
    </w:p>
    <w:bookmarkStart w:id="389" w:name="page390"/>
    <w:bookmarkEnd w:id="389"/>
    <w:p>
      <w:pPr>
        <w:jc w:val="both"/>
        <w:spacing w:after="0" w:line="258" w:lineRule="auto"/>
        <w:rPr>
          <w:sz w:val="20"/>
          <w:szCs w:val="20"/>
          <w:color w:val="auto"/>
        </w:rPr>
      </w:pPr>
      <w:r>
        <w:rPr>
          <w:rFonts w:ascii="Times New Roman" w:cs="Times New Roman" w:eastAsia="Times New Roman" w:hAnsi="Times New Roman"/>
          <w:sz w:val="20"/>
          <w:szCs w:val="20"/>
          <w:color w:val="auto"/>
        </w:rPr>
        <w:t>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390" w:name="page391"/>
    <w:bookmarkEnd w:id="390"/>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Grantor has caused this Agreement to be executed and delivered by its duly authorized officer as of the date first set forth above.</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GRANTOR],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Grantor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79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628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Trademark Security Agreement]</w:t>
      </w:r>
    </w:p>
    <w:p>
      <w:pPr>
        <w:sectPr>
          <w:pgSz w:w="11900" w:h="16838" w:orient="portrait"/>
          <w:cols w:equalWidth="0" w:num="1">
            <w:col w:w="11240"/>
          </w:cols>
          <w:pgMar w:left="320" w:top="1413" w:right="339" w:bottom="1440" w:gutter="0" w:footer="0" w:header="0"/>
        </w:sectPr>
      </w:pPr>
    </w:p>
    <w:bookmarkStart w:id="391" w:name="page392"/>
    <w:bookmarkEnd w:id="391"/>
    <w:p>
      <w:pPr>
        <w:ind w:left="474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TRADEMARK SECURITY AGREEMENT</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TRADEMARK REGISTRATIONS AND APPLICATIONS</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200" w:type="dxa"/>
            <w:vAlign w:val="bottom"/>
            <w:tcBorders>
              <w:top w:val="single" w:sz="8" w:color="auto"/>
              <w:left w:val="single" w:sz="8" w:color="auto"/>
              <w:bottom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Mark</w:t>
            </w:r>
          </w:p>
        </w:tc>
        <w:tc>
          <w:tcPr>
            <w:tcW w:w="21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Serial No.</w:t>
            </w:r>
          </w:p>
        </w:tc>
        <w:tc>
          <w:tcPr>
            <w:tcW w:w="21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Filing Date</w:t>
            </w:r>
          </w:p>
        </w:tc>
        <w:tc>
          <w:tcPr>
            <w:tcW w:w="216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Registration No.</w:t>
            </w:r>
          </w:p>
        </w:tc>
        <w:tc>
          <w:tcPr>
            <w:tcW w:w="2080" w:type="dxa"/>
            <w:vAlign w:val="bottom"/>
            <w:tcBorders>
              <w:top w:val="single" w:sz="8" w:color="auto"/>
              <w:bottom w:val="single" w:sz="8" w:color="auto"/>
              <w:right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Registration Date</w:t>
            </w:r>
          </w:p>
        </w:tc>
      </w:tr>
      <w:tr>
        <w:trPr>
          <w:trHeight w:val="254"/>
        </w:trPr>
        <w:tc>
          <w:tcPr>
            <w:tcW w:w="2200" w:type="dxa"/>
            <w:vAlign w:val="bottom"/>
            <w:tcBorders>
              <w:left w:val="single" w:sz="8" w:color="auto"/>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0800"/>
      </w:cols>
      <w:pgMar w:left="560" w:top="140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DE8AF6"/>
    <w:multiLevelType w:val="hybridMultilevel"/>
    <w:lvl w:ilvl="0">
      <w:lvlJc w:val="left"/>
      <w:lvlText w:val="☐"/>
      <w:numFmt w:val="bullet"/>
      <w:start w:val="1"/>
    </w:lvl>
  </w:abstractNum>
  <w:abstractNum w:abstractNumId="1">
    <w:nsid w:val="3FC32E20"/>
    <w:multiLevelType w:val="hybridMultilevel"/>
    <w:lvl w:ilvl="0">
      <w:lvlJc w:val="left"/>
      <w:lvlText w:val="(%1)"/>
      <w:numFmt w:val="lowerLetter"/>
      <w:start w:val="1"/>
    </w:lvl>
  </w:abstractNum>
  <w:abstractNum w:abstractNumId="2">
    <w:nsid w:val="49C0E823"/>
    <w:multiLevelType w:val="hybridMultilevel"/>
    <w:lvl w:ilvl="0">
      <w:lvlJc w:val="left"/>
      <w:lvlText w:val="(%1)"/>
      <w:numFmt w:val="lowerLetter"/>
      <w:start w:val="3"/>
    </w:lvl>
  </w:abstractNum>
  <w:abstractNum w:abstractNumId="3">
    <w:nsid w:val="14D53685"/>
    <w:multiLevelType w:val="hybridMultilevel"/>
    <w:lvl w:ilvl="0">
      <w:lvlJc w:val="left"/>
      <w:lvlText w:val="(%1)"/>
      <w:numFmt w:val="lowerRoman"/>
      <w:start w:val="1"/>
    </w:lvl>
  </w:abstractNum>
  <w:abstractNum w:abstractNumId="4">
    <w:nsid w:val="230F856C"/>
    <w:multiLevelType w:val="hybridMultilevel"/>
    <w:lvl w:ilvl="0">
      <w:lvlJc w:val="left"/>
      <w:lvlText w:val="(%1)"/>
      <w:numFmt w:val="lowerLetter"/>
      <w:start w:val="2"/>
    </w:lvl>
  </w:abstractNum>
  <w:abstractNum w:abstractNumId="5">
    <w:nsid w:val="6EAA85FB"/>
    <w:multiLevelType w:val="hybridMultilevel"/>
    <w:lvl w:ilvl="0">
      <w:lvlJc w:val="left"/>
      <w:lvlText w:val="(%1)"/>
      <w:numFmt w:val="lowerRoman"/>
      <w:start w:val="1"/>
    </w:lvl>
  </w:abstractNum>
  <w:abstractNum w:abstractNumId="6">
    <w:nsid w:val="3F06ECB2"/>
    <w:multiLevelType w:val="hybridMultilevel"/>
    <w:lvl w:ilvl="0">
      <w:lvlJc w:val="left"/>
      <w:lvlText w:val="(%1)"/>
      <w:numFmt w:val="decimal"/>
      <w:start w:val="1"/>
    </w:lvl>
  </w:abstractNum>
  <w:abstractNum w:abstractNumId="7">
    <w:nsid w:val="3B594807"/>
    <w:multiLevelType w:val="hybridMultilevel"/>
    <w:lvl w:ilvl="0">
      <w:lvlJc w:val="left"/>
      <w:lvlText w:val="(%1)"/>
      <w:numFmt w:val="decimal"/>
      <w:start w:val="1"/>
    </w:lvl>
  </w:abstractNum>
  <w:abstractNum w:abstractNumId="8">
    <w:nsid w:val="6CAA2304"/>
    <w:multiLevelType w:val="hybridMultilevel"/>
    <w:lvl w:ilvl="0">
      <w:lvlJc w:val="left"/>
      <w:lvlText w:val="(%1)"/>
      <w:numFmt w:val="decimal"/>
      <w:start w:val="1"/>
    </w:lvl>
  </w:abstractNum>
  <w:abstractNum w:abstractNumId="9">
    <w:nsid w:val="3F7C2FF4"/>
    <w:multiLevelType w:val="hybridMultilevel"/>
    <w:lvl w:ilvl="0">
      <w:lvlJc w:val="left"/>
      <w:lvlText w:val="(%1)"/>
      <w:numFmt w:val="decimal"/>
      <w:start w:val="1"/>
    </w:lvl>
  </w:abstractNum>
  <w:abstractNum w:abstractNumId="10">
    <w:nsid w:val="25413BEC"/>
    <w:multiLevelType w:val="hybridMultilevel"/>
    <w:lvl w:ilvl="0">
      <w:lvlJc w:val="left"/>
      <w:lvlText w:val="(%1)"/>
      <w:numFmt w:val="decimal"/>
      <w:start w:val="3"/>
    </w:lvl>
  </w:abstractNum>
  <w:abstractNum w:abstractNumId="11">
    <w:nsid w:val="17180B0B"/>
    <w:multiLevelType w:val="hybridMultilevel"/>
    <w:lvl w:ilvl="0">
      <w:lvlJc w:val="left"/>
      <w:lvlText w:val="(%1)"/>
      <w:numFmt w:val="lowerLetter"/>
      <w:start w:val="1"/>
    </w:lvl>
  </w:abstractNum>
  <w:abstractNum w:abstractNumId="12">
    <w:nsid w:val="579328B9"/>
    <w:multiLevelType w:val="hybridMultilevel"/>
    <w:lvl w:ilvl="0">
      <w:lvlJc w:val="left"/>
      <w:lvlText w:val="(%1)"/>
      <w:numFmt w:val="lowerLetter"/>
      <w:start w:val="2"/>
    </w:lvl>
  </w:abstractNum>
  <w:abstractNum w:abstractNumId="13">
    <w:nsid w:val="5D205E20"/>
    <w:multiLevelType w:val="hybridMultilevel"/>
    <w:lvl w:ilvl="0">
      <w:lvlJc w:val="left"/>
      <w:lvlText w:val="(%1)"/>
      <w:numFmt w:val="lowerRoman"/>
      <w:start w:val="2"/>
    </w:lvl>
  </w:abstractNum>
  <w:abstractNum w:abstractNumId="14">
    <w:nsid w:val="11CCA8BA"/>
    <w:multiLevelType w:val="hybridMultilevel"/>
    <w:lvl w:ilvl="0">
      <w:lvlJc w:val="left"/>
      <w:lvlText w:val="(%1)"/>
      <w:numFmt w:val="lowerLetter"/>
      <w:start w:val="2"/>
    </w:lvl>
  </w:abstractNum>
  <w:abstractNum w:abstractNumId="15">
    <w:nsid w:val="4D32AB86"/>
    <w:multiLevelType w:val="hybridMultilevel"/>
    <w:lvl w:ilvl="0">
      <w:lvlJc w:val="left"/>
      <w:lvlText w:val="(%1)"/>
      <w:numFmt w:val="lowerRoman"/>
      <w:start w:val="1"/>
    </w:lvl>
  </w:abstractNum>
  <w:abstractNum w:abstractNumId="16">
    <w:nsid w:val="3F07ACC3"/>
    <w:multiLevelType w:val="hybridMultilevel"/>
    <w:lvl w:ilvl="0">
      <w:lvlJc w:val="left"/>
      <w:lvlText w:val="(%1)"/>
      <w:numFmt w:val="lowerRoman"/>
      <w:start w:val="2"/>
    </w:lvl>
  </w:abstractNum>
  <w:abstractNum w:abstractNumId="17">
    <w:nsid w:val="6B47F63E"/>
    <w:multiLevelType w:val="hybridMultilevel"/>
    <w:lvl w:ilvl="0">
      <w:lvlJc w:val="left"/>
      <w:lvlText w:val="(%1)"/>
      <w:numFmt w:val="lowerLetter"/>
      <w:start w:val="3"/>
    </w:lvl>
  </w:abstractNum>
  <w:abstractNum w:abstractNumId="18">
    <w:nsid w:val="5CB44A05"/>
    <w:multiLevelType w:val="hybridMultilevel"/>
    <w:lvl w:ilvl="0">
      <w:lvlJc w:val="left"/>
      <w:lvlText w:val="(%1)"/>
      <w:numFmt w:val="lowerLetter"/>
      <w:start w:val="1"/>
    </w:lvl>
  </w:abstractNum>
  <w:abstractNum w:abstractNumId="19">
    <w:nsid w:val="16CF80F1"/>
    <w:multiLevelType w:val="hybridMultilevel"/>
    <w:lvl w:ilvl="0">
      <w:lvlJc w:val="left"/>
      <w:lvlText w:val="(%1)"/>
      <w:numFmt w:val="lowerLetter"/>
      <w:start w:val="2"/>
    </w:lvl>
  </w:abstractNum>
  <w:abstractNum w:abstractNumId="20">
    <w:nsid w:val="1C695DEC"/>
    <w:multiLevelType w:val="hybridMultilevel"/>
    <w:lvl w:ilvl="0">
      <w:lvlJc w:val="left"/>
      <w:lvlText w:val="(%1)"/>
      <w:numFmt w:val="lowerLetter"/>
      <w:start w:val="1"/>
    </w:lvl>
  </w:abstractNum>
  <w:abstractNum w:abstractNumId="21">
    <w:nsid w:val="3FCFAED9"/>
    <w:multiLevelType w:val="hybridMultilevel"/>
    <w:lvl w:ilvl="0">
      <w:lvlJc w:val="left"/>
      <w:lvlText w:val="(%1)"/>
      <w:numFmt w:val="lowerLetter"/>
      <w:start w:val="2"/>
    </w:lvl>
  </w:abstractNum>
  <w:abstractNum w:abstractNumId="22">
    <w:nsid w:val="F856867"/>
    <w:multiLevelType w:val="hybridMultilevel"/>
    <w:lvl w:ilvl="0">
      <w:lvlJc w:val="left"/>
      <w:lvlText w:val="(%1)"/>
      <w:numFmt w:val="lowerLetter"/>
      <w:start w:val="3"/>
    </w:lvl>
  </w:abstractNum>
  <w:abstractNum w:abstractNumId="23">
    <w:nsid w:val="11B1CC33"/>
    <w:multiLevelType w:val="hybridMultilevel"/>
    <w:lvl w:ilvl="0">
      <w:lvlJc w:val="left"/>
      <w:lvlText w:val="(%1)"/>
      <w:numFmt w:val="lowerRoman"/>
      <w:start w:val="1"/>
    </w:lvl>
  </w:abstractNum>
  <w:abstractNum w:abstractNumId="24">
    <w:nsid w:val="2E22FBB7"/>
    <w:multiLevelType w:val="hybridMultilevel"/>
    <w:lvl w:ilvl="0">
      <w:lvlJc w:val="left"/>
      <w:lvlText w:val="(%1)"/>
      <w:numFmt w:val="lowerRoman"/>
      <w:start w:val="4"/>
    </w:lvl>
  </w:abstractNum>
  <w:abstractNum w:abstractNumId="25">
    <w:nsid w:val="29934699"/>
    <w:multiLevelType w:val="hybridMultilevel"/>
    <w:lvl w:ilvl="0">
      <w:lvlJc w:val="left"/>
      <w:lvlText w:val="(%1)"/>
      <w:numFmt w:val="lowerLetter"/>
      <w:start w:val="1"/>
    </w:lvl>
  </w:abstractNum>
  <w:abstractNum w:abstractNumId="26">
    <w:nsid w:val="77485850"/>
    <w:multiLevelType w:val="hybridMultilevel"/>
    <w:lvl w:ilvl="0">
      <w:lvlJc w:val="left"/>
      <w:lvlText w:val="%1"/>
      <w:numFmt w:val="lowerLetter"/>
      <w:start w:val="1"/>
    </w:lvl>
    <w:lvl w:ilvl="1">
      <w:lvlJc w:val="left"/>
      <w:lvlText w:val="(%2)"/>
      <w:numFmt w:val="lowerLetter"/>
      <w:start w:val="2"/>
    </w:lvl>
  </w:abstractNum>
  <w:abstractNum w:abstractNumId="27">
    <w:nsid w:val="744939A3"/>
    <w:multiLevelType w:val="hybridMultilevel"/>
    <w:lvl w:ilvl="0">
      <w:lvlJc w:val="left"/>
      <w:lvlText w:val="(%1)"/>
      <w:numFmt w:val="lowerLetter"/>
      <w:start w:val="35"/>
    </w:lvl>
    <w:lvl w:ilvl="1">
      <w:lvlJc w:val="left"/>
      <w:lvlText w:val="(%2)"/>
      <w:numFmt w:val="lowerLetter"/>
      <w:start w:val="3"/>
    </w:lvl>
  </w:abstractNum>
  <w:abstractNum w:abstractNumId="28">
    <w:nsid w:val="4FA0D2E3"/>
    <w:multiLevelType w:val="hybridMultilevel"/>
    <w:lvl w:ilvl="0">
      <w:lvlJc w:val="left"/>
      <w:lvlText w:val="(%1)"/>
      <w:numFmt w:val="lowerLetter"/>
      <w:start w:val="4"/>
    </w:lvl>
  </w:abstractNum>
  <w:abstractNum w:abstractNumId="29">
    <w:nsid w:val="6B1D2C14"/>
    <w:multiLevelType w:val="hybridMultilevel"/>
    <w:lvl w:ilvl="0">
      <w:lvlJc w:val="left"/>
      <w:lvlText w:val="(%1)"/>
      <w:numFmt w:val="lowerLetter"/>
      <w:start w:val="25"/>
    </w:lvl>
    <w:lvl w:ilvl="1">
      <w:lvlJc w:val="left"/>
      <w:lvlText w:val="(%2)"/>
      <w:numFmt w:val="lowerLetter"/>
      <w:start w:val="2"/>
    </w:lvl>
  </w:abstractNum>
  <w:abstractNum w:abstractNumId="30">
    <w:nsid w:val="68B867D3"/>
    <w:multiLevelType w:val="hybridMultilevel"/>
    <w:lvl w:ilvl="0">
      <w:lvlJc w:val="left"/>
      <w:lvlText w:val="(%1)"/>
      <w:numFmt w:val="lowerLetter"/>
      <w:start w:val="3"/>
    </w:lvl>
  </w:abstractNum>
  <w:abstractNum w:abstractNumId="31">
    <w:nsid w:val="3F7F5DD9"/>
    <w:multiLevelType w:val="hybridMultilevel"/>
    <w:lvl w:ilvl="0">
      <w:lvlJc w:val="left"/>
      <w:lvlText w:val="(%1)"/>
      <w:numFmt w:val="lowerLetter"/>
      <w:start w:val="6"/>
    </w:lvl>
  </w:abstractNum>
  <w:abstractNum w:abstractNumId="32">
    <w:nsid w:val="2AE05A34"/>
    <w:multiLevelType w:val="hybridMultilevel"/>
    <w:lvl w:ilvl="0">
      <w:lvlJc w:val="left"/>
      <w:lvlText w:val="(%1)"/>
      <w:numFmt w:val="lowerLetter"/>
      <w:start w:val="8"/>
    </w:lvl>
  </w:abstractNum>
  <w:abstractNum w:abstractNumId="33">
    <w:nsid w:val="32794FF7"/>
    <w:multiLevelType w:val="hybridMultilevel"/>
    <w:lvl w:ilvl="0">
      <w:lvlJc w:val="left"/>
      <w:lvlText w:val="(%1)"/>
      <w:numFmt w:val="upperLetter"/>
      <w:start w:val="2"/>
    </w:lvl>
  </w:abstractNum>
  <w:abstractNum w:abstractNumId="34">
    <w:nsid w:val="5454945E"/>
    <w:multiLevelType w:val="hybridMultilevel"/>
    <w:lvl w:ilvl="0">
      <w:lvlJc w:val="left"/>
      <w:lvlText w:val="(%1)"/>
      <w:numFmt w:val="lowerLetter"/>
      <w:start w:val="10"/>
    </w:lvl>
  </w:abstractNum>
  <w:abstractNum w:abstractNumId="35">
    <w:nsid w:val="4DEFDFA0"/>
    <w:multiLevelType w:val="hybridMultilevel"/>
    <w:lvl w:ilvl="0">
      <w:lvlJc w:val="left"/>
      <w:lvlText w:val="(%1)"/>
      <w:numFmt w:val="lowerLetter"/>
      <w:start w:val="11"/>
    </w:lvl>
  </w:abstractNum>
  <w:abstractNum w:abstractNumId="36">
    <w:nsid w:val="2123D5F2"/>
    <w:multiLevelType w:val="hybridMultilevel"/>
    <w:lvl w:ilvl="0">
      <w:lvlJc w:val="left"/>
      <w:lvlText w:val="(%1)"/>
      <w:numFmt w:val="lowerRoman"/>
      <w:start w:val="2"/>
    </w:lvl>
  </w:abstractNum>
  <w:abstractNum w:abstractNumId="37">
    <w:nsid w:val="135B8110"/>
    <w:multiLevelType w:val="hybridMultilevel"/>
    <w:lvl w:ilvl="0">
      <w:lvlJc w:val="left"/>
      <w:lvlText w:val="(%1)"/>
      <w:numFmt w:val="lowerLetter"/>
      <w:start w:val="2"/>
    </w:lvl>
  </w:abstractNum>
  <w:abstractNum w:abstractNumId="38">
    <w:nsid w:val="94927A8"/>
    <w:multiLevelType w:val="hybridMultilevel"/>
    <w:lvl w:ilvl="0">
      <w:lvlJc w:val="left"/>
      <w:lvlText w:val="(%1)"/>
      <w:numFmt w:val="lowerLetter"/>
      <w:start w:val="2"/>
    </w:lvl>
  </w:abstractNum>
  <w:abstractNum w:abstractNumId="39">
    <w:nsid w:val="DCDF8F6"/>
    <w:multiLevelType w:val="hybridMultilevel"/>
    <w:lvl w:ilvl="0">
      <w:lvlJc w:val="left"/>
      <w:lvlText w:val="(%1)"/>
      <w:numFmt w:val="lowerRoman"/>
      <w:start w:val="1"/>
    </w:lvl>
  </w:abstractNum>
  <w:abstractNum w:abstractNumId="40">
    <w:nsid w:val="52D7B105"/>
    <w:multiLevelType w:val="hybridMultilevel"/>
    <w:lvl w:ilvl="0">
      <w:lvlJc w:val="left"/>
      <w:lvlText w:val="(%1)"/>
      <w:numFmt w:val="lowerLetter"/>
      <w:start w:val="4"/>
    </w:lvl>
  </w:abstractNum>
  <w:abstractNum w:abstractNumId="41">
    <w:nsid w:val="2E8A6394"/>
    <w:multiLevelType w:val="hybridMultilevel"/>
    <w:lvl w:ilvl="0">
      <w:lvlJc w:val="left"/>
      <w:lvlText w:val="(%1)"/>
      <w:numFmt w:val="lowerLetter"/>
      <w:start w:val="2"/>
    </w:lvl>
  </w:abstractNum>
  <w:abstractNum w:abstractNumId="42">
    <w:nsid w:val="24E60401"/>
    <w:multiLevelType w:val="hybridMultilevel"/>
    <w:lvl w:ilvl="0">
      <w:lvlJc w:val="left"/>
      <w:lvlText w:val="(%1)"/>
      <w:numFmt w:val="lowerLetter"/>
      <w:start w:val="2"/>
    </w:lvl>
  </w:abstractNum>
  <w:abstractNum w:abstractNumId="43">
    <w:nsid w:val="2A6AD9BE"/>
    <w:multiLevelType w:val="hybridMultilevel"/>
    <w:lvl w:ilvl="0">
      <w:lvlJc w:val="left"/>
      <w:lvlText w:val="(%1)"/>
      <w:numFmt w:val="lowerLetter"/>
      <w:start w:val="3"/>
    </w:lvl>
  </w:abstractNum>
  <w:abstractNum w:abstractNumId="44">
    <w:nsid w:val="BAAC1B4"/>
    <w:multiLevelType w:val="hybridMultilevel"/>
    <w:lvl w:ilvl="0">
      <w:lvlJc w:val="left"/>
      <w:lvlText w:val="(%1)"/>
      <w:numFmt w:val="lowerLetter"/>
      <w:start w:val="1"/>
    </w:lvl>
  </w:abstractNum>
  <w:abstractNum w:abstractNumId="45">
    <w:nsid w:val="36B2ACBC"/>
    <w:multiLevelType w:val="hybridMultilevel"/>
    <w:lvl w:ilvl="0">
      <w:lvlJc w:val="left"/>
      <w:lvlText w:val="%1"/>
      <w:numFmt w:val="upperLetter"/>
      <w:start w:val="1"/>
    </w:lvl>
    <w:lvl w:ilvl="1">
      <w:lvlJc w:val="left"/>
      <w:lvlText w:val="(%2)"/>
      <w:numFmt w:val="lowerLetter"/>
      <w:start w:val="2"/>
    </w:lvl>
  </w:abstractNum>
  <w:abstractNum w:abstractNumId="46">
    <w:nsid w:val="779D8544"/>
    <w:multiLevelType w:val="hybridMultilevel"/>
    <w:lvl w:ilvl="0">
      <w:lvlJc w:val="left"/>
      <w:lvlText w:val="(%1)"/>
      <w:numFmt w:val="upperLetter"/>
      <w:start w:val="2"/>
    </w:lvl>
    <w:lvl w:ilvl="1">
      <w:lvlJc w:val="left"/>
      <w:lvlText w:val="%2"/>
      <w:numFmt w:val="lowerLetter"/>
      <w:start w:val="1"/>
    </w:lvl>
  </w:abstractNum>
  <w:abstractNum w:abstractNumId="47">
    <w:nsid w:val="4AB26E78"/>
    <w:multiLevelType w:val="hybridMultilevel"/>
    <w:lvl w:ilvl="0">
      <w:lvlJc w:val="left"/>
      <w:lvlText w:val="(%1)"/>
      <w:numFmt w:val="lowerLetter"/>
      <w:start w:val="2"/>
    </w:lvl>
  </w:abstractNum>
  <w:abstractNum w:abstractNumId="48">
    <w:nsid w:val="21FAA2FA"/>
    <w:multiLevelType w:val="hybridMultilevel"/>
    <w:lvl w:ilvl="0">
      <w:lvlJc w:val="left"/>
      <w:lvlText w:val="(%1)"/>
      <w:numFmt w:val="lowerLetter"/>
      <w:start w:val="3"/>
    </w:lvl>
  </w:abstractNum>
  <w:abstractNum w:abstractNumId="49">
    <w:nsid w:val="5451CF49"/>
    <w:multiLevelType w:val="hybridMultilevel"/>
    <w:lvl w:ilvl="0">
      <w:lvlJc w:val="left"/>
      <w:lvlText w:val="(%1)"/>
      <w:numFmt w:val="lowerLetter"/>
      <w:start w:val="2"/>
    </w:lvl>
  </w:abstractNum>
  <w:abstractNum w:abstractNumId="50">
    <w:nsid w:val="6181EF69"/>
    <w:multiLevelType w:val="hybridMultilevel"/>
    <w:lvl w:ilvl="0">
      <w:lvlJc w:val="left"/>
      <w:lvlText w:val="(%1)"/>
      <w:numFmt w:val="lowerLetter"/>
      <w:start w:val="6"/>
    </w:lvl>
    <w:lvl w:ilvl="1">
      <w:lvlJc w:val="left"/>
      <w:lvlText w:val="(%2)"/>
      <w:numFmt w:val="lowerRoman"/>
      <w:start w:val="1"/>
    </w:lvl>
  </w:abstractNum>
  <w:abstractNum w:abstractNumId="51">
    <w:nsid w:val="3E6400E6"/>
    <w:multiLevelType w:val="hybridMultilevel"/>
    <w:lvl w:ilvl="0">
      <w:lvlJc w:val="left"/>
      <w:lvlText w:val="(%1)"/>
      <w:numFmt w:val="lowerRoman"/>
      <w:start w:val="2"/>
    </w:lvl>
  </w:abstractNum>
  <w:abstractNum w:abstractNumId="52">
    <w:nsid w:val="14217E23"/>
    <w:multiLevelType w:val="hybridMultilevel"/>
    <w:lvl w:ilvl="0">
      <w:lvlJc w:val="left"/>
      <w:lvlText w:val="(%1)"/>
      <w:numFmt w:val="lowerLetter"/>
      <w:start w:val="1"/>
    </w:lvl>
    <w:lvl w:ilvl="1">
      <w:lvlJc w:val="left"/>
      <w:lvlText w:val="(%2)"/>
      <w:numFmt w:val="lowerRoman"/>
      <w:start w:val="1"/>
    </w:lvl>
  </w:abstractNum>
  <w:abstractNum w:abstractNumId="53">
    <w:nsid w:val="710757D0"/>
    <w:multiLevelType w:val="hybridMultilevel"/>
    <w:lvl w:ilvl="0">
      <w:lvlJc w:val="left"/>
      <w:lvlText w:val="(%1)"/>
      <w:numFmt w:val="lowerRoman"/>
      <w:start w:val="10"/>
    </w:lvl>
  </w:abstractNum>
  <w:abstractNum w:abstractNumId="54">
    <w:nsid w:val="5015CD1A"/>
    <w:multiLevelType w:val="hybridMultilevel"/>
    <w:lvl w:ilvl="0">
      <w:lvlJc w:val="left"/>
      <w:lvlText w:val="(%1)"/>
      <w:numFmt w:val="lowerLetter"/>
      <w:start w:val="35"/>
    </w:lvl>
    <w:lvl w:ilvl="1">
      <w:lvlJc w:val="left"/>
      <w:lvlText w:val="(%2)"/>
      <w:numFmt w:val="lowerLetter"/>
      <w:start w:val="2"/>
    </w:lvl>
  </w:abstractNum>
  <w:abstractNum w:abstractNumId="55">
    <w:nsid w:val="424479DA"/>
    <w:multiLevelType w:val="hybridMultilevel"/>
    <w:lvl w:ilvl="0">
      <w:lvlJc w:val="left"/>
      <w:lvlText w:val="(%1)"/>
      <w:numFmt w:val="lowerLetter"/>
      <w:start w:val="4"/>
    </w:lvl>
  </w:abstractNum>
  <w:abstractNum w:abstractNumId="56">
    <w:nsid w:val="1A9A9E69"/>
    <w:multiLevelType w:val="hybridMultilevel"/>
    <w:lvl w:ilvl="0">
      <w:lvlJc w:val="left"/>
      <w:lvlText w:val="(%1)"/>
      <w:numFmt w:val="lowerRoman"/>
      <w:start w:val="1"/>
    </w:lvl>
  </w:abstractNum>
  <w:abstractNum w:abstractNumId="57">
    <w:nsid w:val="475E256A"/>
    <w:multiLevelType w:val="hybridMultilevel"/>
    <w:lvl w:ilvl="0">
      <w:lvlJc w:val="left"/>
      <w:lvlText w:val="(%1)"/>
      <w:numFmt w:val="lowerLetter"/>
      <w:start w:val="2"/>
    </w:lvl>
  </w:abstractNum>
  <w:abstractNum w:abstractNumId="58">
    <w:nsid w:val="368DB37E"/>
    <w:multiLevelType w:val="hybridMultilevel"/>
    <w:lvl w:ilvl="0">
      <w:lvlJc w:val="left"/>
      <w:lvlText w:val="%1"/>
      <w:numFmt w:val="lowerLetter"/>
      <w:start w:val="1"/>
    </w:lvl>
    <w:lvl w:ilvl="1">
      <w:lvlJc w:val="left"/>
      <w:lvlText w:val="(%2)"/>
      <w:numFmt w:val="lowerLetter"/>
      <w:start w:val="3"/>
    </w:lvl>
  </w:abstractNum>
  <w:abstractNum w:abstractNumId="59">
    <w:nsid w:val="6A3B714C"/>
    <w:multiLevelType w:val="hybridMultilevel"/>
    <w:lvl w:ilvl="0">
      <w:lvlJc w:val="left"/>
      <w:lvlText w:val="(%1)"/>
      <w:numFmt w:val="lowerLetter"/>
      <w:start w:val="1"/>
    </w:lvl>
    <w:lvl w:ilvl="1">
      <w:lvlJc w:val="left"/>
      <w:lvlText w:val="(%2)"/>
      <w:numFmt w:val="lowerLetter"/>
      <w:start w:val="4"/>
    </w:lvl>
  </w:abstractNum>
  <w:abstractNum w:abstractNumId="60">
    <w:nsid w:val="327B517E"/>
    <w:multiLevelType w:val="hybridMultilevel"/>
    <w:lvl w:ilvl="0">
      <w:lvlJc w:val="left"/>
      <w:lvlText w:val="%1"/>
      <w:numFmt w:val="lowerLetter"/>
      <w:start w:val="1"/>
    </w:lvl>
    <w:lvl w:ilvl="1">
      <w:lvlJc w:val="left"/>
      <w:lvlText w:val="(%2)"/>
      <w:numFmt w:val="lowerLetter"/>
      <w:start w:val="1"/>
    </w:lvl>
  </w:abstractNum>
  <w:abstractNum w:abstractNumId="61">
    <w:nsid w:val="1F461B51"/>
    <w:multiLevelType w:val="hybridMultilevel"/>
    <w:lvl w:ilvl="0">
      <w:lvlJc w:val="left"/>
      <w:lvlText w:val="(%1)"/>
      <w:numFmt w:val="lowerLetter"/>
      <w:start w:val="61"/>
    </w:lvl>
    <w:lvl w:ilvl="1">
      <w:lvlJc w:val="left"/>
      <w:lvlText w:val="%2"/>
      <w:numFmt w:val="lowerLetter"/>
      <w:start w:val="1"/>
    </w:lvl>
  </w:abstractNum>
  <w:abstractNum w:abstractNumId="62">
    <w:nsid w:val="29BACF25"/>
    <w:multiLevelType w:val="hybridMultilevel"/>
    <w:lvl w:ilvl="0">
      <w:lvlJc w:val="left"/>
      <w:lvlText w:val="(%1)"/>
      <w:numFmt w:val="lowerLetter"/>
      <w:start w:val="2"/>
    </w:lvl>
  </w:abstractNum>
  <w:abstractNum w:abstractNumId="63">
    <w:nsid w:val="5D5BABB3"/>
    <w:multiLevelType w:val="hybridMultilevel"/>
    <w:lvl w:ilvl="0">
      <w:lvlJc w:val="left"/>
      <w:lvlText w:val="(%1)"/>
      <w:numFmt w:val="lowerLetter"/>
      <w:start w:val="2"/>
    </w:lvl>
  </w:abstractNum>
  <w:abstractNum w:abstractNumId="64">
    <w:nsid w:val="51BF6B48"/>
    <w:multiLevelType w:val="hybridMultilevel"/>
    <w:lvl w:ilvl="0">
      <w:lvlJc w:val="left"/>
      <w:lvlText w:val="(%1)"/>
      <w:numFmt w:val="lowerRoman"/>
      <w:start w:val="2"/>
    </w:lvl>
  </w:abstractNum>
  <w:abstractNum w:abstractNumId="65">
    <w:nsid w:val="7E0F6384"/>
    <w:multiLevelType w:val="hybridMultilevel"/>
    <w:lvl w:ilvl="0">
      <w:lvlJc w:val="left"/>
      <w:lvlText w:val="(%1)"/>
      <w:numFmt w:val="upperLetter"/>
      <w:start w:val="1"/>
    </w:lvl>
  </w:abstractNum>
  <w:abstractNum w:abstractNumId="66">
    <w:nsid w:val="2B4B8B53"/>
    <w:multiLevelType w:val="hybridMultilevel"/>
    <w:lvl w:ilvl="0">
      <w:lvlJc w:val="left"/>
      <w:lvlText w:val="(%1)"/>
      <w:numFmt w:val="decimal"/>
      <w:start w:val="1"/>
    </w:lvl>
  </w:abstractNum>
  <w:abstractNum w:abstractNumId="67">
    <w:nsid w:val="72E3413A"/>
    <w:multiLevelType w:val="hybridMultilevel"/>
    <w:lvl w:ilvl="0">
      <w:lvlJc w:val="left"/>
      <w:lvlText w:val="(%1)"/>
      <w:numFmt w:val="upperLetter"/>
      <w:start w:val="3"/>
    </w:lvl>
  </w:abstractNum>
  <w:abstractNum w:abstractNumId="68">
    <w:nsid w:val="116AE494"/>
    <w:multiLevelType w:val="hybridMultilevel"/>
    <w:lvl w:ilvl="0">
      <w:lvlJc w:val="left"/>
      <w:lvlText w:val="(%1)"/>
      <w:numFmt w:val="upperLetter"/>
      <w:start w:val="4"/>
    </w:lvl>
  </w:abstractNum>
  <w:abstractNum w:abstractNumId="69">
    <w:nsid w:val="3494B2FB"/>
    <w:multiLevelType w:val="hybridMultilevel"/>
    <w:lvl w:ilvl="0">
      <w:lvlJc w:val="left"/>
      <w:lvlText w:val="(%1)"/>
      <w:numFmt w:val="lowerLetter"/>
      <w:start w:val="7"/>
    </w:lvl>
    <w:lvl w:ilvl="1">
      <w:lvlJc w:val="left"/>
      <w:lvlText w:val="(%2)"/>
      <w:numFmt w:val="lowerLetter"/>
      <w:start w:val="9"/>
    </w:lvl>
  </w:abstractNum>
  <w:abstractNum w:abstractNumId="70">
    <w:nsid w:val="B13A31"/>
    <w:multiLevelType w:val="hybridMultilevel"/>
    <w:lvl w:ilvl="0">
      <w:lvlJc w:val="left"/>
      <w:lvlText w:val="%1"/>
      <w:numFmt w:val="lowerLetter"/>
      <w:start w:val="1"/>
    </w:lvl>
    <w:lvl w:ilvl="1">
      <w:lvlJc w:val="left"/>
      <w:lvlText w:val="(%2)"/>
      <w:numFmt w:val="lowerLetter"/>
      <w:start w:val="35"/>
    </w:lvl>
  </w:abstractNum>
  <w:abstractNum w:abstractNumId="71">
    <w:nsid w:val="64429599"/>
    <w:multiLevelType w:val="hybridMultilevel"/>
    <w:lvl w:ilvl="0">
      <w:lvlJc w:val="left"/>
      <w:lvlText w:val="(%1)"/>
      <w:numFmt w:val="lowerLetter"/>
      <w:start w:val="12"/>
    </w:lvl>
    <w:lvl w:ilvl="1">
      <w:lvlJc w:val="left"/>
      <w:lvlText w:val="%2"/>
      <w:numFmt w:val="lowerLetter"/>
      <w:start w:val="1"/>
    </w:lvl>
  </w:abstractNum>
  <w:abstractNum w:abstractNumId="72">
    <w:nsid w:val="631F1690"/>
    <w:multiLevelType w:val="hybridMultilevel"/>
    <w:lvl w:ilvl="0">
      <w:lvlJc w:val="left"/>
      <w:lvlText w:val="(%1)"/>
      <w:numFmt w:val="lowerLetter"/>
      <w:start w:val="1"/>
    </w:lvl>
  </w:abstractNum>
  <w:abstractNum w:abstractNumId="73">
    <w:nsid w:val="25973E32"/>
    <w:multiLevelType w:val="hybridMultilevel"/>
    <w:lvl w:ilvl="0">
      <w:lvlJc w:val="left"/>
      <w:lvlText w:val="%1"/>
      <w:numFmt w:val="lowerLetter"/>
      <w:start w:val="1"/>
    </w:lvl>
    <w:lvl w:ilvl="1">
      <w:lvlJc w:val="left"/>
      <w:lvlText w:val="(%2)"/>
      <w:numFmt w:val="lowerLetter"/>
      <w:start w:val="2"/>
    </w:lvl>
  </w:abstractNum>
  <w:abstractNum w:abstractNumId="74">
    <w:nsid w:val="EAD6F57"/>
    <w:multiLevelType w:val="hybridMultilevel"/>
    <w:lvl w:ilvl="0">
      <w:lvlJc w:val="left"/>
      <w:lvlText w:val="(%1)"/>
      <w:numFmt w:val="lowerLetter"/>
      <w:start w:val="2"/>
    </w:lvl>
    <w:lvl w:ilvl="1">
      <w:lvlJc w:val="left"/>
      <w:lvlText w:val="%2"/>
      <w:numFmt w:val="lowerLetter"/>
      <w:start w:val="1"/>
    </w:lvl>
  </w:abstractNum>
  <w:abstractNum w:abstractNumId="75">
    <w:nsid w:val="6EC9D844"/>
    <w:multiLevelType w:val="hybridMultilevel"/>
    <w:lvl w:ilvl="0">
      <w:lvlJc w:val="left"/>
      <w:lvlText w:val="(%1)"/>
      <w:numFmt w:val="lowerLetter"/>
      <w:start w:val="3"/>
    </w:lvl>
  </w:abstractNum>
  <w:abstractNum w:abstractNumId="76">
    <w:nsid w:val="5C49EAEE"/>
    <w:multiLevelType w:val="hybridMultilevel"/>
    <w:lvl w:ilvl="0">
      <w:lvlJc w:val="left"/>
      <w:lvlText w:val="%1"/>
      <w:numFmt w:val="lowerLetter"/>
      <w:start w:val="1"/>
    </w:lvl>
    <w:lvl w:ilvl="1">
      <w:lvlJc w:val="left"/>
      <w:lvlText w:val="(%2)"/>
      <w:numFmt w:val="lowerLetter"/>
      <w:start w:val="1"/>
    </w:lvl>
  </w:abstractNum>
  <w:abstractNum w:abstractNumId="77">
    <w:nsid w:val="64AF49B"/>
    <w:multiLevelType w:val="hybridMultilevel"/>
    <w:lvl w:ilvl="0">
      <w:lvlJc w:val="left"/>
      <w:lvlText w:val="(%1)"/>
      <w:numFmt w:val="lowerLetter"/>
      <w:start w:val="9"/>
    </w:lvl>
    <w:lvl w:ilvl="1">
      <w:lvlJc w:val="left"/>
      <w:lvlText w:val="(%2)"/>
      <w:numFmt w:val="lowerLetter"/>
      <w:start w:val="2"/>
    </w:lvl>
  </w:abstractNum>
  <w:abstractNum w:abstractNumId="78">
    <w:nsid w:val="397C46BC"/>
    <w:multiLevelType w:val="hybridMultilevel"/>
    <w:lvl w:ilvl="0">
      <w:lvlJc w:val="left"/>
      <w:lvlText w:val="(%1)"/>
      <w:numFmt w:val="lowerLetter"/>
      <w:start w:val="1"/>
    </w:lvl>
  </w:abstractNum>
  <w:abstractNum w:abstractNumId="79">
    <w:nsid w:val="7E448DE9"/>
    <w:multiLevelType w:val="hybridMultilevel"/>
    <w:lvl w:ilvl="0">
      <w:lvlJc w:val="left"/>
      <w:lvlText w:val="(%1)"/>
      <w:numFmt w:val="lowerLetter"/>
      <w:start w:val="2"/>
    </w:lvl>
  </w:abstractNum>
  <w:abstractNum w:abstractNumId="80">
    <w:nsid w:val="5A9CC3E5"/>
    <w:multiLevelType w:val="hybridMultilevel"/>
    <w:lvl w:ilvl="0">
      <w:lvlJc w:val="left"/>
      <w:lvlText w:val="(%1)"/>
      <w:numFmt w:val="lowerLetter"/>
      <w:start w:val="3"/>
    </w:lvl>
  </w:abstractNum>
  <w:abstractNum w:abstractNumId="81">
    <w:nsid w:val="1AFE3625"/>
    <w:multiLevelType w:val="hybridMultilevel"/>
    <w:lvl w:ilvl="0">
      <w:lvlJc w:val="left"/>
      <w:lvlText w:val="%1"/>
      <w:numFmt w:val="upperLetter"/>
      <w:start w:val="1"/>
    </w:lvl>
    <w:lvl w:ilvl="1">
      <w:lvlJc w:val="left"/>
      <w:lvlText w:val="(%2)"/>
      <w:numFmt w:val="lowerLetter"/>
      <w:start w:val="4"/>
    </w:lvl>
  </w:abstractNum>
  <w:abstractNum w:abstractNumId="82">
    <w:nsid w:val="3CA88ECF"/>
    <w:multiLevelType w:val="hybridMultilevel"/>
    <w:lvl w:ilvl="0">
      <w:lvlJc w:val="left"/>
      <w:lvlText w:val="(%1)"/>
      <w:numFmt w:val="upperLetter"/>
      <w:start w:val="2"/>
    </w:lvl>
    <w:lvl w:ilvl="1">
      <w:lvlJc w:val="left"/>
      <w:lvlText w:val="(%2)"/>
      <w:numFmt w:val="lowerLetter"/>
      <w:start w:val="5"/>
    </w:lvl>
  </w:abstractNum>
  <w:abstractNum w:abstractNumId="83">
    <w:nsid w:val="6EBE4208"/>
    <w:multiLevelType w:val="hybridMultilevel"/>
    <w:lvl w:ilvl="0">
      <w:lvlJc w:val="left"/>
      <w:lvlText w:val="(%1)"/>
      <w:numFmt w:val="lowerLetter"/>
      <w:start w:val="6"/>
    </w:lvl>
  </w:abstractNum>
  <w:abstractNum w:abstractNumId="84">
    <w:nsid w:val="C058DF5"/>
    <w:multiLevelType w:val="hybridMultilevel"/>
    <w:lvl w:ilvl="0">
      <w:lvlJc w:val="left"/>
      <w:lvlText w:val="(%1)"/>
      <w:numFmt w:val="lowerLetter"/>
      <w:start w:val="1"/>
    </w:lvl>
  </w:abstractNum>
  <w:abstractNum w:abstractNumId="85">
    <w:nsid w:val="CBE5BE9"/>
    <w:multiLevelType w:val="hybridMultilevel"/>
    <w:lvl w:ilvl="0">
      <w:lvlJc w:val="left"/>
      <w:lvlText w:val="(%1)"/>
      <w:numFmt w:val="lowerLetter"/>
      <w:start w:val="2"/>
    </w:lvl>
  </w:abstractNum>
  <w:abstractNum w:abstractNumId="86">
    <w:nsid w:val="3102BBE2"/>
    <w:multiLevelType w:val="hybridMultilevel"/>
    <w:lvl w:ilvl="0">
      <w:lvlJc w:val="left"/>
      <w:lvlText w:val="(%1)"/>
      <w:numFmt w:val="lowerLetter"/>
      <w:start w:val="3"/>
    </w:lvl>
  </w:abstractNum>
  <w:abstractNum w:abstractNumId="87">
    <w:nsid w:val="26A02C5E"/>
    <w:multiLevelType w:val="hybridMultilevel"/>
    <w:lvl w:ilvl="0">
      <w:lvlJc w:val="left"/>
      <w:lvlText w:val="(%1)"/>
      <w:numFmt w:val="lowerRoman"/>
      <w:start w:val="1"/>
    </w:lvl>
  </w:abstractNum>
  <w:abstractNum w:abstractNumId="88">
    <w:nsid w:val="541C8153"/>
    <w:multiLevelType w:val="hybridMultilevel"/>
    <w:lvl w:ilvl="0">
      <w:lvlJc w:val="left"/>
      <w:lvlText w:val="%1"/>
      <w:numFmt w:val="decimal"/>
      <w:start w:val="1"/>
    </w:lvl>
    <w:lvl w:ilvl="1">
      <w:lvlJc w:val="left"/>
      <w:lvlText w:val="(%2)"/>
      <w:numFmt w:val="lowerRoman"/>
      <w:start w:val="2"/>
    </w:lvl>
  </w:abstractNum>
  <w:abstractNum w:abstractNumId="89">
    <w:nsid w:val="67906F60"/>
    <w:multiLevelType w:val="hybridMultilevel"/>
    <w:lvl w:ilvl="0">
      <w:lvlJc w:val="left"/>
      <w:lvlText w:val="(%1)"/>
      <w:numFmt w:val="decimal"/>
      <w:start w:val="1"/>
    </w:lvl>
    <w:lvl w:ilvl="1">
      <w:lvlJc w:val="left"/>
      <w:lvlText w:val="(%2)"/>
      <w:numFmt w:val="lowerRoman"/>
      <w:start w:val="3"/>
    </w:lvl>
  </w:abstractNum>
  <w:abstractNum w:abstractNumId="90">
    <w:nsid w:val="10DB9DAA"/>
    <w:multiLevelType w:val="hybridMultilevel"/>
    <w:lvl w:ilvl="0">
      <w:lvlJc w:val="left"/>
      <w:lvlText w:val="(%1)"/>
      <w:numFmt w:val="lowerLetter"/>
      <w:start w:val="5"/>
    </w:lvl>
  </w:abstractNum>
  <w:abstractNum w:abstractNumId="91">
    <w:nsid w:val="697D2D2"/>
    <w:multiLevelType w:val="hybridMultilevel"/>
    <w:lvl w:ilvl="0">
      <w:lvlJc w:val="left"/>
      <w:lvlText w:val="(%1)"/>
      <w:numFmt w:val="lowerLetter"/>
      <w:start w:val="1"/>
    </w:lvl>
  </w:abstractNum>
  <w:abstractNum w:abstractNumId="92">
    <w:nsid w:val="6D68AB2"/>
    <w:multiLevelType w:val="hybridMultilevel"/>
    <w:lvl w:ilvl="0">
      <w:lvlJc w:val="left"/>
      <w:lvlText w:val="(%1)"/>
      <w:numFmt w:val="lowerLetter"/>
      <w:start w:val="1"/>
    </w:lvl>
  </w:abstractNum>
  <w:abstractNum w:abstractNumId="93">
    <w:nsid w:val="3A966CD0"/>
    <w:multiLevelType w:val="hybridMultilevel"/>
    <w:lvl w:ilvl="0">
      <w:lvlJc w:val="left"/>
      <w:lvlText w:val="(%1)"/>
      <w:numFmt w:val="lowerLetter"/>
      <w:start w:val="1"/>
    </w:lvl>
  </w:abstractNum>
  <w:abstractNum w:abstractNumId="94">
    <w:nsid w:val="63F37E85"/>
    <w:multiLevelType w:val="hybridMultilevel"/>
    <w:lvl w:ilvl="0">
      <w:lvlJc w:val="left"/>
      <w:lvlText w:val="(%1)"/>
      <w:numFmt w:val="lowerLetter"/>
      <w:start w:val="1"/>
    </w:lvl>
  </w:abstractNum>
  <w:abstractNum w:abstractNumId="95">
    <w:nsid w:val="5895F5FA"/>
    <w:multiLevelType w:val="hybridMultilevel"/>
    <w:lvl w:ilvl="0">
      <w:lvlJc w:val="left"/>
      <w:lvlText w:val="(%1)"/>
      <w:numFmt w:val="lowerRoman"/>
      <w:start w:val="4"/>
    </w:lvl>
    <w:lvl w:ilvl="1">
      <w:lvlJc w:val="left"/>
      <w:lvlText w:val="(%2)"/>
      <w:numFmt w:val="lowerLetter"/>
      <w:start w:val="3"/>
    </w:lvl>
  </w:abstractNum>
  <w:abstractNum w:abstractNumId="96">
    <w:nsid w:val="38A5D054"/>
    <w:multiLevelType w:val="hybridMultilevel"/>
    <w:lvl w:ilvl="0">
      <w:lvlJc w:val="left"/>
      <w:lvlText w:val="(%1)"/>
      <w:numFmt w:val="lowerLetter"/>
      <w:start w:val="1"/>
    </w:lvl>
  </w:abstractNum>
  <w:abstractNum w:abstractNumId="97">
    <w:nsid w:val="F3F09D8"/>
    <w:multiLevelType w:val="hybridMultilevel"/>
    <w:lvl w:ilvl="0">
      <w:lvlJc w:val="left"/>
      <w:lvlText w:val="(%1)"/>
      <w:numFmt w:val="lowerLetter"/>
      <w:start w:val="2"/>
    </w:lvl>
  </w:abstractNum>
  <w:abstractNum w:abstractNumId="98">
    <w:nsid w:val="4B793735"/>
    <w:multiLevelType w:val="hybridMultilevel"/>
    <w:lvl w:ilvl="0">
      <w:lvlJc w:val="left"/>
      <w:lvlText w:val="(%1)"/>
      <w:numFmt w:val="lowerLetter"/>
      <w:start w:val="1"/>
    </w:lvl>
  </w:abstractNum>
  <w:abstractNum w:abstractNumId="99">
    <w:nsid w:val="4A10B4E8"/>
    <w:multiLevelType w:val="hybridMultilevel"/>
    <w:lvl w:ilvl="0">
      <w:lvlJc w:val="left"/>
      <w:lvlText w:val="(%1)"/>
      <w:numFmt w:val="lowerLetter"/>
      <w:start w:val="1"/>
    </w:lvl>
  </w:abstractNum>
  <w:abstractNum w:abstractNumId="100">
    <w:nsid w:val="43D3BCD4"/>
    <w:multiLevelType w:val="hybridMultilevel"/>
    <w:lvl w:ilvl="0">
      <w:lvlJc w:val="left"/>
      <w:lvlText w:val="(%1)"/>
      <w:numFmt w:val="lowerLetter"/>
      <w:start w:val="1"/>
    </w:lvl>
  </w:abstractNum>
  <w:abstractNum w:abstractNumId="101">
    <w:nsid w:val="4C2A7166"/>
    <w:multiLevelType w:val="hybridMultilevel"/>
    <w:lvl w:ilvl="0">
      <w:lvlJc w:val="left"/>
      <w:lvlText w:val="(%1)"/>
      <w:numFmt w:val="lowerLetter"/>
      <w:start w:val="2"/>
    </w:lvl>
  </w:abstractNum>
  <w:abstractNum w:abstractNumId="102">
    <w:nsid w:val="2E534A82"/>
    <w:multiLevelType w:val="hybridMultilevel"/>
    <w:lvl w:ilvl="0">
      <w:lvlJc w:val="left"/>
      <w:lvlText w:val="(%1)"/>
      <w:numFmt w:val="lowerLetter"/>
      <w:start w:val="1"/>
    </w:lvl>
  </w:abstractNum>
  <w:abstractNum w:abstractNumId="103">
    <w:nsid w:val="26F2D364"/>
    <w:multiLevelType w:val="hybridMultilevel"/>
    <w:lvl w:ilvl="0">
      <w:lvlJc w:val="left"/>
      <w:lvlText w:val="(%1)"/>
      <w:numFmt w:val="lowerLetter"/>
      <w:start w:val="1"/>
    </w:lvl>
  </w:abstractNum>
  <w:abstractNum w:abstractNumId="104">
    <w:nsid w:val="71C1AF98"/>
    <w:multiLevelType w:val="hybridMultilevel"/>
    <w:lvl w:ilvl="0">
      <w:lvlJc w:val="left"/>
      <w:lvlText w:val="(%1)"/>
      <w:numFmt w:val="lowerLetter"/>
      <w:start w:val="3"/>
    </w:lvl>
  </w:abstractNum>
  <w:abstractNum w:abstractNumId="105">
    <w:nsid w:val="3D00B9D9"/>
    <w:multiLevelType w:val="hybridMultilevel"/>
    <w:lvl w:ilvl="0">
      <w:lvlJc w:val="left"/>
      <w:lvlText w:val="(%1)"/>
      <w:numFmt w:val="lowerLetter"/>
      <w:start w:val="1"/>
    </w:lvl>
  </w:abstractNum>
  <w:abstractNum w:abstractNumId="106">
    <w:nsid w:val="15BCABA8"/>
    <w:multiLevelType w:val="hybridMultilevel"/>
    <w:lvl w:ilvl="0">
      <w:lvlJc w:val="left"/>
      <w:lvlText w:val="(%1)"/>
      <w:numFmt w:val="lowerLetter"/>
      <w:start w:val="2"/>
    </w:lvl>
  </w:abstractNum>
  <w:abstractNum w:abstractNumId="107">
    <w:nsid w:val="4E0B9A87"/>
    <w:multiLevelType w:val="hybridMultilevel"/>
    <w:lvl w:ilvl="0">
      <w:lvlJc w:val="left"/>
      <w:lvlText w:val="(%1)"/>
      <w:numFmt w:val="lowerLetter"/>
      <w:start w:val="1"/>
    </w:lvl>
  </w:abstractNum>
  <w:abstractNum w:abstractNumId="108">
    <w:nsid w:val="434BAE75"/>
    <w:multiLevelType w:val="hybridMultilevel"/>
    <w:lvl w:ilvl="0">
      <w:lvlJc w:val="left"/>
      <w:lvlText w:val="(%1)"/>
      <w:numFmt w:val="lowerLetter"/>
      <w:start w:val="15"/>
    </w:lvl>
  </w:abstractNum>
  <w:abstractNum w:abstractNumId="109">
    <w:nsid w:val="4F38F265"/>
    <w:multiLevelType w:val="hybridMultilevel"/>
    <w:lvl w:ilvl="0">
      <w:lvlJc w:val="left"/>
      <w:lvlText w:val="(%1)"/>
      <w:numFmt w:val="lowerLetter"/>
      <w:start w:val="1"/>
    </w:lvl>
  </w:abstractNum>
  <w:abstractNum w:abstractNumId="110">
    <w:nsid w:val="4C502870"/>
    <w:multiLevelType w:val="hybridMultilevel"/>
    <w:lvl w:ilvl="0">
      <w:lvlJc w:val="left"/>
      <w:lvlText w:val="(%1)"/>
      <w:numFmt w:val="lowerLetter"/>
      <w:start w:val="1"/>
    </w:lvl>
  </w:abstractNum>
  <w:abstractNum w:abstractNumId="111">
    <w:nsid w:val="1DE8725A"/>
    <w:multiLevelType w:val="hybridMultilevel"/>
    <w:lvl w:ilvl="0">
      <w:lvlJc w:val="left"/>
      <w:lvlText w:val="%1"/>
      <w:numFmt w:val="lowerLetter"/>
      <w:start w:val="1"/>
    </w:lvl>
    <w:lvl w:ilvl="1">
      <w:lvlJc w:val="left"/>
      <w:lvlText w:val="(%2)"/>
      <w:numFmt w:val="lowerLetter"/>
      <w:start w:val="8"/>
    </w:lvl>
  </w:abstractNum>
  <w:abstractNum w:abstractNumId="112">
    <w:nsid w:val="6A37288A"/>
    <w:multiLevelType w:val="hybridMultilevel"/>
    <w:lvl w:ilvl="0">
      <w:lvlJc w:val="left"/>
      <w:lvlText w:val="(%1)"/>
      <w:numFmt w:val="lowerLetter"/>
      <w:start w:val="35"/>
    </w:lvl>
    <w:lvl w:ilvl="1">
      <w:lvlJc w:val="left"/>
      <w:lvlText w:val="(%2)"/>
      <w:numFmt w:val="lowerLetter"/>
      <w:start w:val="14"/>
    </w:lvl>
  </w:abstractNum>
  <w:abstractNum w:abstractNumId="113">
    <w:nsid w:val="8F8B73F"/>
    <w:multiLevelType w:val="hybridMultilevel"/>
    <w:lvl w:ilvl="0">
      <w:lvlJc w:val="left"/>
      <w:lvlText w:val="(%1)"/>
      <w:numFmt w:val="lowerLetter"/>
      <w:start w:val="1"/>
    </w:lvl>
  </w:abstractNum>
  <w:abstractNum w:abstractNumId="114">
    <w:nsid w:val="CA6B462"/>
    <w:multiLevelType w:val="hybridMultilevel"/>
    <w:lvl w:ilvl="0">
      <w:lvlJc w:val="left"/>
      <w:lvlText w:val="(%1)"/>
      <w:numFmt w:val="lowerLetter"/>
      <w:start w:val="6"/>
    </w:lvl>
  </w:abstractNum>
  <w:abstractNum w:abstractNumId="115">
    <w:nsid w:val="763CB680"/>
    <w:multiLevelType w:val="hybridMultilevel"/>
    <w:lvl w:ilvl="0">
      <w:lvlJc w:val="left"/>
      <w:lvlText w:val="(%1)"/>
      <w:numFmt w:val="lowerLetter"/>
      <w:start w:val="15"/>
    </w:lvl>
  </w:abstractNum>
  <w:abstractNum w:abstractNumId="116">
    <w:nsid w:val="15B71329"/>
    <w:multiLevelType w:val="hybridMultilevel"/>
    <w:lvl w:ilvl="0">
      <w:lvlJc w:val="left"/>
      <w:lvlText w:val="(%1)"/>
      <w:numFmt w:val="lowerLetter"/>
      <w:start w:val="1"/>
    </w:lvl>
  </w:abstractNum>
  <w:abstractNum w:abstractNumId="117">
    <w:nsid w:val="3DA97044"/>
    <w:multiLevelType w:val="hybridMultilevel"/>
    <w:lvl w:ilvl="0">
      <w:lvlJc w:val="left"/>
      <w:lvlText w:val="(%1)"/>
      <w:numFmt w:val="lowerLetter"/>
      <w:start w:val="7"/>
    </w:lvl>
  </w:abstractNum>
  <w:abstractNum w:abstractNumId="118">
    <w:nsid w:val="1CDCE2DE"/>
    <w:multiLevelType w:val="hybridMultilevel"/>
    <w:lvl w:ilvl="0">
      <w:lvlJc w:val="left"/>
      <w:lvlText w:val="(%1)"/>
      <w:numFmt w:val="lowerLetter"/>
      <w:start w:val="1"/>
    </w:lvl>
  </w:abstractNum>
  <w:abstractNum w:abstractNumId="119">
    <w:nsid w:val="69D3947C"/>
    <w:multiLevelType w:val="hybridMultilevel"/>
    <w:lvl w:ilvl="0">
      <w:lvlJc w:val="left"/>
      <w:lvlText w:val="(%1)"/>
      <w:numFmt w:val="lowerLetter"/>
      <w:start w:val="8"/>
    </w:lvl>
  </w:abstractNum>
  <w:abstractNum w:abstractNumId="120">
    <w:nsid w:val="2539DFA5"/>
    <w:multiLevelType w:val="hybridMultilevel"/>
    <w:lvl w:ilvl="0">
      <w:lvlJc w:val="left"/>
      <w:lvlText w:val="(%1)"/>
      <w:numFmt w:val="lowerLetter"/>
      <w:start w:val="1"/>
    </w:lvl>
  </w:abstractNum>
  <w:abstractNum w:abstractNumId="121">
    <w:nsid w:val="2DB88089"/>
    <w:multiLevelType w:val="hybridMultilevel"/>
    <w:lvl w:ilvl="0">
      <w:lvlJc w:val="left"/>
      <w:lvlText w:val="(%1)"/>
      <w:numFmt w:val="lowerLetter"/>
      <w:start w:val="1"/>
    </w:lvl>
  </w:abstractNum>
  <w:abstractNum w:abstractNumId="122">
    <w:nsid w:val="706B674E"/>
    <w:multiLevelType w:val="hybridMultilevel"/>
    <w:lvl w:ilvl="0">
      <w:lvlJc w:val="left"/>
      <w:lvlText w:val="%1"/>
      <w:numFmt w:val="lowerLetter"/>
      <w:start w:val="1"/>
    </w:lvl>
    <w:lvl w:ilvl="1">
      <w:lvlJc w:val="left"/>
      <w:lvlText w:val="(%2)"/>
      <w:numFmt w:val="lowerLetter"/>
      <w:start w:val="1"/>
    </w:lvl>
  </w:abstractNum>
  <w:abstractNum w:abstractNumId="123">
    <w:nsid w:val="2C106A57"/>
    <w:multiLevelType w:val="hybridMultilevel"/>
    <w:lvl w:ilvl="0">
      <w:lvlJc w:val="left"/>
      <w:lvlText w:val="(%1)"/>
      <w:numFmt w:val="lowerLetter"/>
      <w:start w:val="35"/>
    </w:lvl>
    <w:lvl w:ilvl="1">
      <w:lvlJc w:val="left"/>
      <w:lvlText w:val="(%2)"/>
      <w:numFmt w:val="lowerLetter"/>
      <w:start w:val="2"/>
    </w:lvl>
  </w:abstractNum>
  <w:abstractNum w:abstractNumId="124">
    <w:nsid w:val="684EED59"/>
    <w:multiLevelType w:val="hybridMultilevel"/>
    <w:lvl w:ilvl="0">
      <w:lvlJc w:val="left"/>
      <w:lvlText w:val="(%1)"/>
      <w:numFmt w:val="lowerLetter"/>
      <w:start w:val="61"/>
    </w:lvl>
    <w:lvl w:ilvl="1">
      <w:lvlJc w:val="left"/>
      <w:lvlText w:val="(%2)"/>
      <w:numFmt w:val="lowerLetter"/>
      <w:start w:val="7"/>
    </w:lvl>
  </w:abstractNum>
  <w:abstractNum w:abstractNumId="125">
    <w:nsid w:val="545EE5D3"/>
    <w:multiLevelType w:val="hybridMultilevel"/>
    <w:lvl w:ilvl="0">
      <w:lvlJc w:val="left"/>
      <w:lvlText w:val="(%1)"/>
      <w:numFmt w:val="lowerLetter"/>
      <w:start w:val="61"/>
    </w:lvl>
    <w:lvl w:ilvl="1">
      <w:lvlJc w:val="left"/>
      <w:lvlText w:val="%2"/>
      <w:numFmt w:val="lowerLetter"/>
      <w:start w:val="1"/>
    </w:lvl>
  </w:abstractNum>
  <w:abstractNum w:abstractNumId="126">
    <w:nsid w:val="4A66051"/>
    <w:multiLevelType w:val="hybridMultilevel"/>
    <w:lvl w:ilvl="0">
      <w:lvlJc w:val="left"/>
      <w:lvlText w:val="(%1)"/>
      <w:numFmt w:val="lowerLetter"/>
      <w:start w:val="1"/>
    </w:lvl>
  </w:abstractNum>
  <w:abstractNum w:abstractNumId="127">
    <w:nsid w:val="20F4BDAD"/>
    <w:multiLevelType w:val="hybridMultilevel"/>
    <w:lvl w:ilvl="0">
      <w:lvlJc w:val="left"/>
      <w:lvlText w:val="(%1)"/>
      <w:numFmt w:val="lowerLetter"/>
      <w:start w:val="3"/>
    </w:lvl>
    <w:lvl w:ilvl="1">
      <w:lvlJc w:val="left"/>
      <w:lvlText w:val="(%2)"/>
      <w:numFmt w:val="lowerRoman"/>
      <w:start w:val="1"/>
    </w:lvl>
  </w:abstractNum>
  <w:abstractNum w:abstractNumId="128">
    <w:nsid w:val="639DEFAC"/>
    <w:multiLevelType w:val="hybridMultilevel"/>
    <w:lvl w:ilvl="0">
      <w:lvlJc w:val="left"/>
      <w:lvlText w:val="(%1)"/>
      <w:numFmt w:val="lowerRoman"/>
      <w:start w:val="1"/>
    </w:lvl>
  </w:abstractNum>
  <w:abstractNum w:abstractNumId="129">
    <w:nsid w:val="501F9786"/>
    <w:multiLevelType w:val="hybridMultilevel"/>
    <w:lvl w:ilvl="0">
      <w:lvlJc w:val="left"/>
      <w:lvlText w:val="(%1)"/>
      <w:numFmt w:val="lowerLetter"/>
      <w:start w:val="7"/>
    </w:lvl>
  </w:abstractNum>
  <w:abstractNum w:abstractNumId="130">
    <w:nsid w:val="6B057295"/>
    <w:multiLevelType w:val="hybridMultilevel"/>
    <w:lvl w:ilvl="0">
      <w:lvlJc w:val="left"/>
      <w:lvlText w:val="(%1)"/>
      <w:numFmt w:val="lowerLetter"/>
      <w:start w:val="1"/>
    </w:lvl>
  </w:abstractNum>
  <w:abstractNum w:abstractNumId="131">
    <w:nsid w:val="2771AC80"/>
    <w:multiLevelType w:val="hybridMultilevel"/>
    <w:lvl w:ilvl="0">
      <w:lvlJc w:val="left"/>
      <w:lvlText w:val="(%1)"/>
      <w:numFmt w:val="lowerLetter"/>
      <w:start w:val="2"/>
    </w:lvl>
  </w:abstractNum>
  <w:abstractNum w:abstractNumId="132">
    <w:nsid w:val="1C4A08EC"/>
    <w:multiLevelType w:val="hybridMultilevel"/>
    <w:lvl w:ilvl="0">
      <w:lvlJc w:val="left"/>
      <w:lvlText w:val="(%1)"/>
      <w:numFmt w:val="lowerLetter"/>
      <w:start w:val="1"/>
    </w:lvl>
  </w:abstractNum>
  <w:abstractNum w:abstractNumId="133">
    <w:nsid w:val="1958BD17"/>
    <w:multiLevelType w:val="hybridMultilevel"/>
    <w:lvl w:ilvl="0">
      <w:lvlJc w:val="left"/>
      <w:lvlText w:val="(%1)"/>
      <w:numFmt w:val="lowerLetter"/>
      <w:start w:val="2"/>
    </w:lvl>
  </w:abstractNum>
  <w:abstractNum w:abstractNumId="134">
    <w:nsid w:val="4E647FE4"/>
    <w:multiLevelType w:val="hybridMultilevel"/>
    <w:lvl w:ilvl="0">
      <w:lvlJc w:val="left"/>
      <w:lvlText w:val="(%1)"/>
      <w:numFmt w:val="lowerLetter"/>
      <w:start w:val="1"/>
    </w:lvl>
  </w:abstractNum>
  <w:abstractNum w:abstractNumId="135">
    <w:nsid w:val="E0BB885"/>
    <w:multiLevelType w:val="hybridMultilevel"/>
    <w:lvl w:ilvl="0">
      <w:lvlJc w:val="left"/>
      <w:lvlText w:val="(%1)"/>
      <w:numFmt w:val="lowerLetter"/>
      <w:start w:val="1"/>
    </w:lvl>
  </w:abstractNum>
  <w:abstractNum w:abstractNumId="136">
    <w:nsid w:val="565976F1"/>
    <w:multiLevelType w:val="hybridMultilevel"/>
    <w:lvl w:ilvl="0">
      <w:lvlJc w:val="left"/>
      <w:lvlText w:val="(%1)"/>
      <w:numFmt w:val="lowerLetter"/>
      <w:start w:val="2"/>
    </w:lvl>
  </w:abstractNum>
  <w:abstractNum w:abstractNumId="137">
    <w:nsid w:val="64212B8C"/>
    <w:multiLevelType w:val="hybridMultilevel"/>
    <w:lvl w:ilvl="0">
      <w:lvlJc w:val="left"/>
      <w:lvlText w:val="(%1)"/>
      <w:numFmt w:val="lowerRoman"/>
      <w:start w:val="1"/>
    </w:lvl>
  </w:abstractNum>
  <w:abstractNum w:abstractNumId="138">
    <w:nsid w:val="5C17530C"/>
    <w:multiLevelType w:val="hybridMultilevel"/>
    <w:lvl w:ilvl="0">
      <w:lvlJc w:val="left"/>
      <w:lvlText w:val="(%1)"/>
      <w:numFmt w:val="lowerRoman"/>
      <w:start w:val="4"/>
    </w:lvl>
  </w:abstractNum>
  <w:abstractNum w:abstractNumId="139">
    <w:nsid w:val="19A52566"/>
    <w:multiLevelType w:val="hybridMultilevel"/>
    <w:lvl w:ilvl="0">
      <w:lvlJc w:val="left"/>
      <w:lvlText w:val="(%1)"/>
      <w:numFmt w:val="lowerLetter"/>
      <w:start w:val="4"/>
    </w:lvl>
  </w:abstractNum>
  <w:abstractNum w:abstractNumId="140">
    <w:nsid w:val="335A1DF1"/>
    <w:multiLevelType w:val="hybridMultilevel"/>
    <w:lvl w:ilvl="0">
      <w:lvlJc w:val="left"/>
      <w:lvlText w:val="(%1)"/>
      <w:numFmt w:val="lowerLetter"/>
      <w:start w:val="1"/>
    </w:lvl>
  </w:abstractNum>
  <w:abstractNum w:abstractNumId="141">
    <w:nsid w:val="28677B7C"/>
    <w:multiLevelType w:val="hybridMultilevel"/>
    <w:lvl w:ilvl="0">
      <w:lvlJc w:val="left"/>
      <w:lvlText w:val="(%1)"/>
      <w:numFmt w:val="lowerLetter"/>
      <w:start w:val="2"/>
    </w:lvl>
  </w:abstractNum>
  <w:abstractNum w:abstractNumId="142">
    <w:nsid w:val="378D97C0"/>
    <w:multiLevelType w:val="hybridMultilevel"/>
    <w:lvl w:ilvl="0">
      <w:lvlJc w:val="left"/>
      <w:lvlText w:val="(%1)"/>
      <w:numFmt w:val="lowerRoman"/>
      <w:start w:val="2"/>
    </w:lvl>
  </w:abstractNum>
  <w:abstractNum w:abstractNumId="143">
    <w:nsid w:val="1D91467C"/>
    <w:multiLevelType w:val="hybridMultilevel"/>
    <w:lvl w:ilvl="0">
      <w:lvlJc w:val="left"/>
      <w:lvlText w:val="(%1)"/>
      <w:numFmt w:val="lowerLetter"/>
      <w:start w:val="1"/>
    </w:lvl>
  </w:abstractNum>
  <w:abstractNum w:abstractNumId="144">
    <w:nsid w:val="316032BB"/>
    <w:multiLevelType w:val="hybridMultilevel"/>
    <w:lvl w:ilvl="0">
      <w:lvlJc w:val="left"/>
      <w:lvlText w:val="(%1)"/>
      <w:numFmt w:val="lowerRoman"/>
      <w:start w:val="1"/>
    </w:lvl>
  </w:abstractNum>
  <w:abstractNum w:abstractNumId="145">
    <w:nsid w:val="44344C22"/>
    <w:multiLevelType w:val="hybridMultilevel"/>
    <w:lvl w:ilvl="0">
      <w:lvlJc w:val="left"/>
      <w:lvlText w:val="(%1)"/>
      <w:numFmt w:val="lowerRoman"/>
      <w:start w:val="4"/>
    </w:lvl>
  </w:abstractNum>
  <w:abstractNum w:abstractNumId="146">
    <w:nsid w:val="13CDFCFC"/>
    <w:multiLevelType w:val="hybridMultilevel"/>
    <w:lvl w:ilvl="0">
      <w:lvlJc w:val="left"/>
      <w:lvlText w:val="(%1)"/>
      <w:numFmt w:val="lowerLetter"/>
      <w:start w:val="2"/>
    </w:lvl>
  </w:abstractNum>
  <w:abstractNum w:abstractNumId="147">
    <w:nsid w:val="471745E4"/>
    <w:multiLevelType w:val="hybridMultilevel"/>
    <w:lvl w:ilvl="0">
      <w:lvlJc w:val="left"/>
      <w:lvlText w:val="(%1)"/>
      <w:numFmt w:val="lowerLetter"/>
      <w:start w:val="1"/>
    </w:lvl>
  </w:abstractNum>
  <w:abstractNum w:abstractNumId="148">
    <w:nsid w:val="1DDBC66"/>
    <w:multiLevelType w:val="hybridMultilevel"/>
    <w:lvl w:ilvl="0">
      <w:lvlJc w:val="left"/>
      <w:lvlText w:val="(%1)"/>
      <w:numFmt w:val="lowerLetter"/>
      <w:start w:val="1"/>
    </w:lvl>
  </w:abstractNum>
  <w:abstractNum w:abstractNumId="149">
    <w:nsid w:val="30AADFDA"/>
    <w:multiLevelType w:val="hybridMultilevel"/>
    <w:lvl w:ilvl="0">
      <w:lvlJc w:val="left"/>
      <w:lvlText w:val="(%1)"/>
      <w:numFmt w:val="lowerLetter"/>
      <w:start w:val="1"/>
    </w:lvl>
  </w:abstractNum>
  <w:abstractNum w:abstractNumId="150">
    <w:nsid w:val="30EADA61"/>
    <w:multiLevelType w:val="hybridMultilevel"/>
    <w:lvl w:ilvl="0">
      <w:lvlJc w:val="left"/>
      <w:lvlText w:val="(%1)"/>
      <w:numFmt w:val="lowerRoman"/>
      <w:start w:val="1"/>
    </w:lvl>
  </w:abstractNum>
  <w:abstractNum w:abstractNumId="151">
    <w:nsid w:val="27179C0B"/>
    <w:multiLevelType w:val="hybridMultilevel"/>
    <w:lvl w:ilvl="0">
      <w:lvlJc w:val="left"/>
      <w:lvlText w:val="(%1)"/>
      <w:numFmt w:val="lowerLetter"/>
      <w:start w:val="2"/>
    </w:lvl>
  </w:abstractNum>
  <w:abstractNum w:abstractNumId="152">
    <w:nsid w:val="5E636063"/>
    <w:multiLevelType w:val="hybridMultilevel"/>
    <w:lvl w:ilvl="0">
      <w:lvlJc w:val="left"/>
      <w:lvlText w:val="(%1)"/>
      <w:numFmt w:val="lowerLetter"/>
      <w:start w:val="4"/>
    </w:lvl>
  </w:abstractNum>
  <w:abstractNum w:abstractNumId="153">
    <w:nsid w:val="215641AF"/>
    <w:multiLevelType w:val="hybridMultilevel"/>
    <w:lvl w:ilvl="0">
      <w:lvlJc w:val="left"/>
      <w:lvlText w:val="(%1)"/>
      <w:numFmt w:val="lowerLetter"/>
      <w:start w:val="1"/>
    </w:lvl>
  </w:abstractNum>
  <w:abstractNum w:abstractNumId="154">
    <w:nsid w:val="53280662"/>
    <w:multiLevelType w:val="hybridMultilevel"/>
    <w:lvl w:ilvl="0">
      <w:lvlJc w:val="left"/>
      <w:lvlText w:val="%1"/>
      <w:numFmt w:val="decimal"/>
      <w:start w:val="1"/>
    </w:lvl>
    <w:lvl w:ilvl="1">
      <w:lvlJc w:val="left"/>
      <w:lvlText w:val="(%2)"/>
      <w:numFmt w:val="lowerLetter"/>
      <w:start w:val="3"/>
    </w:lvl>
  </w:abstractNum>
  <w:abstractNum w:abstractNumId="155">
    <w:nsid w:val="46B24DBC"/>
    <w:multiLevelType w:val="hybridMultilevel"/>
    <w:lvl w:ilvl="0">
      <w:lvlJc w:val="left"/>
      <w:lvlText w:val="(%1)"/>
      <w:numFmt w:val="decimal"/>
      <w:start w:val="2"/>
    </w:lvl>
    <w:lvl w:ilvl="1">
      <w:lvlJc w:val="left"/>
      <w:lvlText w:val="%2"/>
      <w:numFmt w:val="lowerLetter"/>
      <w:start w:val="1"/>
    </w:lvl>
  </w:abstractNum>
  <w:abstractNum w:abstractNumId="156">
    <w:nsid w:val="75B52783"/>
    <w:multiLevelType w:val="hybridMultilevel"/>
    <w:lvl w:ilvl="0">
      <w:lvlJc w:val="left"/>
      <w:lvlText w:val="%1"/>
      <w:numFmt w:val="lowerLetter"/>
      <w:start w:val="1"/>
    </w:lvl>
    <w:lvl w:ilvl="1">
      <w:lvlJc w:val="left"/>
      <w:lvlText w:val="(%2)"/>
      <w:numFmt w:val="lowerLetter"/>
      <w:start w:val="4"/>
    </w:lvl>
  </w:abstractNum>
  <w:abstractNum w:abstractNumId="157">
    <w:nsid w:val="57CE66B4"/>
    <w:multiLevelType w:val="hybridMultilevel"/>
    <w:lvl w:ilvl="0">
      <w:lvlJc w:val="left"/>
      <w:lvlText w:val="(%1)"/>
      <w:numFmt w:val="lowerLetter"/>
      <w:start w:val="9"/>
    </w:lvl>
    <w:lvl w:ilvl="1">
      <w:lvlJc w:val="left"/>
      <w:lvlText w:val="%2"/>
      <w:numFmt w:val="lowerLetter"/>
      <w:start w:val="1"/>
    </w:lvl>
  </w:abstractNum>
  <w:abstractNum w:abstractNumId="158">
    <w:nsid w:val="67A70B69"/>
    <w:multiLevelType w:val="hybridMultilevel"/>
    <w:lvl w:ilvl="0">
      <w:lvlJc w:val="left"/>
      <w:lvlText w:val="(%1)"/>
      <w:numFmt w:val="lowerLetter"/>
      <w:start w:val="5"/>
    </w:lvl>
  </w:abstractNum>
  <w:abstractNum w:abstractNumId="159">
    <w:nsid w:val="5953172F"/>
    <w:multiLevelType w:val="hybridMultilevel"/>
    <w:lvl w:ilvl="0">
      <w:lvlJc w:val="left"/>
      <w:lvlText w:val="(%1)"/>
      <w:numFmt w:val="lowerLetter"/>
      <w:start w:val="1"/>
    </w:lvl>
  </w:abstractNum>
  <w:abstractNum w:abstractNumId="160">
    <w:nsid w:val="27EDFE3A"/>
    <w:multiLevelType w:val="hybridMultilevel"/>
    <w:lvl w:ilvl="0">
      <w:lvlJc w:val="left"/>
      <w:lvlText w:val="(%1)"/>
      <w:numFmt w:val="lowerLetter"/>
      <w:start w:val="2"/>
    </w:lvl>
  </w:abstractNum>
  <w:abstractNum w:abstractNumId="161">
    <w:nsid w:val="52AC7DFF"/>
    <w:multiLevelType w:val="hybridMultilevel"/>
    <w:lvl w:ilvl="0">
      <w:lvlJc w:val="left"/>
      <w:lvlText w:val="(%1)"/>
      <w:numFmt w:val="lowerLetter"/>
      <w:start w:val="5"/>
    </w:lvl>
  </w:abstractNum>
  <w:abstractNum w:abstractNumId="162">
    <w:nsid w:val="C4C3AF"/>
    <w:multiLevelType w:val="hybridMultilevel"/>
    <w:lvl w:ilvl="0">
      <w:lvlJc w:val="left"/>
      <w:lvlText w:val="%1"/>
      <w:numFmt w:val="lowerLetter"/>
      <w:start w:val="1"/>
    </w:lvl>
    <w:lvl w:ilvl="1">
      <w:lvlJc w:val="left"/>
      <w:lvlText w:val="(%2)"/>
      <w:numFmt w:val="lowerLetter"/>
      <w:start w:val="1"/>
    </w:lvl>
  </w:abstractNum>
  <w:abstractNum w:abstractNumId="163">
    <w:nsid w:val="44380727"/>
    <w:multiLevelType w:val="hybridMultilevel"/>
    <w:lvl w:ilvl="0">
      <w:lvlJc w:val="left"/>
      <w:lvlText w:val="(%1)"/>
      <w:numFmt w:val="lowerLetter"/>
      <w:start w:val="9"/>
    </w:lvl>
    <w:lvl w:ilvl="1">
      <w:lvlJc w:val="left"/>
      <w:lvlText w:val="%2"/>
      <w:numFmt w:val="lowerLetter"/>
      <w:start w:val="1"/>
    </w:lvl>
  </w:abstractNum>
  <w:abstractNum w:abstractNumId="164">
    <w:nsid w:val="6C053B16"/>
    <w:multiLevelType w:val="hybridMultilevel"/>
    <w:lvl w:ilvl="0">
      <w:lvlJc w:val="left"/>
      <w:lvlText w:val="(%1)"/>
      <w:numFmt w:val="lowerLetter"/>
      <w:start w:val="2"/>
    </w:lvl>
    <w:lvl w:ilvl="1">
      <w:lvlJc w:val="left"/>
      <w:lvlText w:val="(%2)"/>
      <w:numFmt w:val="upperLetter"/>
      <w:start w:val="1"/>
    </w:lvl>
  </w:abstractNum>
  <w:abstractNum w:abstractNumId="165">
    <w:nsid w:val="4F294393"/>
    <w:multiLevelType w:val="hybridMultilevel"/>
    <w:lvl w:ilvl="0">
      <w:lvlJc w:val="left"/>
      <w:lvlText w:val="(%1)"/>
      <w:numFmt w:val="lowerRoman"/>
      <w:start w:val="2"/>
    </w:lvl>
  </w:abstractNum>
  <w:abstractNum w:abstractNumId="166">
    <w:nsid w:val="5243BFAC"/>
    <w:multiLevelType w:val="hybridMultilevel"/>
    <w:lvl w:ilvl="0">
      <w:lvlJc w:val="left"/>
      <w:lvlText w:val="(%1)"/>
      <w:numFmt w:val="upperLetter"/>
      <w:start w:val="1"/>
    </w:lvl>
  </w:abstractNum>
  <w:abstractNum w:abstractNumId="167">
    <w:nsid w:val="425EB207"/>
    <w:multiLevelType w:val="hybridMultilevel"/>
    <w:lvl w:ilvl="0">
      <w:lvlJc w:val="left"/>
      <w:lvlText w:val="(%1)"/>
      <w:numFmt w:val="lowerRoman"/>
      <w:start w:val="3"/>
    </w:lvl>
  </w:abstractNum>
  <w:abstractNum w:abstractNumId="168">
    <w:nsid w:val="334A6F1F"/>
    <w:multiLevelType w:val="hybridMultilevel"/>
    <w:lvl w:ilvl="0">
      <w:lvlJc w:val="left"/>
      <w:lvlText w:val="(%1)"/>
      <w:numFmt w:val="lowerRoman"/>
      <w:start w:val="4"/>
    </w:lvl>
  </w:abstractNum>
  <w:abstractNum w:abstractNumId="169">
    <w:nsid w:val="2E5B12B8"/>
    <w:multiLevelType w:val="hybridMultilevel"/>
    <w:lvl w:ilvl="0">
      <w:lvlJc w:val="left"/>
      <w:lvlText w:val="(%1)"/>
      <w:numFmt w:val="lowerLetter"/>
      <w:start w:val="3"/>
    </w:lvl>
  </w:abstractNum>
  <w:abstractNum w:abstractNumId="170">
    <w:nsid w:val="5C03D76D"/>
    <w:multiLevelType w:val="hybridMultilevel"/>
    <w:lvl w:ilvl="0">
      <w:lvlJc w:val="left"/>
      <w:lvlText w:val="(%1)"/>
      <w:numFmt w:val="lowerLetter"/>
      <w:start w:val="4"/>
    </w:lvl>
  </w:abstractNum>
  <w:abstractNum w:abstractNumId="171">
    <w:nsid w:val="66A48D11"/>
    <w:multiLevelType w:val="hybridMultilevel"/>
    <w:lvl w:ilvl="0">
      <w:lvlJc w:val="left"/>
      <w:lvlText w:val="(%1)"/>
      <w:numFmt w:val="lowerRoman"/>
      <w:start w:val="1"/>
    </w:lvl>
  </w:abstractNum>
  <w:abstractNum w:abstractNumId="172">
    <w:nsid w:val="56C28E34"/>
    <w:multiLevelType w:val="hybridMultilevel"/>
    <w:lvl w:ilvl="0">
      <w:lvlJc w:val="left"/>
      <w:lvlText w:val="(%1)"/>
      <w:numFmt w:val="lowerLetter"/>
      <w:start w:val="1"/>
    </w:lvl>
  </w:abstractNum>
  <w:abstractNum w:abstractNumId="173">
    <w:nsid w:val="13916F2D"/>
    <w:multiLevelType w:val="hybridMultilevel"/>
    <w:lvl w:ilvl="0">
      <w:lvlJc w:val="left"/>
      <w:lvlText w:val="(%1)"/>
      <w:numFmt w:val="lowerLetter"/>
      <w:start w:val="1"/>
    </w:lvl>
  </w:abstractNum>
  <w:abstractNum w:abstractNumId="174">
    <w:nsid w:val="435D38D"/>
    <w:multiLevelType w:val="hybridMultilevel"/>
    <w:lvl w:ilvl="0">
      <w:lvlJc w:val="left"/>
      <w:lvlText w:val="(%1)"/>
      <w:numFmt w:val="lowerLetter"/>
      <w:start w:val="2"/>
    </w:lvl>
  </w:abstractNum>
  <w:abstractNum w:abstractNumId="175">
    <w:nsid w:val="822C0EF"/>
    <w:multiLevelType w:val="hybridMultilevel"/>
    <w:lvl w:ilvl="0">
      <w:lvlJc w:val="left"/>
      <w:lvlText w:val="(%1)"/>
      <w:numFmt w:val="lowerLetter"/>
      <w:start w:val="1"/>
    </w:lvl>
    <w:lvl w:ilvl="1">
      <w:lvlJc w:val="left"/>
      <w:lvlText w:val="(%2)"/>
      <w:numFmt w:val="lowerRoman"/>
      <w:start w:val="1"/>
    </w:lvl>
  </w:abstractNum>
  <w:abstractNum w:abstractNumId="176">
    <w:nsid w:val="57C5BB4F"/>
    <w:multiLevelType w:val="hybridMultilevel"/>
    <w:lvl w:ilvl="0">
      <w:lvlJc w:val="left"/>
      <w:lvlText w:val="(%1)"/>
      <w:numFmt w:val="lowerLetter"/>
      <w:start w:val="1"/>
    </w:lvl>
  </w:abstractNum>
  <w:abstractNum w:abstractNumId="177">
    <w:nsid w:val="1803D089"/>
    <w:multiLevelType w:val="hybridMultilevel"/>
    <w:lvl w:ilvl="0">
      <w:lvlJc w:val="left"/>
      <w:lvlText w:val="(%1)"/>
      <w:numFmt w:val="lowerLetter"/>
      <w:start w:val="3"/>
    </w:lvl>
  </w:abstractNum>
  <w:abstractNum w:abstractNumId="178">
    <w:nsid w:val="4F3A06D4"/>
    <w:multiLevelType w:val="hybridMultilevel"/>
    <w:lvl w:ilvl="0">
      <w:lvlJc w:val="left"/>
      <w:lvlText w:val="(%1)"/>
      <w:numFmt w:val="lowerLetter"/>
      <w:start w:val="4"/>
    </w:lvl>
  </w:abstractNum>
  <w:abstractNum w:abstractNumId="179">
    <w:nsid w:val="59A377B6"/>
    <w:multiLevelType w:val="hybridMultilevel"/>
    <w:lvl w:ilvl="0">
      <w:lvlJc w:val="left"/>
      <w:lvlText w:val="%1."/>
      <w:numFmt w:val="decimal"/>
      <w:start w:val="1"/>
    </w:lvl>
  </w:abstractNum>
  <w:abstractNum w:abstractNumId="180">
    <w:nsid w:val="48AEB063"/>
    <w:multiLevelType w:val="hybridMultilevel"/>
    <w:lvl w:ilvl="0">
      <w:lvlJc w:val="left"/>
      <w:lvlText w:val="•"/>
      <w:numFmt w:val="bullet"/>
      <w:start w:val="1"/>
    </w:lvl>
  </w:abstractNum>
  <w:abstractNum w:abstractNumId="181">
    <w:nsid w:val="24E135"/>
    <w:multiLevelType w:val="hybridMultilevel"/>
    <w:lvl w:ilvl="0">
      <w:lvlJc w:val="left"/>
      <w:lvlText w:val="4"/>
      <w:numFmt w:val="bullet"/>
      <w:start w:val="1"/>
    </w:lvl>
  </w:abstractNum>
  <w:abstractNum w:abstractNumId="182">
    <w:nsid w:val="BB13C1"/>
    <w:multiLevelType w:val="hybridMultilevel"/>
    <w:lvl w:ilvl="0">
      <w:lvlJc w:val="left"/>
      <w:lvlText w:val="5"/>
      <w:numFmt w:val="bullet"/>
      <w:start w:val="1"/>
    </w:lvl>
  </w:abstractNum>
  <w:abstractNum w:abstractNumId="183">
    <w:nsid w:val="271210C7"/>
    <w:multiLevelType w:val="hybridMultilevel"/>
    <w:lvl w:ilvl="0">
      <w:lvlJc w:val="left"/>
      <w:lvlText w:val="6"/>
      <w:numFmt w:val="bullet"/>
      <w:start w:val="1"/>
    </w:lvl>
  </w:abstractNum>
  <w:abstractNum w:abstractNumId="184">
    <w:nsid w:val="217B22E4"/>
    <w:multiLevelType w:val="hybridMultilevel"/>
    <w:lvl w:ilvl="0">
      <w:lvlJc w:val="left"/>
      <w:lvlText w:val="%1."/>
      <w:numFmt w:val="decimal"/>
      <w:start w:val="1"/>
    </w:lvl>
  </w:abstractNum>
  <w:abstractNum w:abstractNumId="185">
    <w:nsid w:val="53E31A24"/>
    <w:multiLevelType w:val="hybridMultilevel"/>
    <w:lvl w:ilvl="0">
      <w:lvlJc w:val="left"/>
      <w:lvlText w:val="%1."/>
      <w:numFmt w:val="decimal"/>
      <w:start w:val="1"/>
    </w:lvl>
  </w:abstractNum>
  <w:abstractNum w:abstractNumId="186">
    <w:nsid w:val="6DC45E83"/>
    <w:multiLevelType w:val="hybridMultilevel"/>
    <w:lvl w:ilvl="0">
      <w:lvlJc w:val="left"/>
      <w:lvlText w:val="%1."/>
      <w:numFmt w:val="decimal"/>
      <w:start w:val="1"/>
    </w:lvl>
  </w:abstractNum>
  <w:abstractNum w:abstractNumId="187">
    <w:nsid w:val="17304A67"/>
    <w:multiLevelType w:val="hybridMultilevel"/>
    <w:lvl w:ilvl="0">
      <w:lvlJc w:val="left"/>
      <w:lvlText w:val="%1."/>
      <w:numFmt w:val="decimal"/>
      <w:start w:val="1"/>
    </w:lvl>
  </w:abstractNum>
  <w:abstractNum w:abstractNumId="188">
    <w:nsid w:val="2BB180D8"/>
    <w:multiLevelType w:val="hybridMultilevel"/>
    <w:lvl w:ilvl="0">
      <w:lvlJc w:val="left"/>
      <w:lvlText w:val="1"/>
      <w:numFmt w:val="bullet"/>
      <w:start w:val="1"/>
    </w:lvl>
  </w:abstractNum>
  <w:abstractNum w:abstractNumId="189">
    <w:nsid w:val="556B69ED"/>
    <w:multiLevelType w:val="hybridMultilevel"/>
    <w:lvl w:ilvl="0">
      <w:lvlJc w:val="left"/>
      <w:lvlText w:val="%1."/>
      <w:numFmt w:val="decimal"/>
      <w:start w:val="6"/>
    </w:lvl>
  </w:abstractNum>
  <w:abstractNum w:abstractNumId="190">
    <w:nsid w:val="70836196"/>
    <w:multiLevelType w:val="hybridMultilevel"/>
    <w:lvl w:ilvl="0">
      <w:lvlJc w:val="left"/>
      <w:lvlText w:val="2"/>
      <w:numFmt w:val="bullet"/>
      <w:start w:val="1"/>
    </w:lvl>
  </w:abstractNum>
  <w:abstractNum w:abstractNumId="191">
    <w:nsid w:val="539F7F12"/>
    <w:multiLevelType w:val="hybridMultilevel"/>
    <w:lvl w:ilvl="0">
      <w:lvlJc w:val="left"/>
      <w:lvlText w:val="4"/>
      <w:numFmt w:val="bullet"/>
      <w:start w:val="1"/>
    </w:lvl>
  </w:abstractNum>
  <w:abstractNum w:abstractNumId="192">
    <w:nsid w:val="2817E7EC"/>
    <w:multiLevelType w:val="hybridMultilevel"/>
    <w:lvl w:ilvl="0">
      <w:lvlJc w:val="left"/>
      <w:lvlText w:val="%1."/>
      <w:numFmt w:val="decimal"/>
      <w:start w:val="1"/>
    </w:lvl>
  </w:abstractNum>
  <w:abstractNum w:abstractNumId="193">
    <w:nsid w:val="71482545"/>
    <w:multiLevelType w:val="hybridMultilevel"/>
    <w:lvl w:ilvl="0">
      <w:lvlJc w:val="left"/>
      <w:lvlText w:val="%1."/>
      <w:numFmt w:val="decimal"/>
      <w:start w:val="2"/>
    </w:lvl>
  </w:abstractNum>
  <w:abstractNum w:abstractNumId="194">
    <w:nsid w:val="17D78639"/>
    <w:multiLevelType w:val="hybridMultilevel"/>
    <w:lvl w:ilvl="0">
      <w:lvlJc w:val="left"/>
      <w:lvlText w:val="%1."/>
      <w:numFmt w:val="decimal"/>
      <w:start w:val="3"/>
    </w:lvl>
  </w:abstractNum>
  <w:abstractNum w:abstractNumId="195">
    <w:nsid w:val="141D2302"/>
    <w:multiLevelType w:val="hybridMultilevel"/>
    <w:lvl w:ilvl="0">
      <w:lvlJc w:val="left"/>
      <w:lvlText w:val="%1"/>
      <w:numFmt w:val="decimal"/>
      <w:start w:val="1"/>
    </w:lvl>
    <w:lvl w:ilvl="1">
      <w:lvlJc w:val="left"/>
      <w:lvlText w:val="%2."/>
      <w:numFmt w:val="upperLetter"/>
      <w:start w:val="1"/>
    </w:lvl>
  </w:abstractNum>
  <w:abstractNum w:abstractNumId="196">
    <w:nsid w:val="407168D8"/>
    <w:multiLevelType w:val="hybridMultilevel"/>
    <w:lvl w:ilvl="0">
      <w:lvlJc w:val="left"/>
      <w:lvlText w:val="%1."/>
      <w:numFmt w:val="decimal"/>
      <w:start w:val="1"/>
    </w:lvl>
    <w:lvl w:ilvl="1">
      <w:lvlJc w:val="left"/>
      <w:lvlText w:val="%2"/>
      <w:numFmt w:val="upperLetter"/>
      <w:start w:val="1"/>
    </w:lvl>
  </w:abstractNum>
  <w:abstractNum w:abstractNumId="197">
    <w:nsid w:val="6A1B45E5"/>
    <w:multiLevelType w:val="hybridMultilevel"/>
    <w:lvl w:ilvl="0">
      <w:lvlJc w:val="left"/>
      <w:lvlText w:val="1"/>
      <w:numFmt w:val="bullet"/>
      <w:start w:val="1"/>
    </w:lvl>
  </w:abstractNum>
  <w:abstractNum w:abstractNumId="198">
    <w:nsid w:val="567BD50A"/>
    <w:multiLevelType w:val="hybridMultilevel"/>
    <w:lvl w:ilvl="0">
      <w:lvlJc w:val="left"/>
      <w:lvlText w:val="%1."/>
      <w:numFmt w:val="decimal"/>
      <w:start w:val="2"/>
    </w:lvl>
  </w:abstractNum>
  <w:abstractNum w:abstractNumId="199">
    <w:nsid w:val="73BBD7F8"/>
    <w:multiLevelType w:val="hybridMultilevel"/>
    <w:lvl w:ilvl="0">
      <w:lvlJc w:val="left"/>
      <w:lvlText w:val="%1"/>
      <w:numFmt w:val="decimal"/>
      <w:start w:val="1"/>
    </w:lvl>
    <w:lvl w:ilvl="1">
      <w:lvlJc w:val="left"/>
      <w:lvlText w:val="%2."/>
      <w:numFmt w:val="upperLetter"/>
      <w:start w:val="2"/>
    </w:lvl>
  </w:abstractNum>
  <w:abstractNum w:abstractNumId="200">
    <w:nsid w:val="1876589D"/>
    <w:multiLevelType w:val="hybridMultilevel"/>
    <w:lvl w:ilvl="0">
      <w:lvlJc w:val="left"/>
      <w:lvlText w:val="%1."/>
      <w:numFmt w:val="decimal"/>
      <w:start w:val="4"/>
    </w:lvl>
    <w:lvl w:ilvl="1">
      <w:lvlJc w:val="left"/>
      <w:lvlText w:val="%2"/>
      <w:numFmt w:val="upperLetter"/>
      <w:start w:val="1"/>
    </w:lvl>
  </w:abstractNum>
  <w:abstractNum w:abstractNumId="201">
    <w:nsid w:val="327FAC77"/>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lvl w:ilvl="3">
      <w:lvlJc w:val="left"/>
      <w:lvlText w:val="%4"/>
      <w:numFmt w:val="upperLetter"/>
      <w:start w:val="1"/>
    </w:lvl>
  </w:abstractNum>
  <w:abstractNum w:abstractNumId="202">
    <w:nsid w:val="5A606509"/>
    <w:multiLevelType w:val="hybridMultilevel"/>
    <w:lvl w:ilvl="0">
      <w:lvlJc w:val="left"/>
      <w:lvlText w:val="%1."/>
      <w:numFmt w:val="decimal"/>
      <w:start w:val="6"/>
    </w:lvl>
    <w:lvl w:ilvl="1">
      <w:lvlJc w:val="left"/>
      <w:lvlText w:val="%2."/>
      <w:numFmt w:val="upperLetter"/>
      <w:start w:val="5"/>
    </w:lvl>
    <w:lvl w:ilvl="2">
      <w:lvlJc w:val="left"/>
      <w:lvlText w:val="%3"/>
      <w:numFmt w:val="upperLetter"/>
      <w:start w:val="1"/>
    </w:lvl>
    <w:lvl w:ilvl="3">
      <w:lvlJc w:val="left"/>
      <w:lvlText w:val="%4."/>
      <w:numFmt w:val="upperLetter"/>
      <w:start w:val="4"/>
    </w:lvl>
  </w:abstractNum>
  <w:abstractNum w:abstractNumId="203">
    <w:nsid w:val="6F38E6D1"/>
    <w:multiLevelType w:val="hybridMultilevel"/>
    <w:lvl w:ilvl="0">
      <w:lvlJc w:val="left"/>
      <w:lvlText w:val="1"/>
      <w:numFmt w:val="bullet"/>
      <w:start w:val="1"/>
    </w:lvl>
  </w:abstractNum>
  <w:abstractNum w:abstractNumId="204">
    <w:nsid w:val="46111BA5"/>
    <w:multiLevelType w:val="hybridMultilevel"/>
    <w:lvl w:ilvl="0">
      <w:lvlJc w:val="left"/>
      <w:lvlText w:val="(%1)"/>
      <w:numFmt w:val="lowerRoman"/>
      <w:start w:val="3"/>
    </w:lvl>
  </w:abstractNum>
  <w:abstractNum w:abstractNumId="205">
    <w:nsid w:val="5E963896"/>
    <w:multiLevelType w:val="hybridMultilevel"/>
    <w:lvl w:ilvl="0">
      <w:lvlJc w:val="left"/>
      <w:lvlText w:val="(%1)"/>
      <w:numFmt w:val="lowerLetter"/>
      <w:start w:val="1"/>
    </w:lvl>
  </w:abstractNum>
  <w:abstractNum w:abstractNumId="206">
    <w:nsid w:val="775BA7C1"/>
    <w:multiLevelType w:val="hybridMultilevel"/>
    <w:lvl w:ilvl="0">
      <w:lvlJc w:val="left"/>
      <w:lvlText w:val="(%1)"/>
      <w:numFmt w:val="lowerLetter"/>
      <w:start w:val="2"/>
    </w:lvl>
  </w:abstractNum>
  <w:abstractNum w:abstractNumId="207">
    <w:nsid w:val="1DD6D6F4"/>
    <w:multiLevelType w:val="hybridMultilevel"/>
    <w:lvl w:ilvl="0">
      <w:lvlJc w:val="left"/>
      <w:lvlText w:val="(%1)"/>
      <w:numFmt w:val="lowerLetter"/>
      <w:start w:val="3"/>
    </w:lvl>
  </w:abstractNum>
  <w:abstractNum w:abstractNumId="208">
    <w:nsid w:val="769A091F"/>
    <w:multiLevelType w:val="hybridMultilevel"/>
    <w:lvl w:ilvl="0">
      <w:lvlJc w:val="left"/>
      <w:lvlText w:val="(%1)"/>
      <w:numFmt w:val="lowerLetter"/>
      <w:start w:val="2"/>
    </w:lvl>
  </w:abstractNum>
  <w:abstractNum w:abstractNumId="209">
    <w:nsid w:val="4695AE95"/>
    <w:multiLevelType w:val="hybridMultilevel"/>
    <w:lvl w:ilvl="0">
      <w:lvlJc w:val="left"/>
      <w:lvlText w:val="(%1)"/>
      <w:numFmt w:val="lowerLetter"/>
      <w:start w:val="1"/>
    </w:lvl>
  </w:abstractNum>
  <w:abstractNum w:abstractNumId="210">
    <w:nsid w:val="777A4EAA"/>
    <w:multiLevelType w:val="hybridMultilevel"/>
    <w:lvl w:ilvl="0">
      <w:lvlJc w:val="left"/>
      <w:lvlText w:val="(%1)"/>
      <w:numFmt w:val="lowerLetter"/>
      <w:start w:val="2"/>
    </w:lvl>
  </w:abstractNum>
  <w:abstractNum w:abstractNumId="211">
    <w:nsid w:val="3F48B982"/>
    <w:multiLevelType w:val="hybridMultilevel"/>
    <w:lvl w:ilvl="0">
      <w:lvlJc w:val="left"/>
      <w:lvlText w:val="(%1)"/>
      <w:numFmt w:val="lowerLetter"/>
      <w:start w:val="2"/>
    </w:lvl>
  </w:abstractNum>
  <w:abstractNum w:abstractNumId="212">
    <w:nsid w:val="46BA8FCA"/>
    <w:multiLevelType w:val="hybridMultilevel"/>
    <w:lvl w:ilvl="0">
      <w:lvlJc w:val="left"/>
      <w:lvlText w:val="(%1)"/>
      <w:numFmt w:val="lowerLetter"/>
      <w:start w:val="1"/>
    </w:lvl>
  </w:abstractNum>
  <w:abstractNum w:abstractNumId="213">
    <w:nsid w:val="7835626C"/>
    <w:multiLevelType w:val="hybridMultilevel"/>
    <w:lvl w:ilvl="0">
      <w:lvlJc w:val="left"/>
      <w:lvlText w:val="(%1)"/>
      <w:numFmt w:val="lowerLetter"/>
      <w:start w:val="1"/>
    </w:lvl>
  </w:abstractNum>
  <w:abstractNum w:abstractNumId="214">
    <w:nsid w:val="665ACA49"/>
    <w:multiLevelType w:val="hybridMultilevel"/>
    <w:lvl w:ilvl="0">
      <w:lvlJc w:val="left"/>
      <w:lvlText w:val="(%1)"/>
      <w:numFmt w:val="lowerLetter"/>
      <w:start w:val="1"/>
    </w:lvl>
  </w:abstractNum>
  <w:abstractNum w:abstractNumId="215">
    <w:nsid w:val="6835B2AE"/>
    <w:multiLevelType w:val="hybridMultilevel"/>
    <w:lvl w:ilvl="0">
      <w:lvlJc w:val="left"/>
      <w:lvlText w:val="(%1)"/>
      <w:numFmt w:val="lowerLetter"/>
      <w:start w:val="1"/>
    </w:lvl>
  </w:abstractNum>
  <w:abstractNum w:abstractNumId="216">
    <w:nsid w:val="4C187C90"/>
    <w:multiLevelType w:val="hybridMultilevel"/>
    <w:lvl w:ilvl="0">
      <w:lvlJc w:val="left"/>
      <w:lvlText w:val="(%1)"/>
      <w:numFmt w:val="lowerLetter"/>
      <w:start w:val="1"/>
    </w:lvl>
  </w:abstractNum>
  <w:abstractNum w:abstractNumId="217">
    <w:nsid w:val="541F28CD"/>
    <w:multiLevelType w:val="hybridMultilevel"/>
    <w:lvl w:ilvl="0">
      <w:lvlJc w:val="left"/>
      <w:lvlText w:val="(%1)"/>
      <w:numFmt w:val="lowerLetter"/>
      <w:start w:val="1"/>
    </w:lvl>
  </w:abstractNum>
  <w:abstractNum w:abstractNumId="218">
    <w:nsid w:val="7F65FD16"/>
    <w:multiLevelType w:val="hybridMultilevel"/>
    <w:lvl w:ilvl="0">
      <w:lvlJc w:val="left"/>
      <w:lvlText w:val="(%1)"/>
      <w:numFmt w:val="lowerLetter"/>
      <w:start w:val="1"/>
    </w:lvl>
  </w:abstractNum>
  <w:abstractNum w:abstractNumId="219">
    <w:nsid w:val="77C9FD68"/>
    <w:multiLevelType w:val="hybridMultilevel"/>
    <w:lvl w:ilvl="0">
      <w:lvlJc w:val="left"/>
      <w:lvlText w:val="(%1)"/>
      <w:numFmt w:val="lowerLetter"/>
      <w:start w:val="1"/>
    </w:lvl>
  </w:abstractNum>
  <w:abstractNum w:abstractNumId="220">
    <w:nsid w:val="298A92BA"/>
    <w:multiLevelType w:val="hybridMultilevel"/>
    <w:lvl w:ilvl="0">
      <w:lvlJc w:val="left"/>
      <w:lvlText w:val="(%1)"/>
      <w:numFmt w:val="lowerLetter"/>
      <w:start w:val="1"/>
    </w:lvl>
  </w:abstractNum>
  <w:abstractNum w:abstractNumId="221">
    <w:nsid w:val="6FE95EAC"/>
    <w:multiLevelType w:val="hybridMultilevel"/>
    <w:lvl w:ilvl="0">
      <w:lvlJc w:val="left"/>
      <w:lvlText w:val="(%1)"/>
      <w:numFmt w:val="lowerLetter"/>
      <w:start w:val="3"/>
    </w:lvl>
  </w:abstractNum>
  <w:abstractNum w:abstractNumId="222">
    <w:nsid w:val="4B697C7A"/>
    <w:multiLevelType w:val="hybridMultilevel"/>
    <w:lvl w:ilvl="0">
      <w:lvlJc w:val="left"/>
      <w:lvlText w:val="(%1)"/>
      <w:numFmt w:val="lowerLetter"/>
      <w:start w:val="9"/>
    </w:lvl>
  </w:abstractNum>
  <w:abstractNum w:abstractNumId="223">
    <w:nsid w:val="51A27AA6"/>
    <w:multiLevelType w:val="hybridMultilevel"/>
    <w:lvl w:ilvl="0">
      <w:lvlJc w:val="left"/>
      <w:lvlText w:val="(%1)"/>
      <w:numFmt w:val="lowerLetter"/>
      <w:start w:val="1"/>
    </w:lvl>
  </w:abstractNum>
  <w:abstractNum w:abstractNumId="224">
    <w:nsid w:val="613183F2"/>
    <w:multiLevelType w:val="hybridMultilevel"/>
    <w:lvl w:ilvl="0">
      <w:lvlJc w:val="left"/>
      <w:lvlText w:val="(%1)"/>
      <w:numFmt w:val="lowerLetter"/>
      <w:start w:val="3"/>
    </w:lvl>
  </w:abstractNum>
  <w:abstractNum w:abstractNumId="225">
    <w:nsid w:val="634102B4"/>
    <w:multiLevelType w:val="hybridMultilevel"/>
    <w:lvl w:ilvl="0">
      <w:lvlJc w:val="left"/>
      <w:lvlText w:val="(%1)"/>
      <w:numFmt w:val="lowerLetter"/>
      <w:start w:val="1"/>
    </w:lvl>
  </w:abstractNum>
  <w:abstractNum w:abstractNumId="226">
    <w:nsid w:val="65BF9DA8"/>
    <w:multiLevelType w:val="hybridMultilevel"/>
    <w:lvl w:ilvl="0">
      <w:lvlJc w:val="left"/>
      <w:lvlText w:val="(%1)"/>
      <w:numFmt w:val="lowerLetter"/>
      <w:start w:val="1"/>
    </w:lvl>
  </w:abstractNum>
  <w:abstractNum w:abstractNumId="227">
    <w:nsid w:val="21A2ECCA"/>
    <w:multiLevelType w:val="hybridMultilevel"/>
    <w:lvl w:ilvl="0">
      <w:lvlJc w:val="left"/>
      <w:lvlText w:val="(%1)"/>
      <w:numFmt w:val="lowerLetter"/>
      <w:start w:val="3"/>
    </w:lvl>
  </w:abstractNum>
  <w:abstractNum w:abstractNumId="228">
    <w:nsid w:val="4D5C4899"/>
    <w:multiLevelType w:val="hybridMultilevel"/>
    <w:lvl w:ilvl="0">
      <w:lvlJc w:val="left"/>
      <w:lvlText w:val="(%1)"/>
      <w:numFmt w:val="lowerLetter"/>
      <w:start w:val="1"/>
    </w:lvl>
  </w:abstractNum>
  <w:abstractNum w:abstractNumId="229">
    <w:nsid w:val="3C3B72B2"/>
    <w:multiLevelType w:val="hybridMultilevel"/>
    <w:lvl w:ilvl="0">
      <w:lvlJc w:val="left"/>
      <w:lvlText w:val="%1"/>
      <w:numFmt w:val="lowerLetter"/>
      <w:start w:val="1"/>
    </w:lvl>
    <w:lvl w:ilvl="1">
      <w:lvlJc w:val="left"/>
      <w:lvlText w:val="(%2)"/>
      <w:numFmt w:val="lowerLetter"/>
      <w:start w:val="3"/>
    </w:lvl>
  </w:abstractNum>
  <w:abstractNum w:abstractNumId="230">
    <w:nsid w:val="155EC4C2"/>
    <w:multiLevelType w:val="hybridMultilevel"/>
    <w:lvl w:ilvl="0">
      <w:lvlJc w:val="left"/>
      <w:lvlText w:val="(%1)"/>
      <w:numFmt w:val="lowerLetter"/>
      <w:start w:val="9"/>
    </w:lvl>
    <w:lvl w:ilvl="1">
      <w:lvlJc w:val="left"/>
      <w:lvlText w:val="%2"/>
      <w:numFmt w:val="lowerLetter"/>
      <w:start w:val="1"/>
    </w:lvl>
  </w:abstractNum>
  <w:abstractNum w:abstractNumId="231">
    <w:nsid w:val="65D2A137"/>
    <w:multiLevelType w:val="hybridMultilevel"/>
    <w:lvl w:ilvl="0">
      <w:lvlJc w:val="left"/>
      <w:lvlText w:val="(%1)"/>
      <w:numFmt w:val="lowerLetter"/>
      <w:start w:val="1"/>
    </w:lvl>
  </w:abstractNum>
  <w:abstractNum w:abstractNumId="232">
    <w:nsid w:val="6EBB1F2A"/>
    <w:multiLevelType w:val="hybridMultilevel"/>
    <w:lvl w:ilvl="0">
      <w:lvlJc w:val="left"/>
      <w:lvlText w:val="(%1)"/>
      <w:numFmt w:val="lowerLetter"/>
      <w:start w:val="3"/>
    </w:lvl>
  </w:abstractNum>
  <w:abstractNum w:abstractNumId="233">
    <w:nsid w:val="6FBF29CB"/>
    <w:multiLevelType w:val="hybridMultilevel"/>
    <w:lvl w:ilvl="0">
      <w:lvlJc w:val="left"/>
      <w:lvlText w:val="(%1)"/>
      <w:numFmt w:val="lowerLetter"/>
      <w:start w:val="1"/>
    </w:lvl>
  </w:abstractNum>
  <w:abstractNum w:abstractNumId="234">
    <w:nsid w:val="550B8808"/>
    <w:multiLevelType w:val="hybridMultilevel"/>
    <w:lvl w:ilvl="0">
      <w:lvlJc w:val="left"/>
      <w:lvlText w:val="(%1)"/>
      <w:numFmt w:val="lowerRoman"/>
      <w:start w:val="1"/>
    </w:lvl>
  </w:abstractNum>
  <w:abstractNum w:abstractNumId="235">
    <w:nsid w:val="34CC3ACF"/>
    <w:multiLevelType w:val="hybridMultilevel"/>
    <w:lvl w:ilvl="0">
      <w:lvlJc w:val="left"/>
      <w:lvlText w:val="(%1)"/>
      <w:numFmt w:val="lowerRoman"/>
      <w:start w:val="4"/>
    </w:lvl>
  </w:abstractNum>
  <w:abstractNum w:abstractNumId="236">
    <w:nsid w:val="4E556261"/>
    <w:multiLevelType w:val="hybridMultilevel"/>
    <w:lvl w:ilvl="0">
      <w:lvlJc w:val="left"/>
      <w:lvlText w:val="(%1)"/>
      <w:numFmt w:val="lowerLetter"/>
      <w:start w:val="2"/>
    </w:lvl>
  </w:abstractNum>
  <w:abstractNum w:abstractNumId="237">
    <w:nsid w:val="4C672FC9"/>
    <w:multiLevelType w:val="hybridMultilevel"/>
    <w:lvl w:ilvl="0">
      <w:lvlJc w:val="left"/>
      <w:lvlText w:val="(%1)"/>
      <w:numFmt w:val="lowerLetter"/>
      <w:start w:val="1"/>
    </w:lvl>
  </w:abstractNum>
  <w:abstractNum w:abstractNumId="238">
    <w:nsid w:val="52A311C3"/>
    <w:multiLevelType w:val="hybridMultilevel"/>
    <w:lvl w:ilvl="0">
      <w:lvlJc w:val="left"/>
      <w:lvlText w:val="(%1)"/>
      <w:numFmt w:val="lowerLetter"/>
      <w:start w:val="1"/>
    </w:lvl>
  </w:abstractNum>
  <w:abstractNum w:abstractNumId="239">
    <w:nsid w:val="44EF6B80"/>
    <w:multiLevelType w:val="hybridMultilevel"/>
    <w:lvl w:ilvl="0">
      <w:lvlJc w:val="left"/>
      <w:lvlText w:val="(%1)"/>
      <w:numFmt w:val="lowerLetter"/>
      <w:start w:val="1"/>
    </w:lvl>
  </w:abstractNum>
  <w:abstractNum w:abstractNumId="240">
    <w:nsid w:val="12FCDE5E"/>
    <w:multiLevelType w:val="hybridMultilevel"/>
    <w:lvl w:ilvl="0">
      <w:lvlJc w:val="left"/>
      <w:lvlText w:val="(%1)"/>
      <w:numFmt w:val="lowerLetter"/>
      <w:start w:val="1"/>
    </w:lvl>
  </w:abstractNum>
  <w:abstractNum w:abstractNumId="241">
    <w:nsid w:val="4A1D606E"/>
    <w:multiLevelType w:val="hybridMultilevel"/>
    <w:lvl w:ilvl="0">
      <w:lvlJc w:val="left"/>
      <w:lvlText w:val="(%1)"/>
      <w:numFmt w:val="lowerLetter"/>
      <w:start w:val="3"/>
    </w:lvl>
  </w:abstractNum>
  <w:abstractNum w:abstractNumId="242">
    <w:nsid w:val="4382503"/>
    <w:multiLevelType w:val="hybridMultilevel"/>
    <w:lvl w:ilvl="0">
      <w:lvlJc w:val="left"/>
      <w:lvlText w:val="(%1)"/>
      <w:numFmt w:val="lowerLetter"/>
      <w:start w:val="1"/>
    </w:lvl>
  </w:abstractNum>
  <w:abstractNum w:abstractNumId="243">
    <w:nsid w:val="59B76E28"/>
    <w:multiLevelType w:val="hybridMultilevel"/>
    <w:lvl w:ilvl="0">
      <w:lvlJc w:val="left"/>
      <w:lvlText w:val="(%1)"/>
      <w:numFmt w:val="lowerLetter"/>
      <w:start w:val="4"/>
    </w:lvl>
  </w:abstractNum>
  <w:abstractNum w:abstractNumId="244">
    <w:nsid w:val="4252C2DA"/>
    <w:multiLevelType w:val="hybridMultilevel"/>
    <w:lvl w:ilvl="0">
      <w:lvlJc w:val="left"/>
      <w:lvlText w:val="%1."/>
      <w:numFmt w:val="decimal"/>
      <w:start w:val="1"/>
    </w:lvl>
  </w:abstractNum>
  <w:abstractNum w:abstractNumId="245">
    <w:nsid w:val="6A92EF4C"/>
    <w:multiLevelType w:val="hybridMultilevel"/>
    <w:lvl w:ilvl="0">
      <w:lvlJc w:val="left"/>
      <w:lvlText w:val="(%1)"/>
      <w:numFmt w:val="lowerLetter"/>
      <w:start w:val="1"/>
    </w:lvl>
  </w:abstractNum>
  <w:abstractNum w:abstractNumId="246">
    <w:nsid w:val="41ED20D7"/>
    <w:multiLevelType w:val="hybridMultilevel"/>
    <w:lvl w:ilvl="0">
      <w:lvlJc w:val="left"/>
      <w:lvlText w:val="(%1)"/>
      <w:numFmt w:val="lowerLetter"/>
      <w:start w:val="1"/>
    </w:lvl>
  </w:abstractNum>
  <w:abstractNum w:abstractNumId="247">
    <w:nsid w:val="E6B3F6A"/>
    <w:multiLevelType w:val="hybridMultilevel"/>
    <w:lvl w:ilvl="0">
      <w:lvlJc w:val="left"/>
      <w:lvlText w:val="(%1)"/>
      <w:numFmt w:val="lowerLetter"/>
      <w:start w:val="1"/>
    </w:lvl>
  </w:abstractNum>
  <w:abstractNum w:abstractNumId="248">
    <w:nsid w:val="3EB21819"/>
    <w:multiLevelType w:val="hybridMultilevel"/>
    <w:lvl w:ilvl="0">
      <w:lvlJc w:val="left"/>
      <w:lvlText w:val="%1."/>
      <w:numFmt w:val="decimal"/>
      <w:start w:val="1"/>
    </w:lvl>
    <w:lvl w:ilvl="1">
      <w:lvlJc w:val="left"/>
      <w:lvlText w:val="(%2)"/>
      <w:numFmt w:val="lowerLetter"/>
      <w:start w:val="1"/>
    </w:lvl>
  </w:abstractNum>
  <w:abstractNum w:abstractNumId="249">
    <w:nsid w:val="41531DED"/>
    <w:multiLevelType w:val="hybridMultilevel"/>
    <w:lvl w:ilvl="0">
      <w:lvlJc w:val="left"/>
      <w:lvlText w:val="(%1)"/>
      <w:numFmt w:val="lowerRoman"/>
      <w:start w:val="3"/>
    </w:lvl>
  </w:abstractNum>
  <w:abstractNum w:abstractNumId="250">
    <w:nsid w:val="6353CD2"/>
    <w:multiLevelType w:val="hybridMultilevel"/>
    <w:lvl w:ilvl="0">
      <w:lvlJc w:val="left"/>
      <w:lvlText w:val="(%1)"/>
      <w:numFmt w:val="lowerLetter"/>
      <w:start w:val="1"/>
    </w:lvl>
  </w:abstractNum>
  <w:abstractNum w:abstractNumId="251">
    <w:nsid w:val="683CAAD3"/>
    <w:multiLevelType w:val="hybridMultilevel"/>
    <w:lvl w:ilvl="0">
      <w:lvlJc w:val="left"/>
      <w:lvlText w:val="(%1)"/>
      <w:numFmt w:val="lowerLetter"/>
      <w:start w:val="2"/>
    </w:lvl>
  </w:abstractNum>
  <w:abstractNum w:abstractNumId="252">
    <w:nsid w:val="313C7C99"/>
    <w:multiLevelType w:val="hybridMultilevel"/>
    <w:lvl w:ilvl="0">
      <w:lvlJc w:val="left"/>
      <w:lvlText w:val="(%1)"/>
      <w:numFmt w:val="lowerLetter"/>
      <w:start w:val="3"/>
    </w:lvl>
  </w:abstractNum>
  <w:abstractNum w:abstractNumId="253">
    <w:nsid w:val="519EB94C"/>
    <w:multiLevelType w:val="hybridMultilevel"/>
    <w:lvl w:ilvl="0">
      <w:lvlJc w:val="left"/>
      <w:lvlText w:val="(%1)"/>
      <w:numFmt w:val="lowerLetter"/>
      <w:start w:val="2"/>
    </w:lvl>
  </w:abstractNum>
  <w:abstractNum w:abstractNumId="254">
    <w:nsid w:val="39DF2579"/>
    <w:multiLevelType w:val="hybridMultilevel"/>
    <w:lvl w:ilvl="0">
      <w:lvlJc w:val="left"/>
      <w:lvlText w:val="(%1)"/>
      <w:numFmt w:val="lowerLetter"/>
      <w:start w:val="1"/>
    </w:lvl>
  </w:abstractNum>
  <w:abstractNum w:abstractNumId="255">
    <w:nsid w:val="126E008B"/>
    <w:multiLevelType w:val="hybridMultilevel"/>
    <w:lvl w:ilvl="0">
      <w:lvlJc w:val="left"/>
      <w:lvlText w:val="(%1)"/>
      <w:numFmt w:val="lowerLetter"/>
      <w:start w:val="2"/>
    </w:lvl>
  </w:abstractNum>
  <w:abstractNum w:abstractNumId="256">
    <w:nsid w:val="34DFBC00"/>
    <w:multiLevelType w:val="hybridMultilevel"/>
    <w:lvl w:ilvl="0">
      <w:lvlJc w:val="left"/>
      <w:lvlText w:val="(%1)"/>
      <w:numFmt w:val="lowerLetter"/>
      <w:start w:val="2"/>
    </w:lvl>
  </w:abstractNum>
  <w:abstractNum w:abstractNumId="257">
    <w:nsid w:val="1F9EC322"/>
    <w:multiLevelType w:val="hybridMultilevel"/>
    <w:lvl w:ilvl="0">
      <w:lvlJc w:val="left"/>
      <w:lvlText w:val="(%1)"/>
      <w:numFmt w:val="lowerLetter"/>
      <w:start w:val="1"/>
    </w:lvl>
  </w:abstractNum>
  <w:abstractNum w:abstractNumId="258">
    <w:nsid w:val="3410ED56"/>
    <w:multiLevelType w:val="hybridMultilevel"/>
    <w:lvl w:ilvl="0">
      <w:lvlJc w:val="left"/>
      <w:lvlText w:val="(%1)"/>
      <w:numFmt w:val="lowerLetter"/>
      <w:start w:val="1"/>
    </w:lvl>
  </w:abstractNum>
  <w:abstractNum w:abstractNumId="259">
    <w:nsid w:val="23C049A"/>
    <w:multiLevelType w:val="hybridMultilevel"/>
    <w:lvl w:ilvl="0">
      <w:lvlJc w:val="left"/>
      <w:lvlText w:val="(%1)"/>
      <w:numFmt w:val="lowerLetter"/>
      <w:start w:val="1"/>
    </w:lvl>
  </w:abstractNum>
  <w:abstractNum w:abstractNumId="260">
    <w:nsid w:val="5BDA35D4"/>
    <w:multiLevelType w:val="hybridMultilevel"/>
    <w:lvl w:ilvl="0">
      <w:lvlJc w:val="left"/>
      <w:lvlText w:val="(%1)"/>
      <w:numFmt w:val="lowerLetter"/>
      <w:start w:val="1"/>
    </w:lvl>
  </w:abstractNum>
  <w:abstractNum w:abstractNumId="261">
    <w:nsid w:val="496FB218"/>
    <w:multiLevelType w:val="hybridMultilevel"/>
    <w:lvl w:ilvl="0">
      <w:lvlJc w:val="left"/>
      <w:lvlText w:val="(%1)"/>
      <w:numFmt w:val="lowerLetter"/>
      <w:start w:val="1"/>
    </w:lvl>
  </w:abstractNum>
  <w:abstractNum w:abstractNumId="262">
    <w:nsid w:val="680EA5D1"/>
    <w:multiLevelType w:val="hybridMultilevel"/>
    <w:lvl w:ilvl="0">
      <w:lvlJc w:val="left"/>
      <w:lvlText w:val="(%1)"/>
      <w:numFmt w:val="lowerLetter"/>
      <w:start w:val="1"/>
    </w:lvl>
  </w:abstractNum>
  <w:abstractNum w:abstractNumId="263">
    <w:nsid w:val="4A9554FE"/>
    <w:multiLevelType w:val="hybridMultilevel"/>
    <w:lvl w:ilvl="0">
      <w:lvlJc w:val="left"/>
      <w:lvlText w:val="(%1)"/>
      <w:numFmt w:val="lowerLetter"/>
      <w:start w:val="1"/>
    </w:lvl>
  </w:abstractNum>
  <w:abstractNum w:abstractNumId="264">
    <w:nsid w:val="392EDBE4"/>
    <w:multiLevelType w:val="hybridMultilevel"/>
    <w:lvl w:ilvl="0">
      <w:lvlJc w:val="left"/>
      <w:lvlText w:val="(%1)"/>
      <w:numFmt w:val="lowerLetter"/>
      <w:start w:val="1"/>
    </w:lvl>
  </w:abstractNum>
  <w:abstractNum w:abstractNumId="265">
    <w:nsid w:val="3D1A2DD9"/>
    <w:multiLevelType w:val="hybridMultilevel"/>
    <w:lvl w:ilvl="0">
      <w:lvlJc w:val="left"/>
      <w:lvlText w:val="(%1)"/>
      <w:numFmt w:val="lowerLetter"/>
      <w:start w:val="1"/>
    </w:lvl>
  </w:abstractNum>
  <w:abstractNum w:abstractNumId="266">
    <w:nsid w:val="7F618FCD"/>
    <w:multiLevelType w:val="hybridMultilevel"/>
    <w:lvl w:ilvl="0">
      <w:lvlJc w:val="left"/>
      <w:lvlText w:val="(%1)"/>
      <w:numFmt w:val="lowerLetter"/>
      <w:start w:val="3"/>
    </w:lvl>
  </w:abstractNum>
  <w:abstractNum w:abstractNumId="267">
    <w:nsid w:val="7843E45"/>
    <w:multiLevelType w:val="hybridMultilevel"/>
    <w:lvl w:ilvl="0">
      <w:lvlJc w:val="left"/>
      <w:lvlText w:val="(%1)"/>
      <w:numFmt w:val="lowerLetter"/>
      <w:start w:val="9"/>
    </w:lvl>
  </w:abstractNum>
  <w:abstractNum w:abstractNumId="268">
    <w:nsid w:val="9815DA3"/>
    <w:multiLevelType w:val="hybridMultilevel"/>
    <w:lvl w:ilvl="0">
      <w:lvlJc w:val="left"/>
      <w:lvlText w:val="(%1)"/>
      <w:numFmt w:val="lowerLetter"/>
      <w:start w:val="1"/>
    </w:lvl>
  </w:abstractNum>
  <w:abstractNum w:abstractNumId="269">
    <w:nsid w:val="5204A191"/>
    <w:multiLevelType w:val="hybridMultilevel"/>
    <w:lvl w:ilvl="0">
      <w:lvlJc w:val="left"/>
      <w:lvlText w:val="(%1)"/>
      <w:numFmt w:val="lowerLetter"/>
      <w:start w:val="3"/>
    </w:lvl>
  </w:abstractNum>
  <w:abstractNum w:abstractNumId="270">
    <w:nsid w:val="4C73A9C6"/>
    <w:multiLevelType w:val="hybridMultilevel"/>
    <w:lvl w:ilvl="0">
      <w:lvlJc w:val="left"/>
      <w:lvlText w:val="(%1)"/>
      <w:numFmt w:val="lowerLetter"/>
      <w:start w:val="1"/>
    </w:lvl>
  </w:abstractNum>
  <w:abstractNum w:abstractNumId="271">
    <w:nsid w:val="1C7E3C01"/>
    <w:multiLevelType w:val="hybridMultilevel"/>
    <w:lvl w:ilvl="0">
      <w:lvlJc w:val="left"/>
      <w:lvlText w:val="(%1)"/>
      <w:numFmt w:val="lowerLetter"/>
      <w:start w:val="1"/>
    </w:lvl>
  </w:abstractNum>
  <w:abstractNum w:abstractNumId="272">
    <w:nsid w:val="1C2201FF"/>
    <w:multiLevelType w:val="hybridMultilevel"/>
    <w:lvl w:ilvl="0">
      <w:lvlJc w:val="left"/>
      <w:lvlText w:val="(%1)"/>
      <w:numFmt w:val="lowerLetter"/>
      <w:start w:val="3"/>
    </w:lvl>
  </w:abstractNum>
  <w:abstractNum w:abstractNumId="273">
    <w:nsid w:val="50ABCEC9"/>
    <w:multiLevelType w:val="hybridMultilevel"/>
    <w:lvl w:ilvl="0">
      <w:lvlJc w:val="left"/>
      <w:lvlText w:val="(%1)"/>
      <w:numFmt w:val="lowerLetter"/>
      <w:start w:val="1"/>
    </w:lvl>
  </w:abstractNum>
  <w:abstractNum w:abstractNumId="274">
    <w:nsid w:val="7635AA2A"/>
    <w:multiLevelType w:val="hybridMultilevel"/>
    <w:lvl w:ilvl="0">
      <w:lvlJc w:val="left"/>
      <w:lvlText w:val="%1"/>
      <w:numFmt w:val="lowerLetter"/>
      <w:start w:val="1"/>
    </w:lvl>
    <w:lvl w:ilvl="1">
      <w:lvlJc w:val="left"/>
      <w:lvlText w:val="(%2)"/>
      <w:numFmt w:val="lowerLetter"/>
      <w:start w:val="3"/>
    </w:lvl>
  </w:abstractNum>
  <w:abstractNum w:abstractNumId="275">
    <w:nsid w:val="5E74C4D9"/>
    <w:multiLevelType w:val="hybridMultilevel"/>
    <w:lvl w:ilvl="0">
      <w:lvlJc w:val="left"/>
      <w:lvlText w:val="(%1)"/>
      <w:numFmt w:val="lowerLetter"/>
      <w:start w:val="9"/>
    </w:lvl>
    <w:lvl w:ilvl="1">
      <w:lvlJc w:val="left"/>
      <w:lvlText w:val="%2"/>
      <w:numFmt w:val="lowerLetter"/>
      <w:start w:val="1"/>
    </w:lvl>
  </w:abstractNum>
  <w:abstractNum w:abstractNumId="276">
    <w:nsid w:val="3B3EBE15"/>
    <w:multiLevelType w:val="hybridMultilevel"/>
    <w:lvl w:ilvl="0">
      <w:lvlJc w:val="left"/>
      <w:lvlText w:val="(%1)"/>
      <w:numFmt w:val="lowerLetter"/>
      <w:start w:val="1"/>
    </w:lvl>
  </w:abstractNum>
  <w:abstractNum w:abstractNumId="277">
    <w:nsid w:val="3822CB01"/>
    <w:multiLevelType w:val="hybridMultilevel"/>
    <w:lvl w:ilvl="0">
      <w:lvlJc w:val="left"/>
      <w:lvlText w:val="(%1)"/>
      <w:numFmt w:val="lowerLetter"/>
      <w:start w:val="3"/>
    </w:lvl>
  </w:abstractNum>
  <w:abstractNum w:abstractNumId="278">
    <w:nsid w:val="6CE00443"/>
    <w:multiLevelType w:val="hybridMultilevel"/>
    <w:lvl w:ilvl="0">
      <w:lvlJc w:val="left"/>
      <w:lvlText w:val="(%1)"/>
      <w:numFmt w:val="lowerLetter"/>
      <w:start w:val="1"/>
    </w:lvl>
  </w:abstractNum>
  <w:abstractNum w:abstractNumId="279">
    <w:nsid w:val="79F0D62F"/>
    <w:multiLevelType w:val="hybridMultilevel"/>
    <w:lvl w:ilvl="0">
      <w:lvlJc w:val="left"/>
      <w:lvlText w:val="(%1)"/>
      <w:numFmt w:val="lowerRoman"/>
      <w:start w:val="1"/>
    </w:lvl>
  </w:abstractNum>
  <w:abstractNum w:abstractNumId="280">
    <w:nsid w:val="7975E8EE"/>
    <w:multiLevelType w:val="hybridMultilevel"/>
    <w:lvl w:ilvl="0">
      <w:lvlJc w:val="left"/>
      <w:lvlText w:val="(%1)"/>
      <w:numFmt w:val="lowerRoman"/>
      <w:start w:val="4"/>
    </w:lvl>
  </w:abstractNum>
  <w:abstractNum w:abstractNumId="281">
    <w:nsid w:val="73154115"/>
    <w:multiLevelType w:val="hybridMultilevel"/>
    <w:lvl w:ilvl="0">
      <w:lvlJc w:val="left"/>
      <w:lvlText w:val="(%1)"/>
      <w:numFmt w:val="lowerLetter"/>
      <w:start w:val="2"/>
    </w:lvl>
  </w:abstractNum>
  <w:abstractNum w:abstractNumId="282">
    <w:nsid w:val="622D8102"/>
    <w:multiLevelType w:val="hybridMultilevel"/>
    <w:lvl w:ilvl="0">
      <w:lvlJc w:val="left"/>
      <w:lvlText w:val="(%1)"/>
      <w:numFmt w:val="lowerLetter"/>
      <w:start w:val="1"/>
    </w:lvl>
  </w:abstractNum>
  <w:abstractNum w:abstractNumId="283">
    <w:nsid w:val="2AB26587"/>
    <w:multiLevelType w:val="hybridMultilevel"/>
    <w:lvl w:ilvl="0">
      <w:lvlJc w:val="left"/>
      <w:lvlText w:val="(%1)"/>
      <w:numFmt w:val="lowerLetter"/>
      <w:start w:val="1"/>
    </w:lvl>
  </w:abstractNum>
  <w:abstractNum w:abstractNumId="284">
    <w:nsid w:val="44B3FA61"/>
    <w:multiLevelType w:val="hybridMultilevel"/>
    <w:lvl w:ilvl="0">
      <w:lvlJc w:val="left"/>
      <w:lvlText w:val="(%1)"/>
      <w:numFmt w:val="lowerLetter"/>
      <w:start w:val="1"/>
    </w:lvl>
  </w:abstractNum>
  <w:abstractNum w:abstractNumId="285">
    <w:nsid w:val="1C0CA67C"/>
    <w:multiLevelType w:val="hybridMultilevel"/>
    <w:lvl w:ilvl="0">
      <w:lvlJc w:val="left"/>
      <w:lvlText w:val="(%1)"/>
      <w:numFmt w:val="lowerLetter"/>
      <w:start w:val="1"/>
    </w:lvl>
  </w:abstractNum>
  <w:abstractNum w:abstractNumId="286">
    <w:nsid w:val="3D206613"/>
    <w:multiLevelType w:val="hybridMultilevel"/>
    <w:lvl w:ilvl="0">
      <w:lvlJc w:val="left"/>
      <w:lvlText w:val="(%1)"/>
      <w:numFmt w:val="lowerLetter"/>
      <w:start w:val="3"/>
    </w:lvl>
  </w:abstractNum>
  <w:abstractNum w:abstractNumId="287">
    <w:nsid w:val="7993B662"/>
    <w:multiLevelType w:val="hybridMultilevel"/>
    <w:lvl w:ilvl="0">
      <w:lvlJc w:val="left"/>
      <w:lvlText w:val="(%1)"/>
      <w:numFmt w:val="lowerLetter"/>
      <w:start w:val="1"/>
    </w:lvl>
  </w:abstractNum>
  <w:abstractNum w:abstractNumId="288">
    <w:nsid w:val="3BAB699E"/>
    <w:multiLevelType w:val="hybridMultilevel"/>
    <w:lvl w:ilvl="0">
      <w:lvlJc w:val="left"/>
      <w:lvlText w:val="(%1)"/>
      <w:numFmt w:val="lowerLetter"/>
      <w:start w:val="4"/>
    </w:lvl>
  </w:abstractNum>
  <w:abstractNum w:abstractNumId="289">
    <w:nsid w:val="71315369"/>
    <w:multiLevelType w:val="hybridMultilevel"/>
    <w:lvl w:ilvl="0">
      <w:lvlJc w:val="left"/>
      <w:lvlText w:val="%1."/>
      <w:numFmt w:val="decimal"/>
      <w:start w:val="1"/>
    </w:lvl>
  </w:abstractNum>
  <w:abstractNum w:abstractNumId="290">
    <w:nsid w:val="7BCFBAFC"/>
    <w:multiLevelType w:val="hybridMultilevel"/>
    <w:lvl w:ilvl="0">
      <w:lvlJc w:val="left"/>
      <w:lvlText w:val="%1."/>
      <w:numFmt w:val="decimal"/>
      <w:start w:val="3"/>
    </w:lvl>
  </w:abstractNum>
  <w:abstractNum w:abstractNumId="291">
    <w:nsid w:val="17859F72"/>
    <w:multiLevelType w:val="hybridMultilevel"/>
    <w:lvl w:ilvl="0">
      <w:lvlJc w:val="left"/>
      <w:lvlText w:val="%1."/>
      <w:numFmt w:val="decimal"/>
      <w:start w:val="5"/>
    </w:lvl>
  </w:abstractNum>
  <w:abstractNum w:abstractNumId="292">
    <w:nsid w:val="3AA10581"/>
    <w:multiLevelType w:val="hybridMultilevel"/>
    <w:lvl w:ilvl="0">
      <w:lvlJc w:val="left"/>
      <w:lvlText w:val="%1."/>
      <w:numFmt w:val="decimal"/>
      <w:start w:val="7"/>
    </w:lvl>
  </w:abstractNum>
  <w:abstractNum w:abstractNumId="293">
    <w:nsid w:val="63DE60CD"/>
    <w:multiLevelType w:val="hybridMultilevel"/>
    <w:lvl w:ilvl="0">
      <w:lvlJc w:val="left"/>
      <w:lvlText w:val="%1."/>
      <w:numFmt w:val="decimal"/>
      <w:start w:val="10"/>
    </w:lvl>
  </w:abstractNum>
  <w:abstractNum w:abstractNumId="294">
    <w:nsid w:val="621AF471"/>
    <w:multiLevelType w:val="hybridMultilevel"/>
    <w:lvl w:ilvl="0">
      <w:lvlJc w:val="left"/>
      <w:lvlText w:val="%1."/>
      <w:numFmt w:val="decimal"/>
      <w:start w:val="18"/>
    </w:lvl>
  </w:abstractNum>
  <w:abstractNum w:abstractNumId="295">
    <w:nsid w:val="73CFE165"/>
    <w:multiLevelType w:val="hybridMultilevel"/>
    <w:lvl w:ilvl="0">
      <w:lvlJc w:val="left"/>
      <w:lvlText w:val="%1."/>
      <w:numFmt w:val="decimal"/>
      <w:start w:val="1"/>
    </w:lvl>
  </w:abstractNum>
  <w:abstractNum w:abstractNumId="296">
    <w:nsid w:val="20F88EA6"/>
    <w:multiLevelType w:val="hybridMultilevel"/>
    <w:lvl w:ilvl="0">
      <w:lvlJc w:val="left"/>
      <w:lvlText w:val="%1."/>
      <w:numFmt w:val="decimal"/>
      <w:start w:val="2"/>
    </w:lvl>
  </w:abstractNum>
  <w:abstractNum w:abstractNumId="297">
    <w:nsid w:val="617C843E"/>
    <w:multiLevelType w:val="hybridMultilevel"/>
    <w:lvl w:ilvl="0">
      <w:lvlJc w:val="left"/>
      <w:lvlText w:val="3"/>
      <w:numFmt w:val="bullet"/>
      <w:start w:val="1"/>
    </w:lvl>
  </w:abstractNum>
  <w:abstractNum w:abstractNumId="298">
    <w:nsid w:val="7B541FAB"/>
    <w:multiLevelType w:val="hybridMultilevel"/>
    <w:lvl w:ilvl="0">
      <w:lvlJc w:val="left"/>
      <w:lvlText w:val="•"/>
      <w:numFmt w:val="bullet"/>
      <w:start w:val="1"/>
    </w:lvl>
  </w:abstractNum>
  <w:abstractNum w:abstractNumId="299">
    <w:nsid w:val="2A79EC49"/>
    <w:multiLevelType w:val="hybridMultilevel"/>
    <w:lvl w:ilvl="0">
      <w:lvlJc w:val="left"/>
      <w:lvlText w:val="%1."/>
      <w:numFmt w:val="decimal"/>
      <w:start w:val="1"/>
    </w:lvl>
  </w:abstractNum>
  <w:abstractNum w:abstractNumId="300">
    <w:nsid w:val="338125CF"/>
    <w:multiLevelType w:val="hybridMultilevel"/>
    <w:lvl w:ilvl="0">
      <w:lvlJc w:val="left"/>
      <w:lvlText w:val="(%1)"/>
      <w:numFmt w:val="lowerLetter"/>
      <w:start w:val="1"/>
    </w:lvl>
  </w:abstractNum>
  <w:abstractNum w:abstractNumId="301">
    <w:nsid w:val="47C7C971"/>
    <w:multiLevelType w:val="hybridMultilevel"/>
    <w:lvl w:ilvl="0">
      <w:lvlJc w:val="left"/>
      <w:lvlText w:val="(%1)"/>
      <w:numFmt w:val="lowerLetter"/>
      <w:start w:val="1"/>
    </w:lvl>
  </w:abstractNum>
  <w:abstractNum w:abstractNumId="302">
    <w:nsid w:val="46F8284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2025-11-24T10:34:10Z</dcterms:created>
  <dcterms:modified xsi:type="dcterms:W3CDTF">2025-11-24T10:34:10Z</dcterms:modified>
</cp:coreProperties>
</file>