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- 5,756,091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5,977,243</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5,977,243</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9.83%</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IC</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 (FEIM), an investment</w:t>
      </w:r>
    </w:p>
    <w:p>
      <w:pPr>
        <w:spacing w:after="0" w:line="238" w:lineRule="auto"/>
        <w:rPr>
          <w:sz w:val="20"/>
          <w:szCs w:val="20"/>
          <w:color w:val="auto"/>
        </w:rPr>
      </w:pPr>
      <w:r>
        <w:rPr>
          <w:rFonts w:ascii="Courier New" w:cs="Courier New" w:eastAsia="Courier New" w:hAnsi="Courier New"/>
          <w:sz w:val="18"/>
          <w:szCs w:val="18"/>
          <w:color w:val="auto"/>
        </w:rPr>
        <w:t>adviser registered under Section 203 of the Investment Advisers Act</w:t>
      </w:r>
    </w:p>
    <w:p>
      <w:pPr>
        <w:spacing w:after="0"/>
        <w:rPr>
          <w:sz w:val="20"/>
          <w:szCs w:val="20"/>
          <w:color w:val="auto"/>
        </w:rPr>
      </w:pPr>
      <w:r>
        <w:rPr>
          <w:rFonts w:ascii="Courier New" w:cs="Courier New" w:eastAsia="Courier New" w:hAnsi="Courier New"/>
          <w:sz w:val="18"/>
          <w:szCs w:val="18"/>
          <w:color w:val="auto"/>
        </w:rPr>
        <w:t>of 1940, may be deemed currently to be the beneficial owner of</w:t>
      </w:r>
    </w:p>
    <w:p>
      <w:pPr>
        <w:spacing w:after="0" w:line="237" w:lineRule="auto"/>
        <w:rPr>
          <w:sz w:val="20"/>
          <w:szCs w:val="20"/>
          <w:color w:val="auto"/>
        </w:rPr>
      </w:pPr>
      <w:r>
        <w:rPr>
          <w:rFonts w:ascii="Courier New" w:cs="Courier New" w:eastAsia="Courier New" w:hAnsi="Courier New"/>
          <w:sz w:val="18"/>
          <w:szCs w:val="18"/>
          <w:color w:val="auto"/>
        </w:rPr>
        <w:t>5,977,243 shares, or 9.83% of the Common Stock believed to be outstanding,</w:t>
      </w:r>
    </w:p>
    <w:p>
      <w:pPr>
        <w:spacing w:after="0" w:line="238" w:lineRule="auto"/>
        <w:rPr>
          <w:sz w:val="20"/>
          <w:szCs w:val="20"/>
          <w:color w:val="auto"/>
        </w:rPr>
      </w:pPr>
      <w:r>
        <w:rPr>
          <w:rFonts w:ascii="Courier New" w:cs="Courier New" w:eastAsia="Courier New" w:hAnsi="Courier New"/>
          <w:sz w:val="18"/>
          <w:szCs w:val="18"/>
          <w:color w:val="auto"/>
        </w:rPr>
        <w:t>as a result of acting as investment adviser to various clients.</w:t>
      </w:r>
    </w:p>
    <w:p>
      <w:pPr>
        <w:spacing w:after="0"/>
        <w:rPr>
          <w:sz w:val="20"/>
          <w:szCs w:val="20"/>
          <w:color w:val="auto"/>
        </w:rPr>
      </w:pPr>
      <w:r>
        <w:rPr>
          <w:rFonts w:ascii="Courier New" w:cs="Courier New" w:eastAsia="Courier New" w:hAnsi="Courier New"/>
          <w:sz w:val="18"/>
          <w:szCs w:val="18"/>
          <w:color w:val="auto"/>
        </w:rPr>
        <w:t>Clients of FEIM have the right to receive and the ultimate power</w:t>
      </w:r>
    </w:p>
    <w:p>
      <w:pPr>
        <w:spacing w:after="0" w:line="4"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to direct the receipt of dividends from, or the proceeds of the sale of, such securities. The First Eagle Global Fund, a registered investment Company for which FEIM acts as investment adviser, may be deemed to beneficially own 4,172,577 of these 5,977,243 shares, or 6.86%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27, 2015</w:t>
      </w:r>
    </w:p>
    <w:p>
      <w:pPr>
        <w:spacing w:after="0" w:line="216"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Mark Goldstein</w:t>
      </w:r>
    </w:p>
    <w:p>
      <w:pPr>
        <w:spacing w:after="0" w:line="200" w:lineRule="exact"/>
        <w:rPr>
          <w:sz w:val="20"/>
          <w:szCs w:val="20"/>
          <w:color w:val="auto"/>
        </w:rPr>
      </w:pPr>
    </w:p>
    <w:p>
      <w:pPr>
        <w:sectPr>
          <w:pgSz w:w="11900" w:h="16838" w:orient="portrait"/>
          <w:cols w:equalWidth="0" w:num="2">
            <w:col w:w="1060" w:space="640"/>
            <w:col w:w="8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Goldstein, Senior Vice President</w:t>
      </w:r>
    </w:p>
    <w:sectPr>
      <w:pgSz w:w="11900" w:h="16838" w:orient="portrait"/>
      <w:cols w:equalWidth="0" w:num="2">
        <w:col w:w="1160" w:space="540"/>
        <w:col w:w="85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2019-12-21T02:54:30Z</dcterms:created>
  <dcterms:modified xsi:type="dcterms:W3CDTF">2019-12-21T02:54:30Z</dcterms:modified>
</cp:coreProperties>
</file>