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57352.xml.htm"/>
      <w:bookmarkStart w:id="1" w:name="kswkform4_17889573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Johnson Stephen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SCOTTS MIRACLE-GRO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14111 SCOTTSLAWN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43041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SCOTTS MIRACLE-GRO CO</w:t>
              </w:r>
            </w:hyperlink>
            <w:r>
              <w:rPr/>
              <w:t xml:space="preserve"> [ </w:t>
            </w:r>
            <w:r>
              <w:rPr>
                <w:rFonts w:ascii="Times;serif" w:hAnsi="Times;serif"/>
                <w:color w:val="0000FF"/>
                <w:sz w:val="24"/>
                <w:shd w:fill="FFFFFF" w:val="clear"/>
              </w:rPr>
              <w:t>SMG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DSU or RSU grants and become exercisable proportionately with the DSUs or RSUs to which they relate. Each dividend equivalent right is the economic equivalent of one common share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Kathy L. Uttley as attorney-in-fact for Stephen L.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5744" TargetMode="External"/><Relationship Id="rId5" Type="http://schemas.openxmlformats.org/officeDocument/2006/relationships/hyperlink" Target="http://www.sec.gov/cgi-bin/browse-edgar?action=getcompany&amp;CIK=00008255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3342</Characters>
  <CharactersWithSpaces>3886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