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95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95376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HAGEDORN JAMES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00"/>
        <w:spacing w:after="0" w:line="336"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SCOTTS MIRACLE-GRO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420" w:type="dxa"/>
            <w:vAlign w:val="bottom"/>
            <w:tcBorders>
              <w:bottom w:val="single" w:sz="8" w:color="2C2C2C"/>
            </w:tcBorders>
          </w:tcPr>
          <w:p>
            <w:pPr>
              <w:spacing w:after="0"/>
              <w:rPr>
                <w:sz w:val="15"/>
                <w:szCs w:val="15"/>
                <w:color w:val="auto"/>
              </w:rPr>
            </w:pPr>
          </w:p>
        </w:tc>
        <w:tc>
          <w:tcPr>
            <w:tcW w:w="122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01/30/2025</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0000FF"/>
              </w:rPr>
              <w:t>Chairman &amp; CEO</w:t>
            </w:r>
          </w:p>
        </w:tc>
        <w:tc>
          <w:tcPr>
            <w:tcW w:w="0" w:type="dxa"/>
            <w:vAlign w:val="bottom"/>
          </w:tcPr>
          <w:p>
            <w:pPr>
              <w:spacing w:after="0"/>
              <w:rPr>
                <w:sz w:val="1"/>
                <w:szCs w:val="1"/>
                <w:color w:val="auto"/>
              </w:rPr>
            </w:pPr>
          </w:p>
        </w:tc>
      </w:tr>
      <w:tr>
        <w:trPr>
          <w:trHeight w:val="32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8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91"/>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22"/>
                <w:szCs w:val="22"/>
                <w:color w:val="auto"/>
              </w:rPr>
            </w:pPr>
          </w:p>
        </w:tc>
        <w:tc>
          <w:tcPr>
            <w:tcW w:w="154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01/30/2025</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142,733</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ind w:left="1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59.62</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231,042.8381</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01/30/2025</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20,644</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70.7435</w:t>
            </w:r>
            <w:r>
              <w:rPr>
                <w:rFonts w:ascii="Times New Roman" w:cs="Times New Roman" w:eastAsia="Times New Roman" w:hAnsi="Times New Roman"/>
                <w:sz w:val="21"/>
                <w:szCs w:val="21"/>
                <w:color w:val="008000"/>
                <w:w w:val="93"/>
                <w:vertAlign w:val="superscript"/>
              </w:rPr>
              <w:t>(1)</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210,398.8381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01/30/2025</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118,452</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71.6797</w:t>
            </w:r>
            <w:r>
              <w:rPr>
                <w:rFonts w:ascii="Times New Roman" w:cs="Times New Roman" w:eastAsia="Times New Roman" w:hAnsi="Times New Roman"/>
                <w:sz w:val="21"/>
                <w:szCs w:val="21"/>
                <w:color w:val="008000"/>
                <w:w w:val="93"/>
                <w:vertAlign w:val="superscript"/>
              </w:rPr>
              <w:t>(2)</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91,946.8381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01/30/2025</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3,637</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72.1352</w:t>
            </w:r>
            <w:r>
              <w:rPr>
                <w:rFonts w:ascii="Times New Roman" w:cs="Times New Roman" w:eastAsia="Times New Roman" w:hAnsi="Times New Roman"/>
                <w:sz w:val="21"/>
                <w:szCs w:val="21"/>
                <w:color w:val="008000"/>
                <w:w w:val="93"/>
                <w:vertAlign w:val="superscript"/>
              </w:rPr>
              <w:t>(3)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88,309.8381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29,413.378</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1,231,147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HPLP</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59.62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01/30/2025</w:t>
            </w:r>
          </w:p>
        </w:tc>
        <w:tc>
          <w:tcPr>
            <w:tcW w:w="108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7"/>
                <w:szCs w:val="17"/>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w w:val="94"/>
              </w:rPr>
              <w:t>142,733</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09/24/2020</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01/30/2025</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142,733</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$70.105 to $71.0994, inclusive. The reporting person undertakes to provide to the Issuer, any security holder of Issuer, or the staff of the Securities and Exchange Commission, upon request, full information regarding the number of shares sold at each separate price within the range set forth in this footnote (1).</w:t>
      </w:r>
    </w:p>
    <w:p>
      <w:pPr>
        <w:spacing w:after="0" w:line="25" w:lineRule="exact"/>
        <w:rPr>
          <w:rFonts w:ascii="Times New Roman" w:cs="Times New Roman" w:eastAsia="Times New Roman" w:hAnsi="Times New Roman"/>
          <w:sz w:val="13"/>
          <w:szCs w:val="13"/>
          <w:color w:val="008000"/>
        </w:rPr>
      </w:pPr>
    </w:p>
    <w:p>
      <w:pPr>
        <w:ind w:left="40" w:right="2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$71.105 to $72.1, inclusive. The reporting person undertakes to provide to the Issuer, any security holder of Issuer, or the staff of the Securities and Exchange Commission, upon request, full information regarding the number of shares sold at each separate price within the range set forth in this footnote (2).</w:t>
      </w:r>
    </w:p>
    <w:p>
      <w:pPr>
        <w:spacing w:after="0" w:line="25"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$72.105 to $72.19, inclusive. The reporting person undertakes to provide to the Issuer, any security holder of Issuer, or the staff of the Securities and Exchange Commission, upon request, full information regarding the number of shares sold at each separate price within the range set forth in this footnote (3).</w:t>
      </w:r>
    </w:p>
    <w:p>
      <w:pPr>
        <w:spacing w:after="0" w:line="25" w:lineRule="exact"/>
        <w:rPr>
          <w:rFonts w:ascii="Times New Roman" w:cs="Times New Roman" w:eastAsia="Times New Roman" w:hAnsi="Times New Roman"/>
          <w:sz w:val="13"/>
          <w:szCs w:val="13"/>
          <w:color w:val="008000"/>
        </w:rPr>
      </w:pPr>
    </w:p>
    <w:p>
      <w:pPr>
        <w:jc w:val="both"/>
        <w:ind w:left="40" w:right="280"/>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Exchange Act Rule 16a-1(a)(1), the reporting person may be deemed, solely for purposes of determining whether he is a beneficial owner of more than 10% of the common shares of the Issuer ("Common Shares"), to be the beneficial owner of the securities of the Issuer that are held by Hagedorn Partnership, L.P., a Delaware limited partnership in which the reporting person is a general partner (the "Partnership"). Represents the aggregate proportionate interest of the reporting person and those family members in whose holdings he may be deemed to have a pecuniary interest, in Common Shares held by the Partnership.</w:t>
      </w:r>
    </w:p>
    <w:p>
      <w:pPr>
        <w:sectPr>
          <w:pgSz w:w="11900" w:h="16838" w:orient="portrait"/>
          <w:cols w:equalWidth="0" w:num="1">
            <w:col w:w="11080"/>
          </w:cols>
          <w:pgMar w:left="460" w:top="216" w:right="359" w:bottom="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Kathy L. Uttley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-3175</wp:posOffset>
            </wp:positionV>
            <wp:extent cx="1306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James Hagedorn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4"/>
          <w:szCs w:val="24"/>
          <w:color w:val="auto"/>
        </w:rPr>
      </w:pPr>
    </w:p>
    <w:p>
      <w:pPr>
        <w:sectPr>
          <w:pgSz w:w="11900" w:h="16838" w:orient="portrait"/>
          <w:cols w:equalWidth="0" w:num="2">
            <w:col w:w="8640" w:space="160"/>
            <w:col w:w="2280"/>
          </w:cols>
          <w:pgMar w:left="460" w:top="216"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0171"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2025-02-03T10:54:24Z</dcterms:created>
  <dcterms:modified xsi:type="dcterms:W3CDTF">2025-02-03T10:54:24Z</dcterms:modified>
</cp:coreProperties>
</file>