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28,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5"/>
              </w:rPr>
              <w:t>OHIO</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31-1414921</w:t>
            </w: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4"/>
              </w:rPr>
              <w:t>14111 SCOTTSLAWN ROAD,</w:t>
            </w:r>
          </w:p>
        </w:tc>
        <w:tc>
          <w:tcPr>
            <w:tcW w:w="1560" w:type="dxa"/>
            <w:vAlign w:val="bottom"/>
          </w:tcPr>
          <w:p>
            <w:pPr>
              <w:spacing w:after="0"/>
              <w:rPr>
                <w:sz w:val="24"/>
                <w:szCs w:val="24"/>
                <w:color w:val="auto"/>
              </w:rPr>
            </w:pP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9"/>
              </w:rPr>
              <w:t>MARYSVILLE, OHIO</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43041</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right"/>
              <w:ind w:right="1450"/>
              <w:spacing w:after="0"/>
              <w:rPr>
                <w:sz w:val="20"/>
                <w:szCs w:val="20"/>
                <w:color w:val="auto"/>
              </w:rPr>
            </w:pPr>
            <w:r>
              <w:rPr>
                <w:rFonts w:ascii="Arial" w:cs="Arial" w:eastAsia="Arial" w:hAnsi="Arial"/>
                <w:sz w:val="18"/>
                <w:szCs w:val="18"/>
                <w:color w:val="auto"/>
              </w:rPr>
              <w:t>(937) 644-0011</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0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00" w:type="dxa"/>
            <w:vAlign w:val="bottom"/>
          </w:tcPr>
          <w:p>
            <w:pPr>
              <w:ind w:left="840"/>
              <w:spacing w:after="0"/>
              <w:rPr>
                <w:sz w:val="20"/>
                <w:szCs w:val="20"/>
                <w:color w:val="auto"/>
              </w:rPr>
            </w:pPr>
            <w:r>
              <w:rPr>
                <w:rFonts w:ascii="Arial" w:cs="Arial" w:eastAsia="Arial" w:hAnsi="Arial"/>
                <w:sz w:val="18"/>
                <w:szCs w:val="18"/>
                <w:color w:val="auto"/>
              </w:rPr>
              <w:t>Accelerated filer o</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60" w:type="dxa"/>
            <w:vAlign w:val="bottom"/>
          </w:tcPr>
          <w:p>
            <w:pPr>
              <w:jc w:val="center"/>
              <w:ind w:right="1030"/>
              <w:spacing w:after="0"/>
              <w:rPr>
                <w:sz w:val="20"/>
                <w:szCs w:val="20"/>
                <w:color w:val="auto"/>
              </w:rPr>
            </w:pPr>
            <w:r>
              <w:rPr>
                <w:rFonts w:ascii="Arial" w:cs="Arial" w:eastAsia="Arial" w:hAnsi="Arial"/>
                <w:sz w:val="18"/>
                <w:szCs w:val="18"/>
                <w:color w:val="auto"/>
                <w:w w:val="91"/>
              </w:rPr>
              <w:t>Non-accelerated filer o</w:t>
            </w:r>
          </w:p>
        </w:tc>
        <w:tc>
          <w:tcPr>
            <w:tcW w:w="2360" w:type="dxa"/>
            <w:vAlign w:val="bottom"/>
          </w:tcPr>
          <w:p>
            <w:pPr>
              <w:ind w:left="80"/>
              <w:spacing w:after="0"/>
              <w:rPr>
                <w:sz w:val="20"/>
                <w:szCs w:val="20"/>
                <w:color w:val="auto"/>
              </w:rPr>
            </w:pPr>
            <w:r>
              <w:rPr>
                <w:rFonts w:ascii="Arial" w:cs="Arial" w:eastAsia="Arial" w:hAnsi="Arial"/>
                <w:sz w:val="18"/>
                <w:szCs w:val="18"/>
                <w:color w:val="auto"/>
                <w:w w:val="98"/>
              </w:rPr>
              <w:t>Smaller reporting company o</w:t>
            </w:r>
          </w:p>
        </w:tc>
      </w:tr>
      <w:tr>
        <w:trPr>
          <w:trHeight w:val="230"/>
        </w:trPr>
        <w:tc>
          <w:tcPr>
            <w:tcW w:w="2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360" w:type="dxa"/>
            <w:vAlign w:val="bottom"/>
          </w:tcPr>
          <w:p>
            <w:pPr>
              <w:spacing w:after="0"/>
              <w:rPr>
                <w:sz w:val="20"/>
                <w:szCs w:val="20"/>
                <w:color w:val="auto"/>
              </w:rPr>
            </w:pPr>
          </w:p>
        </w:tc>
      </w:tr>
      <w:tr>
        <w:trPr>
          <w:trHeight w:val="344"/>
        </w:trPr>
        <w:tc>
          <w:tcPr>
            <w:tcW w:w="9060" w:type="dxa"/>
            <w:vAlign w:val="bottom"/>
            <w:gridSpan w:val="5"/>
          </w:tcPr>
          <w:p>
            <w:pPr>
              <w:ind w:left="240"/>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 Yes o</w:t>
            </w:r>
          </w:p>
        </w:tc>
        <w:tc>
          <w:tcPr>
            <w:tcW w:w="23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4"/>
        </w:trPr>
        <w:tc>
          <w:tcPr>
            <w:tcW w:w="9060" w:type="dxa"/>
            <w:vAlign w:val="bottom"/>
            <w:gridSpan w:val="5"/>
          </w:tcPr>
          <w:p>
            <w:pPr>
              <w:ind w:left="24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360" w:type="dxa"/>
            <w:vAlign w:val="bottom"/>
          </w:tcPr>
          <w:p>
            <w:pPr>
              <w:spacing w:after="0"/>
              <w:rPr>
                <w:sz w:val="24"/>
                <w:szCs w:val="24"/>
                <w:color w:val="auto"/>
              </w:rPr>
            </w:pPr>
          </w:p>
        </w:tc>
      </w:tr>
      <w:tr>
        <w:trPr>
          <w:trHeight w:val="432"/>
        </w:trPr>
        <w:tc>
          <w:tcPr>
            <w:tcW w:w="2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center"/>
              <w:ind w:right="1670"/>
              <w:spacing w:after="0"/>
              <w:rPr>
                <w:sz w:val="20"/>
                <w:szCs w:val="20"/>
                <w:color w:val="auto"/>
              </w:rPr>
            </w:pPr>
            <w:r>
              <w:rPr>
                <w:rFonts w:ascii="Arial" w:cs="Arial" w:eastAsia="Arial" w:hAnsi="Arial"/>
                <w:sz w:val="18"/>
                <w:szCs w:val="18"/>
                <w:color w:val="auto"/>
                <w:w w:val="88"/>
              </w:rPr>
              <w:t>Class</w:t>
            </w:r>
          </w:p>
        </w:tc>
        <w:tc>
          <w:tcPr>
            <w:tcW w:w="5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Outstanding at July 31, 2008</w:t>
            </w:r>
          </w:p>
        </w:tc>
      </w:tr>
      <w:tr>
        <w:trPr>
          <w:trHeight w:val="224"/>
        </w:trPr>
        <w:tc>
          <w:tcPr>
            <w:tcW w:w="490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Common Shares, $0.01 stated value, no par value</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gridSpan w:val="2"/>
          </w:tcPr>
          <w:p>
            <w:pPr>
              <w:jc w:val="center"/>
              <w:spacing w:after="0"/>
              <w:rPr>
                <w:sz w:val="20"/>
                <w:szCs w:val="20"/>
                <w:color w:val="auto"/>
              </w:rPr>
            </w:pPr>
            <w:r>
              <w:rPr>
                <w:rFonts w:ascii="Arial" w:cs="Arial" w:eastAsia="Arial" w:hAnsi="Arial"/>
                <w:sz w:val="18"/>
                <w:szCs w:val="18"/>
                <w:color w:val="auto"/>
                <w:w w:val="88"/>
              </w:rPr>
              <w:t>64,619,199 common shares</w:t>
            </w:r>
          </w:p>
        </w:tc>
      </w:tr>
      <w:tr>
        <w:trPr>
          <w:trHeight w:val="276"/>
        </w:trPr>
        <w:tc>
          <w:tcPr>
            <w:tcW w:w="2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631"/>
        </w:trPr>
        <w:tc>
          <w:tcPr>
            <w:tcW w:w="23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6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060" w:type="dxa"/>
            <w:vAlign w:val="bottom"/>
            <w:gridSpan w:val="20"/>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60" w:type="dxa"/>
            <w:vAlign w:val="bottom"/>
            <w:tcBorders>
              <w:top w:val="single" w:sz="8" w:color="0000EE"/>
            </w:tcBorders>
            <w:gridSpan w:val="3"/>
          </w:tcPr>
          <w:p>
            <w:pPr>
              <w:spacing w:after="0"/>
              <w:rPr>
                <w:sz w:val="24"/>
                <w:szCs w:val="24"/>
                <w:color w:val="auto"/>
              </w:rPr>
            </w:pPr>
          </w:p>
        </w:tc>
        <w:tc>
          <w:tcPr>
            <w:tcW w:w="1860" w:type="dxa"/>
            <w:vAlign w:val="bottom"/>
            <w:tcBorders>
              <w:top w:val="single" w:sz="8" w:color="0000EE"/>
            </w:tcBorders>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12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 Three and nine months ended June 28, 2008 and June 30, 2007</w:t>
              </w:r>
            </w:hyperlink>
          </w:p>
        </w:tc>
        <w:tc>
          <w:tcPr>
            <w:tcW w:w="58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Nine months ended June 28, 2008 and June 30, 2007</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2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Balance Sheets – June 28, 2008, June 30, 2007, and September 30, 2007</w:t>
              </w:r>
            </w:hyperlink>
          </w:p>
        </w:tc>
        <w:tc>
          <w:tcPr>
            <w:tcW w:w="1260" w:type="dxa"/>
            <w:vAlign w:val="bottom"/>
            <w:gridSpan w:val="2"/>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880" w:type="dxa"/>
            <w:vAlign w:val="bottom"/>
            <w:gridSpan w:val="3"/>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560" w:type="dxa"/>
            <w:vAlign w:val="bottom"/>
            <w:gridSpan w:val="3"/>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560" w:type="dxa"/>
            <w:vAlign w:val="bottom"/>
            <w:gridSpan w:val="3"/>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560" w:type="dxa"/>
            <w:vAlign w:val="bottom"/>
            <w:gridSpan w:val="3"/>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742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898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98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898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820" w:type="dxa"/>
            <w:vAlign w:val="bottom"/>
            <w:gridSpan w:val="1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Index to Exhibits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top w:val="single" w:sz="8" w:color="auto"/>
            </w:tcBorders>
            <w:gridSpan w:val="4"/>
          </w:tcPr>
          <w:p>
            <w:pPr>
              <w:jc w:val="right"/>
              <w:ind w:right="680"/>
              <w:spacing w:after="0" w:line="119" w:lineRule="exact"/>
              <w:rPr>
                <w:sz w:val="20"/>
                <w:szCs w:val="20"/>
                <w:color w:val="auto"/>
              </w:rPr>
            </w:pPr>
            <w:r>
              <w:rPr>
                <w:rFonts w:ascii="Arial" w:cs="Arial" w:eastAsia="Arial" w:hAnsi="Arial"/>
                <w:sz w:val="13"/>
                <w:szCs w:val="13"/>
                <w:b w:val="1"/>
                <w:bCs w:val="1"/>
                <w:color w:val="auto"/>
              </w:rPr>
              <w:t>JUNE 28,</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JUNE 28,</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1,170.9</w:t>
            </w: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1,098.4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2,437.6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746.9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1,596.9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registrations/recalls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206.9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559.6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SG&amp;A — product registrations/recalls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Impairment, restructuring &amp; other charges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123.3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Income from operations</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Basic net income per common share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0.35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90"/>
              </w:rPr>
              <w:t>Weighted-average common shares outstanding during the period plus dilutive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potential common shares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c>
          <w:tcPr>
            <w:tcW w:w="6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0.125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7840" w:type="dxa"/>
            <w:vAlign w:val="bottom"/>
            <w:gridSpan w:val="7"/>
          </w:tcPr>
          <w:p>
            <w:pPr>
              <w:jc w:val="center"/>
              <w:ind w:left="347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rPr>
              <w:t>JUNE 28,</w:t>
            </w: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related to refinancing</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of sale of property, plant, and equipment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Restructuring reserves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non-current items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provided by 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plant and equipment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Repayments of 6 5/8% senior subordinated notes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Purchase of common shares and related costs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fees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Payments on seller notes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Income taxes (refunded) paid</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JUNE 28,</w:t>
            </w: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1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$12.9, $12.9 and $11.4,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403.3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432.4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1,590.4</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1,323.1</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Property, plant and equipment, net of accumulated depreciation of $464.3, $406.4 and $418.8,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364.8</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477.7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2,733.9</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2,618.9</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40" w:type="dxa"/>
            <w:vAlign w:val="bottom"/>
            <w:gridSpan w:val="2"/>
          </w:tcPr>
          <w:p>
            <w:pPr>
              <w:ind w:left="3840"/>
              <w:spacing w:after="0"/>
              <w:rPr>
                <w:sz w:val="20"/>
                <w:szCs w:val="20"/>
                <w:color w:val="auto"/>
              </w:rPr>
            </w:pPr>
            <w:r>
              <w:rPr>
                <w:rFonts w:ascii="Arial" w:cs="Arial" w:eastAsia="Arial" w:hAnsi="Arial"/>
                <w:sz w:val="18"/>
                <w:szCs w:val="18"/>
                <w:color w:val="auto"/>
              </w:rPr>
              <w:t>LIABILITIES AND SHAREHOLDERS’ EQUITY</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292.1</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921.3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1,028.3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1,030.1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2,234.1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2,112.8</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2 and 12)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shares and capital in excess of $.01 stated value per share, 64.6, 63.7 and 64.1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489.6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308.1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shares, at cost: 3.6, 4.5, and 4.0 shares,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2,733.9</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2,618.9</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78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 business, which provides lawn, tree and shrub fertilization, insect control and other related services in the United States of America (the “United States” or “U.S.”) and Smith &amp; Hawken®, a leading brand in the outdoor living and gardening lifestyle category.</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 As a result of the seasonal nature of our business, results for the first nine months cannot be annualized to predict the results of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The condensed, consolidated financial statements include the accounts of Scotts Miracle-Gro and all wholly-owned and majority-owned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2007.</w:t>
      </w:r>
    </w:p>
    <w:p>
      <w:pPr>
        <w:spacing w:after="0" w:line="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Condensed, Consolidated Balance Sheet at September 30, 2007 has been derived from the audited Consolidated Balance Sheet at that date, but does not include all of the information and footnotes required by U.S. generally accepted accounting principles for complete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and are periodically adjusted for known changes in return levels. Shipping and handling costs are included in cost of sales. Scotts LawnService® revenues are recognized at the time service is provided to the customer.</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 business. The actual costs incurred by the Company on behalf of Roundup® are recovered from Monsanto through the terms of the Marketing Agreement. The reimbursement of costs for which the Company is considered the primary obligor is included in net sales.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Scotts LawnService®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The costs deferred at June 28, 2008, June 30, 2007 and September 30, 2007 were $6.6 million, $8.1 million and $5.7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awards is expensed ratably over the vesting period, generally three years. The Company uses a binomial model to determine the fair value of its option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INDEFINITE-LIVED INTANGIBLE ASSETS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SFAS 142, “Goodwill and Other Intangible Assets,” (“SFAS 142”)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Condensed, Consolidated Statement of Operations.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fiscal 2007, the Company changed the timing of its annual goodwill impairment testing from the last day of the fiscal first quarter to the first day of the fiscal fourth quarter. In addition, the Company also changed the date of its annual indefinite life intangible impairment testing to the first day of the fiscal fourth quarter. See Note 3 “Impairment, restructuring and other charges” for a discussion of the impairment analysis performed as of June 28,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Income tax expense was calculated assuming an effective tax rate of 67.5% for fiscal 2008, versus 35.5% for fiscal 2007. The increase in the effective tax rate for fiscal 2008 was primarily due to the goodwill impairment charge which is not deductible for tax purposes.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represents a reconciliation from basic net income per common share to diluted net income per common share. Basic net income per common share is computed based on the weighted-average number of common shares outstanding each period. Diluted net income per common share is computed based on the weighted-average number of common shares and dilutive potential common shares (stock options, restricted stock, performance shares and stock appreciation rights) outstanding each period. Stock options with exercise prices greater than the average market price of the underlying common shares are excluded from the computation of diluted net income per share because they are out-of-the-money. The number of out-of-the-money stock options excluded at June 28, 2008 was 2.6 million. The number of options excluded at June 30, 2007 was immaterial.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28, 2008</w:t>
            </w:r>
          </w:p>
        </w:tc>
        <w:tc>
          <w:tcPr>
            <w:tcW w:w="12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1"/>
              </w:rPr>
              <w:t>JUNE 30, 2007</w:t>
            </w: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EXCEPT PER</w:t>
            </w: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28, 2008</w:t>
            </w: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3"/>
              </w:rPr>
              <w:t>JUNE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80" w:type="dxa"/>
            <w:vAlign w:val="bottom"/>
            <w:vMerge w:val="continue"/>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SHARE DATA)</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Determination of common shares: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Average common shares outstanding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conversion of dilutive potential common shares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Diluted average common shares outstanding</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65.4</w:t>
            </w:r>
          </w:p>
        </w:tc>
        <w:tc>
          <w:tcPr>
            <w:tcW w:w="1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0.37</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1.98</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Note 4, “Recapitalization” for a discussion of the Company’s recapitalization transactions that were consummated in the second quarter of fiscal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 48 — Accounting For Uncertainty In Income Taxes — An Interpretation of FASB Statement No. 109</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July 2006, the Financial Accounting Standards Board (“FASB”) issued FASB Interpretation 48, “Accounting for Uncertainty in Income Taxes - an interpretation of FASB Statement No. 109” (“FIN 48”). This Interpretation clarifies the accounting for uncertainty in income taxes recognized in an enterprise’s financial statements in accordance with SFAS 109, “Accounting for Income Taxes.” FIN 48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as the largest amount of benefit that is greater than 50 percent likely of being realized upon ultimate settlement.</w:t>
      </w:r>
    </w:p>
    <w:p>
      <w:pPr>
        <w:spacing w:after="0" w:line="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as required, adopted FIN 48 as of the beginning of its 2008 fiscal year, resulting in a $0.4 million decrease to retained earnings at October 1, 2007. See Note 11, “Income Taxes,”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157 — Fair Value Measurements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2006, the FASB issued SFAS 157, “Fair Value Measurements” (“SFAS 157”). SFAS 157 defines fair value, establishes a framework for measuring fair value, and expands disclosures about fair value measurements. The Company will be required to adopt SFAS 157 no later than October 1, 2008, the beginning of its 2009 fiscal year. The provisions of SFAS 157 should be applied prospectively to the beginning of the fiscal year in which SFAS 157 is initially applied, except with respect to certain financial instruments as defined by SFAS 157. The Company is in the process of evaluating the impact that the adoption of SFAS 157 will have on its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159 —The Fair Value Option for Financial Assets and Financial Liabilities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Liabilities-Including an amendment of FASB Statement No. 115,”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October 1, 2008, with earlier adoption permitted. No entity is permitted to apply SFAS 159 retrospectively to fiscal years preceding the effective date unless the entity chooses early adoption. The Company is in the process of evaluating the impact that the adoption of SFAS 159 will have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141(R) – Business Combinations</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December 2007, the FASB issued SFAS 141(R), “Business Combinations,” (“SFAS 141(R)”) which replaces SFAS 141. The objective of SFAS 141(R) is to improve the relevance, representational faithfulness, and comparability of the information that a reporting entity provides in its financial reports about a business combination and its effects. SFAS 141(R) establishes principles and requirements for how the acquirer recognizes and measures in its financial statements the identifiable assets acquired, the liabilities assumed, and any noncontrolling interest in the acquiree; recognizes and measures the goodwill acquired in the business combination or a gain from a bargain purchase; and determines what information to disclose to enable users of the financial statements to evaluate the nature and financial effects of the business combination. SFAS 141(R) applies to all transactions or other events in which an entity (the acquirer) obtains control of one or more businesses (the acquiree), including those sometimes referred to as “true mergers” or “mergers of equals” and combinations achieved without the transfer of consideration. SFAS 141(R) is effective for the Company’s financial statements for the fiscal year beginning October 1, 2009. The Company is in the process of evaluating the impact that the adoption of SFAS 141(R) will have on its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160 — Noncontrolling Interests in Consolidated Financial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Statements-an amendment of ARB No. 51” (“SFAS 160”). The objective of SFAS 160 is to improve the relevance, comparability and transparency of the financial information that a reporting entity provides in its consolidated financial statements. SFAS 160 amends ARB No. 51 to establish accounting and reporting standards for the noncontrolling interest in a subsidiary and for the deconsolidation of a subsidiary. SFAS 160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of SFAS 160 should be applied prospectively as of the beginning of the fiscal year in which SFAS 160 is adopted, except for the presentation and disclosure requirements, which are to be applied retrospectively for all periods presented. SFAS 160 is effective for the Company’s financial statements for the fiscal year beginning October 1, 2009. The Company is in the process of evaluating the impact, if any, that the adoption of SFAS 160 will have on its financial statements.</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Statement of Financial Accounting Standards No. 161 — Disclosures about Derivative Instruments and Hedging Activities—an amendment of FASB Statement No. 133</w:t>
      </w:r>
    </w:p>
    <w:p>
      <w:pPr>
        <w:spacing w:after="0" w:line="5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March 2008, the FASB issued SFAS 161, “Disclosures about Derivative Instruments and Hedging Activities –an amendment of FASB Statement No. 133” (“SFAS 161”). The objective of SFAS 161 is to enhance the current disclosure framework in Statement 133 and improve the transparency of financial reporting for derivative instruments and hedging activities. SFAS 161 requires entities to provide enhanced disclosures about (a) how and why an entity uses derivative instruments, (b) how derivative instruments and related hedged items are accounted for under Statement 133 and its related interpretations, and</w:t>
      </w:r>
    </w:p>
    <w:p>
      <w:pPr>
        <w:spacing w:after="0" w:line="2" w:lineRule="exact"/>
        <w:rPr>
          <w:sz w:val="20"/>
          <w:szCs w:val="20"/>
          <w:color w:val="auto"/>
        </w:rPr>
      </w:pPr>
    </w:p>
    <w:p>
      <w:pPr>
        <w:ind w:right="120"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affect an entity’s financial position, financial performance and cash flows. SFAS 161 is effective for the Company’s financial statements for the fiscal year beginning October 1, 2010. The Company is in the process of evaluating the impact, if any, that the adoption of SFAS 161 will have on its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 2008 REGISTRATION AND PRODUCT RECALL MATTERS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March 2008, the Company announced a voluntary recall of certain wild bird food products which had been treated with pest control products labeled for use on certain stored grains that can be processed for human and/or animal consumption. However, these pest control products were not labeled for use on wild bird food products. These products were treated with pest control products to avoid insect infestations, especially at retail stores, a practice which pre-dates the Company’s acquisition of Gutwein &amp; Co., Inc. in November 2005.</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April 2008, the Company, in cooperation with an investigation by the U.S. Environmental Protection Agency (“USEPA”), announced a recall of certain consumer lawn and garden products and a Scotts LawnService® (“SLS”) product. These products contain active ingredients that require USEPA registrations before they can be marketed to consumers or used by SLS. An investigation led by the USEPA, with the U.S. Department of Justice (the “USDOJ”), revealed that valid registrations for these products either had not been obtained or that the products were not properly labeled. To date, the evidence indicates that an employee of the Company, since terminated, apparently deliberately circumvented Company policies and USEPA regulations by failing to obtain valid registrations for the products and/or causing invalid product registration forms to be submitted to regulators. Since April, the Company has cooperated with the USEPA in conducting an internal investigation of its pesticide product registrations which has resulted in the identification of additional registration issues that have been disclosed to the USEPA. As previously disclosed, one of the issues identified by the Company resulted in the issuance by the USEPA of a stop sale order for the products in question, including Ortho® Home Defense Max® Perimeter &amp; Indoor Insect Killer, a pest control product that is a significant component of the Ortho® portfolio of products. However, as also previously reported, shortly after issuing the stop sale order, the USEPA permitted the Company to continue to sell the Home Defense Max® products pursuant to USEPA instructions. In addition, as previously disclosed, the Company has agreed with the USEPA on a Compliance Review Plan for conducting an independent review of the Company’s pesticide product registration records. This independent review is currently under way and, given the extensive nature of the review, appears likely to result in the identification of additional product registration issues.</w:t>
      </w:r>
    </w:p>
    <w:p>
      <w:pPr>
        <w:spacing w:after="0" w:line="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Currently, the Company expects costs related to the recalls and known registration issues to range from $55 to $60 million, exclusive of potential fines and/or penalties. No reserves have been established with respect to any potential civil or criminal fines or penalties at the state and/or federal level related to the product registration issues as the scope and magnitude of such amounts are not currently estimable. However, it is possible that such fines and/or penalties could be material and have an adverse effect on the Company’s financial condition and results of operations.</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and nine month periods ended June 28, 2008, the Company reversed sales associated with estimated returns of the recalled products, recorded an impairment estimate for affected inventory, and accrued other registration and recall-related costs. The following tables summarize the impact of the product registration and recall matters on the results of operations and accrued liabilities and inventory reserves: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6"/>
              </w:rPr>
              <w:t>JUNE 28, 2008</w:t>
            </w:r>
          </w:p>
        </w:tc>
        <w:tc>
          <w:tcPr>
            <w:tcW w:w="62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28,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registrations/recalls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SG&amp;A – product registrations/recalls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RESERVES AT</w:t>
            </w:r>
          </w:p>
        </w:tc>
        <w:tc>
          <w:tcPr>
            <w:tcW w:w="14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RESERVES</w:t>
            </w:r>
          </w:p>
        </w:tc>
        <w:tc>
          <w:tcPr>
            <w:tcW w:w="220" w:type="dxa"/>
            <w:vAlign w:val="bottom"/>
          </w:tcPr>
          <w:p>
            <w:pPr>
              <w:spacing w:after="0"/>
              <w:rPr>
                <w:sz w:val="12"/>
                <w:szCs w:val="12"/>
                <w:color w:val="auto"/>
              </w:rPr>
            </w:pPr>
          </w:p>
        </w:tc>
        <w:tc>
          <w:tcPr>
            <w:tcW w:w="14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COSTS AND</w:t>
            </w:r>
          </w:p>
        </w:tc>
        <w:tc>
          <w:tcPr>
            <w:tcW w:w="6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RESERVES AT</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CHANGES IN</w:t>
            </w:r>
          </w:p>
        </w:tc>
        <w:tc>
          <w:tcPr>
            <w:tcW w:w="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MARCH 29, 2008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USED</w:t>
            </w:r>
          </w:p>
        </w:tc>
        <w:tc>
          <w:tcPr>
            <w:tcW w:w="220" w:type="dxa"/>
            <w:vAlign w:val="bottom"/>
          </w:tcPr>
          <w:p>
            <w:pPr>
              <w:spacing w:after="0"/>
              <w:rPr>
                <w:sz w:val="14"/>
                <w:szCs w:val="14"/>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b w:val="1"/>
                <w:bCs w:val="1"/>
                <w:color w:val="auto"/>
              </w:rPr>
              <w:t>ESTIMATES</w:t>
            </w:r>
          </w:p>
        </w:tc>
        <w:tc>
          <w:tcPr>
            <w:tcW w:w="6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JUNE 28, 2008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 returns – product recalls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sales returns – product recalls</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inventory</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Accrued liabilities and inventory reserves</w:t>
            </w:r>
          </w:p>
        </w:tc>
        <w:tc>
          <w:tcPr>
            <w:tcW w:w="1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jc w:val="right"/>
              <w:ind w:right="144"/>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20" w:type="dxa"/>
            <w:vAlign w:val="bottom"/>
          </w:tcPr>
          <w:p>
            <w:pPr>
              <w:spacing w:after="0"/>
              <w:rPr>
                <w:sz w:val="24"/>
                <w:szCs w:val="24"/>
                <w:color w:val="auto"/>
              </w:rPr>
            </w:pPr>
          </w:p>
        </w:tc>
        <w:tc>
          <w:tcPr>
            <w:tcW w:w="1740" w:type="dxa"/>
            <w:vAlign w:val="bottom"/>
            <w:gridSpan w:val="2"/>
          </w:tcPr>
          <w:p>
            <w:pPr>
              <w:jc w:val="right"/>
              <w:ind w:right="279"/>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comprehensive investigation into the Company’s product registrations continues, and this investigation may result in future state or federal action with respect to additional product registration issues. Until such investigation is complete, the Company cannot fully quantify the extent of additional issues or their consequences. Scotts Miracle-Gro is committed to providing its customers and consumers with products of superior quality and value to enhance their lawns, gardens and overall outdoor living environments. The Company believes consumers have come to trust our brands based on the superior quality and value they deliver, and that trust is highly valued. The Company is also committed to conducting business with the highest degree of ethical standards and in adherence to the law. The Company is disappointed in these recent occurrences and is working diligently to address the issues, including, as described above, retaining independent firms to conduct examinations of existing product registrations and to recommend enhancements to the Company’s product registration compliance and control processes. However, these events may nevertheless have a negative impact on future demand for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3. IMPAIRMENT, RESTRUCTURING AND OTHER CHARGES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SFAS 142, goodwill and indefinite-lived intangible assets are not subject to amortization. Goodwill and indefinite-lived intangible assets are reviewed for impairment by applying a fair-value based test on an annual basis or more frequently if circumstances indicate impairment may have occurred. The Company assesses goodwill for impairment by comparing the carrying value of its reporting units to their respective fair values and reviewing the Company’s market value of invested capital. The Company’s reporting units are at or are one level below its reportable segments. Management engages an independent valuation firm to assist in its impairment assessment reviews. The Company determines the fair value of its reporting units primarily utilizing discounted cash flows and incorporates assumptions it believes marketplace participants would utilize. The Company also uses comparative market multiples and other factors to corroborate the discounted cash flow results used. The value of all indefinite-lived tradenames was determined using a royalty savings methodology similar to that employed when the associated businesses were acquired but using updated estimates of sales, cash flow and profitability.</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1, during the third quarter of fiscal 2007, the Company changed the timing of its annual goodwill impairment testing from the last day of the fiscal first quarter to the first day of the fiscal fourth quarter. As such, annual impairment testing for fiscal 2007 was performed as of December 30, 2006 and again as of July 1, 2007.</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SFAS 144, “Accounting for the Impairment or Disposal of Long-Lived Assets” (“SFAS 144”), the Company also evaluates the recoverability of its other long-lived assets, including amortizing intangible assets, if circumstances indicate impairment may have occurred. This analysis is performed by comparing the carrying values of these assets to their expected future undiscounted cash flows. If such analysis indicates that the carrying value of the respective asset is not recoverable, the carrying value of asset is reduced to its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FISCAL 2008</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a significant decline in the market value of the Company’s common stock during the latter half of the third fiscal quarter ended June 28, 2008, the Company’s market value of invested capital was approximately 60% of the similar impairment metric used in our fourth quarter fiscal 2007 annual impairment testing. Management determined this was an indicator of possible goodwill impairment and, therefore, interim impairment testing was performed as of June 28, 2008.</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third quarter fiscal 2008 interim impairment review resulted in a non-cash charge of $123.3 million, $101.9 million net of taxes, to reflect the decline in the fair value of certain goodwill and other assets as evidenced by the recent decline in the Company’s common stock. Of this impairment charge, $80.8 million was for goodwill, $23.2 million related to indefinite-lived tradenames, $18.3 million was for SFAS 144 long-lived assets and $1.0 million related to inventory. On a reportable segment basis, $71.8 million of the impairment was in Global Consumer, $31.4 million of the charge was in Global Professional, with the remaining $20.1 million of impairment in Corporate &amp; Other. The goodwill portion of this impairment charge is an estimate, as management is in the process of performing the required SFAS 142 Step 2 goodwill impairment evaluation for the associated reporting units as of the date of this report. The Company anticipates finalizing this SFAS 142 Step 2 goodwill impairment evaluation in the fourth quarter of fiscal 2008 and, if necessary, will update the goodwill impairment charge during that reporting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no restructuring and other charges in the three and nine month periods ended June 28,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FISCAL 2007</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no goodwill or indefinite-lived intangible asset impairment charges or restructuring and other charges in the three and nine month periods ended June 30, 2007.</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reserves and reserve activity for accrued restructuring and other charges, which are included in “Other current liabilities” in the Condensed, Consolidated Balance Sheets:</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6350</wp:posOffset>
            </wp:positionV>
            <wp:extent cx="15690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ind w:left="8840"/>
        <w:spacing w:after="0"/>
        <w:tabs>
          <w:tab w:leader="none" w:pos="10380" w:val="left"/>
        </w:tabs>
        <w:rPr>
          <w:sz w:val="20"/>
          <w:szCs w:val="20"/>
          <w:color w:val="auto"/>
        </w:rPr>
      </w:pPr>
      <w:r>
        <w:rPr>
          <w:rFonts w:ascii="Arial" w:cs="Arial" w:eastAsia="Arial" w:hAnsi="Arial"/>
          <w:sz w:val="14"/>
          <w:szCs w:val="14"/>
          <w:b w:val="1"/>
          <w:bCs w:val="1"/>
          <w:u w:val="single" w:color="auto"/>
          <w:color w:val="auto"/>
        </w:rPr>
        <w:t>JUNE 28, 2008</w:t>
      </w:r>
      <w:r>
        <w:rPr>
          <w:sz w:val="20"/>
          <w:szCs w:val="20"/>
          <w:color w:val="auto"/>
        </w:rPr>
        <w:tab/>
      </w:r>
      <w:r>
        <w:rPr>
          <w:rFonts w:ascii="Arial" w:cs="Arial" w:eastAsia="Arial" w:hAnsi="Arial"/>
          <w:sz w:val="13"/>
          <w:szCs w:val="13"/>
          <w:b w:val="1"/>
          <w:bCs w:val="1"/>
          <w:u w:val="single" w:color="auto"/>
          <w:color w:val="auto"/>
        </w:rPr>
        <w:t>JUNE 30, 2007</w:t>
      </w:r>
    </w:p>
    <w:p>
      <w:pPr>
        <w:ind w:left="9560"/>
        <w:spacing w:after="0" w:line="233" w:lineRule="auto"/>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1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Payments and other</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end of period</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 RECAPITALIZATION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December 12, 2006, Scotts Miracle-Gro announced a recapitalization plan to return $750 million to its shareholders. This plan expanded and accelerated the previously announced five-year $500 million share repurchase program (which was canceled) under which Scotts Miracle-Gro repurchased 2.0 million of its common shares for $87.9 million during fiscal 2006. Pursuant to the recapitalization plan, on February 14, 2007, Scotts Miracle-Gro completed a modified “Dutch auction” tender offer, resulting in the repurchase of 4.5 million of its common shares for an aggregate purchase price of $245.5 million ($54.50 per share). On February 16, 2007, the Board of Directors of Scotts Miracle-Gro declared a special one-time cash dividend of $8.00 per share ($508 million in the aggregate), which was paid on March 5, 2007, to shareholders of record on February 26, 2007.</w:t>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order to fund these transactions, Scotts Miracle-Gro and certain of its subsidiaries entered into credit facilities aggregating $2.15 billion and terminated its prior credit facility. As part of this debt restructuring, Scotts Miracle-Gro also conducted a cash tender offer to retire its outstanding 6 5/8% senior subordinated notes in an aggregate principal amount of $200 million. Reference should be made to Note 7, “Debt” for further information as to the credit facilities and the repayment and termination of the prior credit facility and the 6 5/8% senior subordinated notes.</w:t>
      </w:r>
    </w:p>
    <w:p>
      <w:pPr>
        <w:spacing w:after="0" w:line="6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 programs, as well as the price at which the awards may be exercised. Reference should be made to Note 10, “Stock-Based Compensation Awards” for further information.</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interest expense will be significantly higher subsequent to the recapitalization as a result of the borrowings incurred to fund the cash returned to shareholders. The following pro forma financial information has been compiled as if the Company had completed the recapitalization transactions as of October 1, 2006 for fiscal 2007. Borrowing rates in effect as of March 30, 2007 were used to compute pro forma interest expense. As the recapitalization involved a share repurchase, pro forma diluted common shares are also provided. No pro forma adjustments are necessary for the three and nine month periods ended June 28, 2008 and the three month period ended June 30, 2007 as the recapitalization transactions were consummated prior to the start of those periods.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INFORMATION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JUNE 30,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 MILLIONS EXCEPT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as reported</w:t>
            </w:r>
          </w:p>
        </w:tc>
        <w:tc>
          <w:tcPr>
            <w:tcW w:w="12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Add back reported interest expense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 back costs related to refinancing</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Deduct pro forma interest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1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Pro forma income taxes</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2"/>
          </w:tcPr>
          <w:p>
            <w:pPr>
              <w:spacing w:after="0"/>
              <w:rPr>
                <w:sz w:val="20"/>
                <w:szCs w:val="20"/>
                <w:color w:val="auto"/>
              </w:rPr>
            </w:pPr>
            <w:r>
              <w:rPr>
                <w:rFonts w:ascii="Arial" w:cs="Arial" w:eastAsia="Arial" w:hAnsi="Arial"/>
                <w:sz w:val="18"/>
                <w:szCs w:val="18"/>
                <w:color w:val="auto"/>
              </w:rPr>
              <w:t>Pro forma basic net income per common share</w:t>
            </w:r>
          </w:p>
        </w:tc>
        <w:tc>
          <w:tcPr>
            <w:tcW w:w="1200" w:type="dxa"/>
            <w:vAlign w:val="bottom"/>
            <w:gridSpan w:val="3"/>
          </w:tcPr>
          <w:p>
            <w:pPr>
              <w:ind w:left="110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net income per common share</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2"/>
          </w:tcPr>
          <w:p>
            <w:pPr>
              <w:spacing w:after="0"/>
              <w:rPr>
                <w:sz w:val="20"/>
                <w:szCs w:val="20"/>
                <w:color w:val="auto"/>
              </w:rPr>
            </w:pPr>
            <w:r>
              <w:rPr>
                <w:rFonts w:ascii="Arial" w:cs="Arial" w:eastAsia="Arial" w:hAnsi="Arial"/>
                <w:sz w:val="18"/>
                <w:szCs w:val="18"/>
                <w:color w:val="auto"/>
              </w:rPr>
              <w:t>Reported interest expense</w:t>
            </w:r>
          </w:p>
        </w:tc>
        <w:tc>
          <w:tcPr>
            <w:tcW w:w="1200" w:type="dxa"/>
            <w:vAlign w:val="bottom"/>
            <w:gridSpan w:val="3"/>
          </w:tcPr>
          <w:p>
            <w:pPr>
              <w:ind w:left="110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Incremental interest on recapitalization borrowings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Credit facilities interest rate differential</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Incremental amortization of credit facilities fees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Pro forma interest expense</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effective tax rate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JUNE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Incremental full period impact of repurchased common shares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common shares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Incremental full period impact of repurchased common shares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Impact on dilutive potential common shares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common shares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5. DETAIL OF INVENTORIES, NET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net of provisions for slow moving and obsolete inventory of $28.3 million, $15.8 million, and $15.6 million, as of June 28, 2008, June 30, 2007 and September 30, 2007, respectively, consisted of:</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28,</w:t>
            </w:r>
          </w:p>
        </w:tc>
        <w:tc>
          <w:tcPr>
            <w:tcW w:w="4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4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85"/>
              </w:rPr>
              <w:t>(IN</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MILLIONS)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Work-in-process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120" w:type="dxa"/>
            <w:vAlign w:val="bottom"/>
            <w:vMerge w:val="restart"/>
          </w:tcPr>
          <w:p>
            <w:pPr>
              <w:jc w:val="right"/>
              <w:ind w:right="165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6. MARKETING AGREEMENT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Monsanto’s exclusive agent for the domestic and international marketing and distribution of consumer Roundup®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 business. The annual contribution payment is defined in the Marketing Agreement as $20 million.</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selling and marketing support, on behalf of Monsanto in the conduct of the consumer Roundup®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$15.7 million and $12.0 million for the three-month periods and $45.8 million and $32.1 million for the nine-month periods ended June 28, 2008 and June 30, 2007,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the net commission earned under the Marketing Agreement and included in “Net sales”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JUNE 28, 2008</w:t>
            </w:r>
          </w:p>
        </w:tc>
        <w:tc>
          <w:tcPr>
            <w:tcW w:w="320" w:type="dxa"/>
            <w:vAlign w:val="bottom"/>
          </w:tcPr>
          <w:p>
            <w:pPr>
              <w:spacing w:after="0"/>
              <w:rPr>
                <w:sz w:val="12"/>
                <w:szCs w:val="12"/>
                <w:color w:val="auto"/>
              </w:rPr>
            </w:pPr>
          </w:p>
        </w:tc>
        <w:tc>
          <w:tcPr>
            <w:tcW w:w="11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1"/>
              </w:rPr>
              <w:t>JUNE 30, 2007</w:t>
            </w:r>
          </w:p>
        </w:tc>
        <w:tc>
          <w:tcPr>
            <w:tcW w:w="6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28, 2008</w:t>
            </w:r>
          </w:p>
        </w:tc>
        <w:tc>
          <w:tcPr>
            <w:tcW w:w="12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3"/>
              </w:rPr>
              <w:t>JUNE 30, 2007</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29.0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50.7</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Contribution expenses</w:t>
            </w:r>
          </w:p>
        </w:tc>
        <w:tc>
          <w:tcPr>
            <w:tcW w:w="24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23"/>
        </w:trPr>
        <w:tc>
          <w:tcPr>
            <w:tcW w:w="5820" w:type="dxa"/>
            <w:vAlign w:val="bottom"/>
          </w:tcPr>
          <w:p>
            <w:pPr>
              <w:ind w:left="220"/>
              <w:spacing w:after="0"/>
              <w:rPr>
                <w:sz w:val="20"/>
                <w:szCs w:val="20"/>
                <w:color w:val="auto"/>
              </w:rPr>
            </w:pPr>
            <w:r>
              <w:rPr>
                <w:rFonts w:ascii="Arial" w:cs="Arial" w:eastAsia="Arial" w:hAnsi="Arial"/>
                <w:sz w:val="18"/>
                <w:szCs w:val="18"/>
                <w:color w:val="auto"/>
              </w:rPr>
              <w:t>Net commission income</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23.8</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12.0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45.8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23"/>
        </w:trPr>
        <w:tc>
          <w:tcPr>
            <w:tcW w:w="5820" w:type="dxa"/>
            <w:vAlign w:val="bottom"/>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35.8</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Marketing Agreement has no definite term except as it relates to the European Union (“EU”) countries. With respect to the EU countries, the term of the Marketing Agreement had previously been extended through September 30, 2008, with the option of both parties to renew for two additional successive terms ending on September 30, 2015 and 2018, with a separate determination being made by the parties at least six months prior to the expiration of each such term as to whether to commence a subsequent renewal term. On March 28, 2008, the parties agreed to extend the EU term of the Marketing Agreement through September 30, 2011 plus up to two additional automatic renewal periods of two years each.</w:t>
      </w:r>
    </w:p>
    <w:p>
      <w:pPr>
        <w:spacing w:after="0" w:line="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Marketing Agreement provides Monsanto with the right to terminate the Marketing Agreement for an event of default (as defined in the Marketing Agreement) by the Company or a change in control of Monsanto or the sale of the consumer Roundup® business. The Marketing Agreement provides the Company with the right to terminate the Marketing Agreement in certain circumstances including an event of default by Monsanto or the sale of the consumer Roundup®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 business prior to September 30, 2008, the Company will be entitled to a termination fee of $100 million. If the Company terminates the Marketing Agreement upon an uncured material breach, material fraud or material willful misconduct by Monsanto, it is entitled to receive a termination fee of $100 million if the termination occurs prior to September 30, 2008. For periods subsequent to September 30, 2008, the termination fee is calculated as a percentage of the value of the RoundUp® business exceeding a certain threshold, but in no event less than $16 million. If Monsanto were to terminate the Marketing Agreement for cause, the Company would not be entitled to any termination fee, and it would lose all, or a significant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w:t>
      </w:r>
    </w:p>
    <w:p>
      <w:pPr>
        <w:spacing w:after="0" w:line="4" w:lineRule="exact"/>
        <w:rPr>
          <w:sz w:val="20"/>
          <w:szCs w:val="20"/>
          <w:color w:val="auto"/>
        </w:rPr>
      </w:pPr>
    </w:p>
    <w:p>
      <w:pPr>
        <w:ind w:left="5620" w:right="3860" w:hanging="5612"/>
        <w:spacing w:after="0" w:line="480"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a cumulative three-fiscal-year period; or (2) by more than 5% for each of two consecutive years.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7.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as of June 28, 2008, June 30, 2007, and September 30, 2007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28,</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483.4</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455.2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469.2</w:t>
            </w: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558.6</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Master Accounts Receivable Purchase Agreement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222.6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23"/>
        </w:trPr>
        <w:tc>
          <w:tcPr>
            <w:tcW w:w="7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1,320.4</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1,267.3</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r>
      <w:tr>
        <w:trPr>
          <w:trHeight w:val="223"/>
        </w:trPr>
        <w:tc>
          <w:tcPr>
            <w:tcW w:w="7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1,028.3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1,030.1</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recapitalization transactions discussed in Note 4, “Recapitalization,” Scotts Miracle-Gro and certain of its subsidiaries entered into the following loan facilities totaling up to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 $200 million in revolving credit and/or term credit commitments, subject to approval from the lenders. Borrowings may be made in various currencies including U.S. dollars, Euros, British pounds sterling, Australian dollars and Canadian dollars. The $2.15 billion senior secured credit facilities replaced the Company’s former $1.05 billion senior credit facility. The Company also retired all of the 6 5/8% senior subordinated notes under the terms of a tender offer, at an aggregate cost of $209.6 million including an early redemption premium. Amortization payments on the term loan portion of the credit facilities began on September 30, 2007 and will continue quarterly through 2012. As of June 28, 2008, the cumulative total amortization payments on the term loan were $5.6 million, reducing the balance of the Company’s term loans and effectively reducing the size of the credit facilities.</w:t>
      </w:r>
    </w:p>
    <w:p>
      <w:pPr>
        <w:spacing w:after="0" w:line="5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28, 2008, there was $1,081.6 million of availability under the revolving loan facility. Under the revolving loan facility, the Company has the ability to issue letter of credit commitments up to $65.0 million. At June 28, 2008, the Company had letters of credit in the amount of $25.0 million outstanding.</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June 28, 2008, the Company had outstanding interest rate swaps with major financial institutions that effectively converted a portion of variable-rate debt denominated in the Euro, British pound and U.S. dollar to a fixed rate. The swap agreements have a total U.S. dollar equivalent notional amount of $724.9 million at June 28, 2008. The term, expiration date and rates of these swaps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NOTIONAL</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rPr>
              <w:t>AMOUNT IN</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EXPIRATION</w:t>
            </w:r>
          </w:p>
        </w:tc>
        <w:tc>
          <w:tcPr>
            <w:tcW w:w="54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CURRENCY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USD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DATE</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11/17/2008</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Euro</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67.5</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11/17/2008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 years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3/31/2009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U.S. dollar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200.0</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3/31/2010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termination date of April 8, 2009, or such later date as may be extended by mutual agreement of the Company and its lenders. The terms of the New MARP Agreement are substantially the same as the Original MARP Agreement. The New MARP Agreement provides for the discounted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caption “Accounts receivable pledged” on the accompanying Condensed, Consolidated Balance Sheets in the amounts of $361.2 million, 307.8 million and $149.5 million as of June 28, 2008, June 30, 2007 and September 30, 2007, respectively, represents the pool of receivables that have been designated as “sold” and serve as collateral for short-term debt in the amount of $260.2 million, $222.6 million and $64.4 million, as of those dates,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terms of all borrowing agreements at June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components of other comprehensive income and total comprehensive income for the three and nine month periods ended June 28, 2008 and June 30, 2007,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28,</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rPr>
              <w:t>JUNE 28,</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2008</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w w:val="85"/>
              </w:rPr>
              <w:t>(IN</w:t>
            </w: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22.6</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23.8</w:t>
            </w: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of derivative instruments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2</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2</w:t>
            </w: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9. RETIREMENT AND RETIREE MEDICAL PLANS COST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gridSpan w:val="9"/>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9"/>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28,</w:t>
            </w: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Borders>
              <w:top w:val="single" w:sz="8" w:color="auto"/>
            </w:tcBorders>
            <w:gridSpan w:val="5"/>
          </w:tcPr>
          <w:p>
            <w:pPr>
              <w:jc w:val="right"/>
              <w:ind w:right="388"/>
              <w:spacing w:after="0" w:line="119" w:lineRule="exact"/>
              <w:rPr>
                <w:sz w:val="20"/>
                <w:szCs w:val="20"/>
                <w:color w:val="auto"/>
              </w:rPr>
            </w:pPr>
            <w:r>
              <w:rPr>
                <w:rFonts w:ascii="Arial" w:cs="Arial" w:eastAsia="Arial" w:hAnsi="Arial"/>
                <w:sz w:val="13"/>
                <w:szCs w:val="13"/>
                <w:b w:val="1"/>
                <w:bCs w:val="1"/>
                <w:color w:val="auto"/>
              </w:rPr>
              <w:t>JUNE 28,</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83"/>
              </w:rPr>
              <w:t>2008</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MILLIONS)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vMerge w:val="continue"/>
          </w:tcPr>
          <w:p>
            <w:pPr>
              <w:spacing w:after="0"/>
              <w:rPr>
                <w:sz w:val="12"/>
                <w:szCs w:val="12"/>
                <w:color w:val="auto"/>
              </w:rPr>
            </w:pPr>
          </w:p>
        </w:tc>
        <w:tc>
          <w:tcPr>
            <w:tcW w:w="3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vMerge w:val="continue"/>
          </w:tcPr>
          <w:p>
            <w:pPr>
              <w:spacing w:after="0"/>
              <w:rPr>
                <w:sz w:val="12"/>
                <w:szCs w:val="12"/>
                <w:color w:val="auto"/>
              </w:rPr>
            </w:pPr>
          </w:p>
        </w:tc>
        <w:tc>
          <w:tcPr>
            <w:tcW w:w="6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6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0.4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348"/>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10. STOCK-BASED COMPENSATION AWARDS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5"/>
          </w:tcPr>
          <w:p>
            <w:pPr>
              <w:spacing w:after="0"/>
              <w:rPr>
                <w:sz w:val="20"/>
                <w:szCs w:val="20"/>
                <w:color w:val="auto"/>
              </w:rPr>
            </w:pPr>
            <w:r>
              <w:rPr>
                <w:rFonts w:ascii="Arial" w:cs="Arial" w:eastAsia="Arial" w:hAnsi="Arial"/>
                <w:sz w:val="18"/>
                <w:szCs w:val="18"/>
                <w:color w:val="auto"/>
                <w:w w:val="97"/>
              </w:rPr>
              <w:t>The following is a recap of the share-based awards granted over the periods indicated:</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gridSpan w:val="10"/>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JUNE 28, 2008</w:t>
            </w:r>
          </w:p>
        </w:tc>
        <w:tc>
          <w:tcPr>
            <w:tcW w:w="94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3"/>
              </w:rPr>
              <w:t>JUNE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Options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889,700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821,200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and SARs due to recapitalization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872,147</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Performance shares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154,900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193,550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Board of Directors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stock units, Options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30,134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127,000</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Options due to recapitalization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5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202,649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share-based awards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1,114,734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2,216,546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80" w:type="dxa"/>
            <w:vAlign w:val="bottom"/>
          </w:tcPr>
          <w:p>
            <w:pPr>
              <w:spacing w:after="0"/>
              <w:rPr>
                <w:sz w:val="20"/>
                <w:szCs w:val="20"/>
                <w:color w:val="auto"/>
              </w:rPr>
            </w:pPr>
            <w:r>
              <w:rPr>
                <w:rFonts w:ascii="Arial" w:cs="Arial" w:eastAsia="Arial" w:hAnsi="Arial"/>
                <w:sz w:val="18"/>
                <w:szCs w:val="18"/>
                <w:color w:val="auto"/>
              </w:rPr>
              <w:t>Aggregate fair value at grant dates (in millions)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1"/>
              </w:rPr>
              <w:t>18.7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324"/>
        </w:trPr>
        <w:tc>
          <w:tcPr>
            <w:tcW w:w="10380" w:type="dxa"/>
            <w:vAlign w:val="bottom"/>
            <w:gridSpan w:val="20"/>
          </w:tcPr>
          <w:p>
            <w:pPr>
              <w:spacing w:after="0"/>
              <w:rPr>
                <w:sz w:val="20"/>
                <w:szCs w:val="20"/>
                <w:color w:val="auto"/>
              </w:rPr>
            </w:pPr>
            <w:r>
              <w:rPr>
                <w:rFonts w:ascii="Arial" w:cs="Arial" w:eastAsia="Arial" w:hAnsi="Arial"/>
                <w:sz w:val="18"/>
                <w:szCs w:val="18"/>
                <w:color w:val="auto"/>
                <w:w w:val="90"/>
              </w:rPr>
              <w:t>Total share-based compensation and the tax benefit recognized in compensation expense were as follows for the periods indicated (in millions):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gridSpan w:val="10"/>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68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spacing w:after="0"/>
              <w:rPr>
                <w:sz w:val="12"/>
                <w:szCs w:val="12"/>
                <w:color w:val="auto"/>
              </w:rPr>
            </w:pPr>
          </w:p>
        </w:tc>
        <w:tc>
          <w:tcPr>
            <w:tcW w:w="148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JUNE 28, 2008</w:t>
            </w:r>
          </w:p>
        </w:tc>
        <w:tc>
          <w:tcPr>
            <w:tcW w:w="9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JUNE 30, 2007</w:t>
            </w:r>
          </w:p>
        </w:tc>
        <w:tc>
          <w:tcPr>
            <w:tcW w:w="4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JUNE 28, 2008</w:t>
            </w:r>
          </w:p>
        </w:tc>
        <w:tc>
          <w:tcPr>
            <w:tcW w:w="94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3"/>
              </w:rPr>
              <w:t>JUNE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tcPr>
          <w:p>
            <w:pPr>
              <w:ind w:left="440"/>
              <w:spacing w:after="0" w:line="195" w:lineRule="exact"/>
              <w:rPr>
                <w:sz w:val="20"/>
                <w:szCs w:val="20"/>
                <w:color w:val="auto"/>
              </w:rPr>
            </w:pPr>
            <w:r>
              <w:rPr>
                <w:rFonts w:ascii="Arial" w:cs="Arial" w:eastAsia="Arial" w:hAnsi="Arial"/>
                <w:sz w:val="18"/>
                <w:szCs w:val="18"/>
                <w:color w:val="auto"/>
                <w:w w:val="87"/>
              </w:rPr>
              <w:t>2.0</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3.6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9.2</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Tax benefit recognized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ind w:left="440"/>
              <w:spacing w:after="0"/>
              <w:rPr>
                <w:sz w:val="20"/>
                <w:szCs w:val="20"/>
                <w:color w:val="auto"/>
              </w:rPr>
            </w:pPr>
            <w:r>
              <w:rPr>
                <w:rFonts w:ascii="Arial" w:cs="Arial" w:eastAsia="Arial" w:hAnsi="Arial"/>
                <w:sz w:val="18"/>
                <w:szCs w:val="18"/>
                <w:color w:val="auto"/>
                <w:w w:val="87"/>
              </w:rPr>
              <w:t>0.8</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05"/>
        </w:trPr>
        <w:tc>
          <w:tcPr>
            <w:tcW w:w="4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11. INCOME TAXES</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Company adopted FIN 48 as of October 1, 2007, the beginning of its 2008 fiscal year. After adoption, the Company continues to classify interest and penalties on tax uncertainties as a component of the provision for income taxes. As of the date of adoption, the total amount of gross unrecognized tax benefits for uncertain tax positions, including positions impacting only timing benefits, was $10.0 million (compared to $9.6 million as of September 30, 2007, prior to adoption). Of the $10.0 million accrued at the date of adoption, the amount of unrecognized tax benefits that, if recognized, would impact the effective tax rate was $9.5 million, which included accrued interest and penalties of $1.4 million and $0.8 million, respectively. As a result of adoption, the Company recognized a $0.4 million decrease to retained earnings at October 1, 2007.</w:t>
      </w:r>
    </w:p>
    <w:p>
      <w:pPr>
        <w:spacing w:after="0" w:line="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of June 28, 2008, the total amount of gross unrecognized tax benefits for uncertain tax positions, including positions impacting only timing benefits, was $9.1 million. The amount of these unrecognized tax benefits that, if recognized, would impact the effective tax rate was $8.3 million, including accrued interest and penalties of $1.5 million and $0.7 million, respectively. The reduction in unrecognized tax benefits from the date of adoption was mainly due to closing of certain statutes of limitations and a tax settlement with the State of New Jersey that was finalized in the fiscal quarter ended June 28, 2008.</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or one of its subsidiaries files income tax returns in the U.S. federal jurisdiction, and various state, local, and foreign jurisdictions. With few exceptions, the Company is no longer subject to examinations by these tax authorities for fiscal year 2004 and prior. The Company is under examination by certain foreign and U.S. state and local tax authorities. In addition, certain other tax deficiency issues and refund claims for previous years remain unresolved. The foreign audits cover income tax returns from fiscal years 2005 through 2007. There are U.S. state and local audits covering tax years 2002 through 2006 in process. The Canada Revenue Agency completed an examination of income tax returns for fiscal years 2002 and 2003 during the quarter resulting in no material modifications or adjustments to unrecognized tax benefits.</w:t>
      </w:r>
    </w:p>
    <w:p>
      <w:pPr>
        <w:spacing w:after="0" w:line="70"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Company anticipates that few of the open audits will be resolved during fiscal 2008. However, the Company does believe that some individual audits or issues may be agreed to within the next 12 months. The Company is unable to make a reasonably reliable estimate of when the cash settlements with taxing authorities may occur. Although audit outcomes and the timing of audit payments are subject to significant uncertainty, the Company does not anticipate that the resolution of these matters will result in a material change to its consolidated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12. CONTINGENCIES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are the more significant of the Company’s identified contingencies.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Registrations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10, 2008, the Company learned of a criminal investigation into certain of its product registrations which is being led by the U.S. Environmental Protection Agency (“USEPA”) and the U.S. Department of Justice (“USDOJ”), with assistance from the Ohio Department of Agriculture. To date, the evidence indicates that one of the Company’s employees, since terminated, apparently deliberately circumvented Company policies and USEPA regulations by failing to obtain valid registrations for products and/or causing invalid product registration forms to be submitted to regulators. The sale of products which lack valid registrations is a violation of federal and state law. The Company has engaged outside firms to conduct a forensic investigation into its existing product registrations and to review its product registration compliance processes and procedures. The Company’s investigation has resulted in the identification of additional registration issues that have been disclosed to the USEPA (see Note 2, “2008 Registration And Product Recall Matters”). In addition, as previously disclosed, the Company has agreed with the USEPA on a Compliance Review Plan for conducting an independent review of the Company’s pesticide product registration records. This independent review is currently under way and, given the extensive nature of the review, appears likely to result in the identification of additional product registration issues. Currently, the Company expects costs related to the recalls and known registration issues to range from $55 to $60 million, exclusive of potential fines and/or penalties.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While disappointed that the actions of one employee could cause unregistered or not properly labeled products to be marketed and sold, the Company takes full responsibility for ensuring that each of its products meets all federal and state regulations, and is safe for consumer use. The ongoing comprehensive investigation into all of the Company’s product registrations may result in future state or federal action with respect to additional product registration issues. Until such investigation is complete, the Company cannot fully quantify the extent of additional issues. Furthermore, the Company may be subject to civil or criminal fines or penalties at the state and/or federal level as a result of these product registration issues. At this time, management cannot reasonably determine the scope or magnitude of possible liabilities that could result from known or potential additional product registration issues, and no reserves for these claims have been established as of June 28, 2008. However, it is possible that such fines and/or penalties could be material and have an adverse effect on the Company’s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At June 28, 2008, $3.5 million was accrued for environmental matters. The amounts accrued are believed to be adequate to cover known environmental exposures based on current facts and estimates of likely outcomes. However, if facts and circumstances change significantly they could result in a material adverse effect on the Company’s results of operations, financial position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Horticultural Supply, Inc. (F/K/A E.C. Geiger, Inc.)</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antitrust laws. Geiger also seeks recovery of attorneys’ fees and costs. The Company has moved for summary judgment requesting dismissal of Geiger’s claims.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continues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The Company had previously sued and obtained a judgment against Geiger on April 25, 2005, based on Geiger’s default on obligations to the Company, and the Company is proceeding to collect that judgment.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condensed,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5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5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 ACQUISITIONS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were no acquisitions in the first nine months of fiscal 2008. In the first nine months of fiscal 2007, the Company continued to invest in the growth of the Scotts LawnService® business, investing $8.3 million in acquisitions, comprised of $6.5 million paid in cash and $1.8 million of notes issued and liabilities assumed.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14. SEGMENT INFORMATION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fiscal 2008, the Company is divided into the following segments —Global Consumer, Global Professional, Scotts LawnService®, and Corporate &amp; Other. These segments differ from those used in the prior year due to the realignment of the North America and International segments into the Global Consumer and Global Professional segments. The prior year amounts have been reclassified to conform with the fiscal 2008 segments. This division of reportable segments is consistent with how the segments report to and are managed by senior management of the Company.</w:t>
      </w:r>
    </w:p>
    <w:p>
      <w:pPr>
        <w:spacing w:after="0" w:line="6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improvement centers, large hardware chains, warehouse clubs, distributors, garden centers, and grocers in the United States, Canada, and Europe.</w:t>
      </w:r>
    </w:p>
    <w:p>
      <w:pPr>
        <w:spacing w:after="0" w:line="6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grass seeds,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Scotts LawnService®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 business and corporate general and administrative expenses.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segment financial information in accordance with SFAS 131, “Disclosures about Segments of an Enterprise and Related Information.”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4"/>
                <w:szCs w:val="14"/>
                <w:b w:val="1"/>
                <w:bCs w:val="1"/>
                <w:color w:val="auto"/>
                <w:w w:val="97"/>
              </w:rPr>
              <w:t>ENDED</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w w:val="97"/>
              </w:rPr>
              <w:t>ENDED</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60" w:type="dxa"/>
            <w:vAlign w:val="bottom"/>
            <w:gridSpan w:val="3"/>
          </w:tcPr>
          <w:p>
            <w:pPr>
              <w:jc w:val="right"/>
              <w:ind w:right="48"/>
              <w:spacing w:after="0" w:line="119" w:lineRule="exact"/>
              <w:rPr>
                <w:sz w:val="20"/>
                <w:szCs w:val="20"/>
                <w:color w:val="auto"/>
              </w:rPr>
            </w:pPr>
            <w:r>
              <w:rPr>
                <w:rFonts w:ascii="Arial" w:cs="Arial" w:eastAsia="Arial" w:hAnsi="Arial"/>
                <w:sz w:val="13"/>
                <w:szCs w:val="13"/>
                <w:b w:val="1"/>
                <w:bCs w:val="1"/>
                <w:color w:val="auto"/>
              </w:rPr>
              <w:t>JUNE 28,</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4"/>
          </w:tcPr>
          <w:p>
            <w:pPr>
              <w:jc w:val="right"/>
              <w:ind w:right="48"/>
              <w:spacing w:after="0" w:line="119" w:lineRule="exact"/>
              <w:rPr>
                <w:sz w:val="20"/>
                <w:szCs w:val="20"/>
                <w:color w:val="auto"/>
              </w:rPr>
            </w:pPr>
            <w:r>
              <w:rPr>
                <w:rFonts w:ascii="Arial" w:cs="Arial" w:eastAsia="Arial" w:hAnsi="Arial"/>
                <w:sz w:val="13"/>
                <w:szCs w:val="13"/>
                <w:b w:val="1"/>
                <w:bCs w:val="1"/>
                <w:color w:val="auto"/>
              </w:rPr>
              <w:t>JUNE 28,</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126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MILLIONS)</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5"/>
              </w:rPr>
              <w:t>(IN</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MILLIONS)</w:t>
            </w:r>
          </w:p>
        </w:tc>
        <w:tc>
          <w:tcPr>
            <w:tcW w:w="660" w:type="dxa"/>
            <w:vAlign w:val="bottom"/>
            <w:tcBorders>
              <w:top w:val="single" w:sz="8" w:color="auto"/>
            </w:tcBorders>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Global Consumer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935.3</w:t>
            </w:r>
          </w:p>
        </w:tc>
        <w:tc>
          <w:tcPr>
            <w:tcW w:w="860" w:type="dxa"/>
            <w:vAlign w:val="bottom"/>
            <w:gridSpan w:val="3"/>
          </w:tcPr>
          <w:p>
            <w:pPr>
              <w:jc w:val="right"/>
              <w:ind w:right="10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875.4</w:t>
            </w:r>
          </w:p>
        </w:tc>
        <w:tc>
          <w:tcPr>
            <w:tcW w:w="440" w:type="dxa"/>
            <w:vAlign w:val="bottom"/>
          </w:tcPr>
          <w:p>
            <w:pPr>
              <w:spacing w:after="0"/>
              <w:rPr>
                <w:sz w:val="18"/>
                <w:szCs w:val="18"/>
                <w:color w:val="auto"/>
              </w:rPr>
            </w:pPr>
          </w:p>
        </w:tc>
        <w:tc>
          <w:tcPr>
            <w:tcW w:w="1000" w:type="dxa"/>
            <w:vAlign w:val="bottom"/>
            <w:gridSpan w:val="5"/>
          </w:tcPr>
          <w:p>
            <w:pPr>
              <w:jc w:val="right"/>
              <w:ind w:right="8"/>
              <w:spacing w:after="0"/>
              <w:rPr>
                <w:sz w:val="20"/>
                <w:szCs w:val="20"/>
                <w:color w:val="auto"/>
              </w:rPr>
            </w:pPr>
            <w:r>
              <w:rPr>
                <w:rFonts w:ascii="Arial" w:cs="Arial" w:eastAsia="Arial" w:hAnsi="Arial"/>
                <w:sz w:val="18"/>
                <w:szCs w:val="18"/>
                <w:color w:val="auto"/>
              </w:rPr>
              <w:t>$ 1,922.7</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$ 1,872.3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Professional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98.7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260.6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Scotts LawnService®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158.1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54.9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Segment total</w:t>
            </w:r>
          </w:p>
        </w:tc>
        <w:tc>
          <w:tcPr>
            <w:tcW w:w="2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1,098.6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2,462.4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2,363.5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Roundup® amortization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Product registrations/recalls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1,170.9</w:t>
            </w:r>
          </w:p>
        </w:tc>
        <w:tc>
          <w:tcPr>
            <w:tcW w:w="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$ 1,098.4</w:t>
            </w:r>
          </w:p>
        </w:tc>
        <w:tc>
          <w:tcPr>
            <w:tcW w:w="4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$ 2,437.6</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$ 2,362.9</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Consumer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207.9</w:t>
            </w:r>
          </w:p>
        </w:tc>
        <w:tc>
          <w:tcPr>
            <w:tcW w:w="86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4"/>
              </w:rPr>
              <w:t>211.0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349.1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Global Professional</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Corporate &amp; Other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w w:val="93"/>
              </w:rPr>
              <w:t>(11.6)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231.5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Roundup® amortization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amortization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Product registrations/recalls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2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227.1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28,</w:t>
            </w:r>
          </w:p>
        </w:tc>
        <w:tc>
          <w:tcPr>
            <w:tcW w:w="10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2007</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gridSpan w:val="8"/>
          </w:tcPr>
          <w:p>
            <w:pPr>
              <w:jc w:val="right"/>
              <w:ind w:right="569"/>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Global Consumer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$ 2,038.8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$ 1,902.2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1,551.9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Professional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285.6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4420" w:type="dxa"/>
            <w:vAlign w:val="bottom"/>
          </w:tcPr>
          <w:p>
            <w:pPr>
              <w:ind w:left="420"/>
              <w:spacing w:after="0"/>
              <w:rPr>
                <w:sz w:val="20"/>
                <w:szCs w:val="20"/>
                <w:color w:val="auto"/>
              </w:rPr>
            </w:pPr>
            <w:r>
              <w:rPr>
                <w:rFonts w:ascii="Arial" w:cs="Arial" w:eastAsia="Arial" w:hAnsi="Arial"/>
                <w:sz w:val="18"/>
                <w:szCs w:val="18"/>
                <w:color w:val="auto"/>
              </w:rPr>
              <w:t>Scotts LawnService®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4"/>
          </w:tcPr>
          <w:p>
            <w:pPr>
              <w:jc w:val="right"/>
              <w:ind w:right="168"/>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255.7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23"/>
        </w:trPr>
        <w:tc>
          <w:tcPr>
            <w:tcW w:w="4420" w:type="dxa"/>
            <w:vAlign w:val="bottom"/>
          </w:tcPr>
          <w:p>
            <w:pPr>
              <w:ind w:left="420"/>
              <w:spacing w:after="0"/>
              <w:rPr>
                <w:sz w:val="20"/>
                <w:szCs w:val="20"/>
                <w:color w:val="auto"/>
              </w:rPr>
            </w:pPr>
            <w:r>
              <w:rPr>
                <w:rFonts w:ascii="Arial" w:cs="Arial" w:eastAsia="Arial" w:hAnsi="Arial"/>
                <w:sz w:val="18"/>
                <w:szCs w:val="18"/>
                <w:color w:val="auto"/>
              </w:rPr>
              <w:t>Consolidated</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$ 2,733.9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$ 2,618.9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Segment operating income or loss represents earnings before amortization of intangible assets, interest and taxes, since this is the measure of profitability used by management. Accordingly, the Corporate &amp; Other operating loss for the three and nine month periods ended June 28, 2008 and June 30, 2007 includes unallocated corporate general and administrative expenses, and certain other income/expense items not allocated to the business segments.</w:t>
      </w:r>
    </w:p>
    <w:p>
      <w:pPr>
        <w:spacing w:after="0" w:line="3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 the second largest residential lawn care service business, and Smith &amp; Hawken®, a leading brand in the outdoor living and garden lifestyle category. In fiscal 2008, our operations are divided into the following reportable segments: Global Consumer, Global Professional, Scotts LawnService® and Corporate &amp; Other. The Corporate &amp; Other segment consists of the Smith &amp; Hawken® business and corporate general and administrative expenses.</w:t>
      </w:r>
    </w:p>
    <w:p>
      <w:pPr>
        <w:spacing w:after="0" w:line="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a leading consumer branded lawn and garden company, our marketing efforts are largely focused on building brand and product level awareness, to inspire consumers and create retail demand. We have successfully applied this consumer marketing focus for a number of years, consistently investing approximately 5% of our annual net sales in advertising to support and promote our products and brands. We continually explore new and innovative ways to communicate with consumers. We believe that we receive a significant return on these marketing expenditures and anticipate a similar level of future advertising and marketing investments, with the continuing objective of driving category growth and increasing market share.</w:t>
      </w:r>
    </w:p>
    <w:p>
      <w:pPr>
        <w:spacing w:after="0" w:line="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Percent Net Sales by Quarter</w:t>
            </w:r>
          </w:p>
        </w:tc>
        <w:tc>
          <w:tcPr>
            <w:tcW w:w="9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2220" w:type="dxa"/>
            <w:vAlign w:val="bottom"/>
            <w:tcBorders>
              <w:bottom w:val="single" w:sz="8" w:color="auto"/>
            </w:tcBorders>
          </w:tcPr>
          <w:p>
            <w:pPr>
              <w:jc w:val="right"/>
              <w:ind w:right="916"/>
              <w:spacing w:after="0" w:line="142" w:lineRule="exact"/>
              <w:rPr>
                <w:sz w:val="20"/>
                <w:szCs w:val="20"/>
                <w:color w:val="auto"/>
              </w:rPr>
            </w:pPr>
            <w:r>
              <w:rPr>
                <w:rFonts w:ascii="Arial" w:cs="Arial" w:eastAsia="Arial" w:hAnsi="Arial"/>
                <w:sz w:val="14"/>
                <w:szCs w:val="14"/>
                <w:b w:val="1"/>
                <w:bCs w:val="1"/>
                <w:color w:val="auto"/>
              </w:rPr>
              <w:t>2006</w:t>
            </w:r>
          </w:p>
        </w:tc>
        <w:tc>
          <w:tcPr>
            <w:tcW w:w="90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9.3%</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34.6%</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33.6%</w:t>
            </w:r>
          </w:p>
        </w:tc>
        <w:tc>
          <w:tcPr>
            <w:tcW w:w="900" w:type="dxa"/>
            <w:vAlign w:val="bottom"/>
          </w:tcPr>
          <w:p>
            <w:pPr>
              <w:ind w:left="240"/>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38.2%</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38.9%</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38.0%</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17.7%</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18.2%</w:t>
            </w:r>
          </w:p>
        </w:tc>
        <w:tc>
          <w:tcPr>
            <w:tcW w:w="900" w:type="dxa"/>
            <w:vAlign w:val="bottom"/>
          </w:tcPr>
          <w:p>
            <w:pPr>
              <w:ind w:left="240"/>
              <w:spacing w:after="0"/>
              <w:rPr>
                <w:sz w:val="20"/>
                <w:szCs w:val="20"/>
                <w:color w:val="auto"/>
              </w:rPr>
            </w:pPr>
            <w:r>
              <w:rPr>
                <w:rFonts w:ascii="Arial" w:cs="Arial" w:eastAsia="Arial" w:hAnsi="Arial"/>
                <w:sz w:val="18"/>
                <w:szCs w:val="18"/>
                <w:color w:val="auto"/>
              </w:rPr>
              <w:t>17.3%</w:t>
            </w:r>
          </w:p>
        </w:tc>
      </w:tr>
    </w:tbl>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Over the past few years, retailers have reduced their pre-season inventories as they have come to place greater reliance on our ability to deliver products “in season” when consumers buy our products.</w:t>
      </w:r>
    </w:p>
    <w:p>
      <w:pPr>
        <w:spacing w:after="0" w:line="7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Given the Company’s historical performance and consistent cash flows, our Board of Directors has undertaken a number of actions over the past several years to return cash to our shareholders. We began paying a quarterly cash dividend of 12.5 cents per share in the fourth quarter of fiscal 2005. In fiscal 2006, our Board launched a five-year $500 million share repurchase program pursuant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91" w:lineRule="auto"/>
        <w:rPr>
          <w:sz w:val="20"/>
          <w:szCs w:val="20"/>
          <w:color w:val="auto"/>
        </w:rPr>
      </w:pPr>
      <w:r>
        <w:rPr>
          <w:rFonts w:ascii="Arial" w:cs="Arial" w:eastAsia="Arial" w:hAnsi="Arial"/>
          <w:sz w:val="16"/>
          <w:szCs w:val="16"/>
          <w:color w:val="auto"/>
        </w:rPr>
        <w:t>which we repurchased 2.0 million common shares for $87.9 million during fiscal 2006. Most recently, in December 2006, the Company announced a recapitalization plan to return $750 million to the Company’s shareholders. This plan expanded and accelerated the previously announced five-year</w:t>
      </w:r>
    </w:p>
    <w:p>
      <w:pPr>
        <w:spacing w:after="0" w:line="255" w:lineRule="auto"/>
        <w:rPr>
          <w:sz w:val="20"/>
          <w:szCs w:val="20"/>
          <w:color w:val="auto"/>
        </w:rPr>
      </w:pPr>
      <w:r>
        <w:rPr>
          <w:rFonts w:ascii="Arial" w:cs="Arial" w:eastAsia="Arial" w:hAnsi="Arial"/>
          <w:sz w:val="18"/>
          <w:szCs w:val="18"/>
          <w:color w:val="auto"/>
        </w:rPr>
        <w:t>$500 million share repurchase program (which was canceled). Pursuant to the recapitalization plan, in February 2007, the Company repurchased 4.5 million of the Company’s common shares for an aggregate purchase price of $245.5 million ($54.50 per share) and paid a special one-time cash dividend of $8.00 per share ($508 million in the aggregate) in early March 2007.</w:t>
      </w:r>
    </w:p>
    <w:p>
      <w:pPr>
        <w:spacing w:after="0" w:line="8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order to fund this recapitalization, the Company entered into credit facilities aggregating $2.15 billion and terminated its prior credit facility. Reference should be made to Note 7 to the accompanying condensed, consolidated financial statements for further information as to the credit facilities and the repayment and termination of the prior credit facility and the 6 5/8% senior subordinated notes.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actions described above reflect management’s confidence in the continued growth of the Company coupled with strong and consistent cash flows that can support the higher levels of debt incurred to finance these actions. Even with an increase in borrowings, we believe we will maintain the capacity to pursue targeted, strategic acquisitions that leverage our core competencies.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2008 PRODUCT REGISTRATION AND RECALL MATTERS</w:t>
      </w:r>
    </w:p>
    <w:p>
      <w:pPr>
        <w:spacing w:after="0" w:line="11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March 2008, the Company announced a voluntary recall of certain wild bird food products which had been treated with pest control products labeled for use on certain stored grains that can be processed for human and/or animal consumption. However, these pest control products were not labeled for use on wild bird food products. These products were treated with pest control products to avoid insect infestations, especially at retail stores, a practice which pre-dates the Company’s acquisition of Gutwein &amp; Co., Inc. in November 2005.</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April 2008, the Company, in cooperation with an investigation by the U.S. Environmental Protection Agency (“USEPA”), announced a recall of certain consumer lawn and garden products and one Scotts LawnService® (“SLS”) product. These products contain active ingredients that require USEPA registrations before they can be marketed to consumers or used by SLS. On April 10, 2008, the Company learned of a criminal investigation into certain of its product registrations which is being led by the USEPA and the U.S. Department of Justice (“USDOJ”), with assistance from the Ohio Department of Agriculture. Since April, the Company has cooperated with the USEPA in conducting an internal investigation of its pesticide product registrations which has resulted in the identification of additional registration issues that have been disclosed to the USEPA. As previously disclosed, one of the issues identified by the Company resulted in the issuance by the USEPA of a stop sale order for the products in question, including Ortho® Home Defense Max® Perimeter &amp; Indoor Insect Killer, a pest control product that is a significant component of the Ortho® portfolio of products. However, as also previously reported, shortly after issuing the stop sale order, the USEPA permitted the Company to continue to sell the Home Defense Max® products pursuant to USEPA instructions. In addition, as previously disclosed, the Company has agreed with the USEPA on a Compliance Review Plan for conducting an independent review of the Company’s pesticide product registration records. This independent review is currently under way and, given the extensive nature of the review, appears likely to result in the identification of additional product registration issues.</w:t>
      </w:r>
    </w:p>
    <w:p>
      <w:pPr>
        <w:spacing w:after="0" w:line="7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While disappointed that the actions of one employee could cause unregistered or not properly labeled products to be marketed and sold, the Company takes full responsibility for ensuring that each of its products meets all federal and state regulations, and is safe for consumer use. The ongoing comprehensive investigation into all of the Company’s product registrations may result in future state or federal action with respect to additional product registration issues. Until such investigation is complete, the Company cannot fully quantify the extent of additional issues. Furthermore, the Company may be subject to civil or criminal fines or penalties at the state and/or federal level as a result of the product registration issues. At this time, management cannot reasonably determine the scope or magnitude of possible liabilities that could result from known or potential additional product registration issues, and no reserves for these claims have been established as of June 28, 2008. However, it is possible that such fines and/or penalties could be material and have an adverse effect on the Company’s financial condition and results of operations.</w:t>
      </w:r>
    </w:p>
    <w:p>
      <w:pPr>
        <w:spacing w:after="0" w:line="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result of these registration and recall matters, the Company has reversed sales associated with estimated returns of these products, recorded an impairment estimate for affected inventory, and recorded other registration and recall-related costs. The cumulative impact of these adjustments reduced income from operations by $10.2 million and $41.0 million for the three and nine months ended June 28, 2008. Currently, the Company expects costs related to the recalls and known registration issues to range from $55 to $60 million, exclusive of potential fines and/or penalties.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Scotts Miracle-Gro is committed to providing its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are also committed to conducting business with the highest degree of ethical standards and in adherence to the law. We are disappointed in these recent occurrences and are working diligently to address the issues, including, as described above, retaining independent firms to conduct examinations of existing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product registrations and to recommend enhancements to the Company’s product registration compliance and control processes. However, these events may nevertheless have a negative impact on future demand for the Company’s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nine-month periods ended June 28, 2008 and June 30,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860" w:type="dxa"/>
            <w:vAlign w:val="bottom"/>
            <w:gridSpan w:val="5"/>
          </w:tcPr>
          <w:p>
            <w:pPr>
              <w:ind w:left="260"/>
              <w:spacing w:after="0" w:line="119" w:lineRule="exact"/>
              <w:rPr>
                <w:sz w:val="20"/>
                <w:szCs w:val="20"/>
                <w:color w:val="auto"/>
              </w:rPr>
            </w:pPr>
            <w:r>
              <w:rPr>
                <w:rFonts w:ascii="Arial" w:cs="Arial" w:eastAsia="Arial" w:hAnsi="Arial"/>
                <w:sz w:val="13"/>
                <w:szCs w:val="13"/>
                <w:b w:val="1"/>
                <w:bCs w:val="1"/>
                <w:color w:val="auto"/>
              </w:rPr>
              <w:t>JUNE 28,</w:t>
            </w:r>
          </w:p>
        </w:tc>
        <w:tc>
          <w:tcPr>
            <w:tcW w:w="8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0"/>
                <w:szCs w:val="10"/>
                <w:color w:val="auto"/>
              </w:rPr>
            </w:pPr>
          </w:p>
        </w:tc>
        <w:tc>
          <w:tcPr>
            <w:tcW w:w="1800" w:type="dxa"/>
            <w:vAlign w:val="bottom"/>
            <w:gridSpan w:val="5"/>
          </w:tcPr>
          <w:p>
            <w:pPr>
              <w:ind w:left="220"/>
              <w:spacing w:after="0" w:line="119" w:lineRule="exact"/>
              <w:rPr>
                <w:sz w:val="20"/>
                <w:szCs w:val="20"/>
                <w:color w:val="auto"/>
              </w:rPr>
            </w:pPr>
            <w:r>
              <w:rPr>
                <w:rFonts w:ascii="Arial" w:cs="Arial" w:eastAsia="Arial" w:hAnsi="Arial"/>
                <w:sz w:val="13"/>
                <w:szCs w:val="13"/>
                <w:b w:val="1"/>
                <w:bCs w:val="1"/>
                <w:color w:val="auto"/>
              </w:rPr>
              <w:t>JUNE 28,</w:t>
            </w:r>
          </w:p>
        </w:tc>
        <w:tc>
          <w:tcPr>
            <w:tcW w:w="8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1"/>
              </w:rPr>
              <w:t>(UNAUDITED)</w:t>
            </w: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74"/>
              </w:rPr>
              <w:t>(UNAUDITED)</w:t>
            </w: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63.8</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61.5</w:t>
            </w:r>
          </w:p>
        </w:tc>
        <w:tc>
          <w:tcPr>
            <w:tcW w:w="1520" w:type="dxa"/>
            <w:vAlign w:val="bottom"/>
            <w:gridSpan w:val="4"/>
          </w:tcPr>
          <w:p>
            <w:pPr>
              <w:jc w:val="right"/>
              <w:ind w:right="320"/>
              <w:spacing w:after="0"/>
              <w:rPr>
                <w:sz w:val="20"/>
                <w:szCs w:val="20"/>
                <w:color w:val="auto"/>
              </w:rPr>
            </w:pPr>
            <w:r>
              <w:rPr>
                <w:rFonts w:ascii="Arial" w:cs="Arial" w:eastAsia="Arial" w:hAnsi="Arial"/>
                <w:sz w:val="18"/>
                <w:szCs w:val="18"/>
                <w:color w:val="auto"/>
              </w:rPr>
              <w:t>65.5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registrations/recalls</w:t>
            </w:r>
          </w:p>
        </w:tc>
        <w:tc>
          <w:tcPr>
            <w:tcW w:w="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18.1</w:t>
            </w:r>
          </w:p>
        </w:tc>
        <w:tc>
          <w:tcPr>
            <w:tcW w:w="1520" w:type="dxa"/>
            <w:vAlign w:val="bottom"/>
            <w:gridSpan w:val="4"/>
          </w:tcPr>
          <w:p>
            <w:pPr>
              <w:jc w:val="right"/>
              <w:ind w:right="320"/>
              <w:spacing w:after="0"/>
              <w:rPr>
                <w:sz w:val="20"/>
                <w:szCs w:val="20"/>
                <w:color w:val="auto"/>
              </w:rPr>
            </w:pPr>
            <w:r>
              <w:rPr>
                <w:rFonts w:ascii="Arial" w:cs="Arial" w:eastAsia="Arial" w:hAnsi="Arial"/>
                <w:sz w:val="18"/>
                <w:szCs w:val="18"/>
                <w:color w:val="auto"/>
              </w:rPr>
              <w:t>23.0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SG&amp;A — product registrations/recalls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Impairment, restructuring &amp; other charges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5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Net sales for the third quarter and first nine months of fiscal 2008 grew 6.6% and 3.2%, respectively, versus the comparable periods of fiscal 2007. Foreign exchange rates favorably impacted sales growth rates for the third quarter and first nine months by 200 basis points and 240 basis points, respectively. Excluding the impact of foreign exchange rates and product registration and recall matters, sales for the third quarter and first nine months increased 5.1% and 1.8%, respectively. In our Global Consumer segment, third quarter net sales increased 5.2%, excluding the impact of foreign exchange rates and product registration and recall matters, driven by pricing and the recovery of sales in April following the slow start to the lawn and garden season driven by challenging weather conditions in March. Excluding the impact of foreign exchange rates and product registration and recall matters, year-to-date sales in our Global Consumer segment increased 0.7% driven by pricing offset by volume declines driven by current macroeconomic conditions. Excluding foreign exchange rates, Global Professional sales increased 22.3% and 16.4% for the third quarter and first nine months, respectively, driven largely by strong demand for its proprietary technology and pricing actions taken periodically throughout the year. Scotts LawnService® sales increased 3.2% for the quarter, driven by acquisitions growth and pricing, which offset lower volume driven by higher cancellation rates resulting from macroeconomic pressure. Year-to-date, Scotts LawnService® sales increased 9.4% driven by acquisition growth, pricing, and the shifting of late season lawn treatments to the first quarter of fiscal 2008. Corporate and other sales, primarily Smith &amp; Hawken®, decreased 13.6% and 12.7% for the third quarter and first nine months, respectively, driven by decreases across all channels of its business.</w:t>
      </w:r>
    </w:p>
    <w:p>
      <w:pPr>
        <w:spacing w:after="0" w:line="8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a percentage of net sales, gross profit was 36.2% of net sales in the third quarter of fiscal 2008 compared to 38.5% in the third quarter of fiscal 2007. For the first nine months of fiscal 2008, our gross profit percentage declined to 33.6% from 35.8% in the comparable period of fiscal 2007. Most of the fiscal 2008 margin decrease was driven by increased commodity costs. Additionally, product registration and recall matters unfavorably impacted gross profit rates for the third quarter and first nine months by 20 basis points and 100 basis points,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(“SG&amp;A”):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28,</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08"/>
              <w:spacing w:after="0" w:line="119" w:lineRule="exact"/>
              <w:rPr>
                <w:sz w:val="20"/>
                <w:szCs w:val="20"/>
                <w:color w:val="auto"/>
              </w:rPr>
            </w:pPr>
            <w:r>
              <w:rPr>
                <w:rFonts w:ascii="Arial" w:cs="Arial" w:eastAsia="Arial" w:hAnsi="Arial"/>
                <w:sz w:val="13"/>
                <w:szCs w:val="13"/>
                <w:b w:val="1"/>
                <w:bCs w:val="1"/>
                <w:color w:val="auto"/>
              </w:rPr>
              <w:t>JUNE 28,</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59.3</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123.8</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143.3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133.3</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423.7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vMerge w:val="restart"/>
          </w:tcPr>
          <w:p>
            <w:pPr>
              <w:jc w:val="right"/>
              <w:ind w:right="6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SG&amp;A expenses increased 3.9% in the third quarter and 2.8% for the first nine months of fiscal 2008. Excluding foreign exchange rates, impairment and product registration and recall costs, SG&amp;A expenses for the third quarter increased 1.5% and for the first nine months of fiscal 2008 increased 0.5% as the Company has maintained strong controls on spending. Advertising expense has decreased by 3.9% and 1.3% for the third quarter and first nine months, respectively. The Company has increased its investments in sales force, R&amp;D, and marketing costs on a quarter and year-to-date basis. On a full year basis, we expect SG&amp;A to be up 4 to 5 percent.</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recorded $10.2 million of product registration and recall related costs during the third quarter of fiscal 2008, comprised of $4.6 million of gross profit and $5.6 million of SG&amp;A. For the first nine months of fiscal 2008, the Company has recorded $41.0 million of product registration and recall related costs, comprised of $34.2 million of gross profit and $6.8 million of SG&amp;A.</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a significant decline in the market value of the Company’s common stock during the latter half of the third fiscal quarter ended June 28, 2008, the Company’s market value of invested capital was approximately 60% of the similar impairment metric used in our fourth quarter fiscal 2007 annual impairment testing. Management determined this was an indicator of possible goodwill impairment and, therefore, interim impairment testing was performed as of June 28, 2008.</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third quarter fiscal 2008 interim impairment review resulted in a non-cash charge of $123.3 million, $101.9 million net of taxes, to reflect the decline in the fair value of certain goodwill and other assets as evidenced by the recent decline in the Company’s common stock. Of this impairment charge, $80.8 million was for goodwill, $23.2 million related to indefinite-lived tradenames, $18.3 million was for SFAS 144 long-lived assets and $1.0 million related to inventory. On a reportable segment basis, $71.8 million of the impairment was in Global Consumer, $31.4 million of the charge was in Global Professional, with the remaining $20.1 million of impairment in Corporate &amp; Other. The goodwill portion of this impairment charge is an estimate, as management is in the process of performing the required SFAS 142 Step 2 goodwill impairment evaluation for the associated reporting units as of the date of this report. The Company anticipates finalizing this SFAS 142 Step 2 goodwill impairment evaluation in the fourth quarter of fiscal 2008 and, if necessary, will update the goodwill impairment charge during that reporting period.</w:t>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Interest expense for the third quarter decreased by 15.6%, from $26.2 million in fiscal 2007 to $22.1 million in fiscal 2008. Average borrowings decreased $27.2 million during the third quarter of fiscal 2008 as compared to the same period of the prior year. Additionally, weighted average interest rates decreased by 91 basis points. Interest expense for the first nine months of fiscal 2008 increased by 23.5%, from $52.3 million in fiscal 2007 to $64.6 million in fiscal 2008. The increase in interest expense for the year-to-date period is primarily attributable to an increase in borrowings in the first nine months of fiscal 2008 resulting from the recapitalization transactions that were consummated during the second quarter of fiscal 2007. We also recorded $18.3 million in costs related to the refinancing undertaken to facilitate the recapitalization transactions in fiscal 2007.</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Income tax expense was calculated assuming an effective tax rate of 67.5% for fiscal 2008, versus 35.5% for fiscal 2007. The increase in the effective tax rate for fiscal 2008 was primarily due to the goodwill impairment charge which is not deductible for tax purposes.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Diluted weighted-average common shares used in the diluted net income per common share calculation decreased from 65.4 million for the third quarter and 67.5 million for the nine months ended June 30, 2007 to 65.3 million for the third quarter and 65.5 million for the nine months ended June 28, 2008. The decreases for the third quarter and nine months are attributable to the 4.5 million common shares repurchased as part of the recapitalization consummated during the second quarter of fiscal 2007, weighted for the period outstanding and offset by common shares issued upon the exercise of share-based awards and the vesting of restricted stock. Diluted weighted-average common shares included 0.7 million and 1.1 million equivalent shares for the third quarter and year-to-date periods in fiscal 2008 to reflect the effect of the assumed conversion of dilutive stock options and restricted stock awards. Equivalent common shares used in fiscal 2007 were 1.8 million for the third quarter and 1.9 million for the year-to-date period. The decrease in diluted average common shares in fiscal 2008 was the result of the lower average market rate for our stock driving more outstanding stock options out-of-the-money.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divided into the following segments: Global Consumer, Global Professional, Scotts LawnService®, and Corporate &amp; Other. These segments differ from those used in the prior year due to the realignment of the North America and International segments into the Global Consumer and Global Professional segments. The Corporate &amp; Other segment consists of Smith &amp; Hawken® and corporate general and administrative expenses. The prior year amounts have been reclassified to conform to the fiscal 2008 segments.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Global Consumer segment consists of the North American Consumer and International Consumer business groups which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improvement centers, large hardware chains, warehouse clubs, distributors, garden centers, and grocers in the United States, Canada and Europe.</w:t>
      </w:r>
    </w:p>
    <w:p>
      <w:pPr>
        <w:spacing w:after="0" w:line="8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grass seed,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Scotts LawnService®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 business and corporate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328"/>
              <w:spacing w:after="0" w:line="119" w:lineRule="exact"/>
              <w:rPr>
                <w:sz w:val="20"/>
                <w:szCs w:val="20"/>
                <w:color w:val="auto"/>
              </w:rPr>
            </w:pPr>
            <w:r>
              <w:rPr>
                <w:rFonts w:ascii="Arial" w:cs="Arial" w:eastAsia="Arial" w:hAnsi="Arial"/>
                <w:sz w:val="13"/>
                <w:szCs w:val="13"/>
                <w:b w:val="1"/>
                <w:bCs w:val="1"/>
                <w:color w:val="auto"/>
              </w:rPr>
              <w:t>JUNE 28,</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rPr>
              <w:t>JUNE 28,</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2008</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935.3</w:t>
            </w:r>
          </w:p>
        </w:tc>
        <w:tc>
          <w:tcPr>
            <w:tcW w:w="4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875.4</w:t>
            </w:r>
          </w:p>
        </w:tc>
        <w:tc>
          <w:tcPr>
            <w:tcW w:w="10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7"/>
              </w:rPr>
              <w:t>$ 1,922.7</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$ 1,872.3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Global Professional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260.6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Corporate &amp; 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121.0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1,176.3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2,462.4</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2,363.5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Roundup®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registrations/recalls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$ 1,170.9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$ 1,098.4</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$ 2,437.6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$ 2,362.9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w w:val="99"/>
              </w:rPr>
              <w:t>The following table sets forth operating income (loss) by segment:</w:t>
            </w: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328"/>
              <w:spacing w:after="0" w:line="119" w:lineRule="exact"/>
              <w:rPr>
                <w:sz w:val="20"/>
                <w:szCs w:val="20"/>
                <w:color w:val="auto"/>
              </w:rPr>
            </w:pPr>
            <w:r>
              <w:rPr>
                <w:rFonts w:ascii="Arial" w:cs="Arial" w:eastAsia="Arial" w:hAnsi="Arial"/>
                <w:sz w:val="13"/>
                <w:szCs w:val="13"/>
                <w:b w:val="1"/>
                <w:bCs w:val="1"/>
                <w:color w:val="auto"/>
              </w:rPr>
              <w:t>JUNE 28,</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rPr>
              <w:t>JUNE 28,</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2008</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207.9</w:t>
            </w:r>
          </w:p>
        </w:tc>
        <w:tc>
          <w:tcPr>
            <w:tcW w:w="4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349.1</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Global Professional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Corporate &amp; 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8"/>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314.8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Roundup®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Product registrations/recalls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8"/>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(123.3)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320" w:type="dxa"/>
            <w:vAlign w:val="bottom"/>
            <w:vMerge w:val="restart"/>
          </w:tcPr>
          <w:p>
            <w:pPr>
              <w:jc w:val="right"/>
              <w:ind w:right="6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Consumer</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Excluding the impact of product registration and recall matters, Global Consumer segment net sales were $935.3 million in the third quarter and $1.92 billion for the first nine months of fiscal 2008, an increase of 6.8% and 2.7% from the third quarter and first nine months of fiscal 2007, respectively. The impact of pricing increased sales by 3.6% for the third quarter and 4.0% for the first nine months of fiscal 2008, while the impact of foreign exchange rate changes increased sales by 1.7% and 2.0% for the third quarter and first nine months, respectively. Excluding the impact of price increases and foreign exchange movements, net sales increased by 1.5% from the third quarter of fiscal 2007 and decreased 3.3% from the first nine months of fiscal 2007. Within Global Consumer, North America consumer sales, excluding the impact of foreign exchange rate changes and product registration and recall matters, increased 6.0% and 0.7% for the third quarter and first nine months, respectively, compared to the respective increases in North American point-of-sale purchases of 7.9% and 1.6% for the third quarter and first nine months. Point-of-sale purchases of our gardening products, comprised of growing media and plant foods, increased by 4.3% and 1.2% for the third quarter and first nine months as consumer purchases of our premium, value-added growing media products increased. Lawns product consumer purchases, made up of fertilizers, grass seed, and durables, increased by 16.7% in the third quarter largely driven by favorable weather in April and June. Year-to-date, lawns product consumer purchases have increased 2.0% as consumers have migrated to lower price point products. Ortho® consumer purchases decreased by 2.4% and 5.2% for the third quarter and first nine months of fiscal 2008, respectively. Excluding foreign exchanges rates, International consumer business sales were relatively flat for both the third quarter and year-to-date, as growth in France and Central Europe, driven by improved marketing programs and new products, has been offset by decreased net sales in the UK where the economic environment is more challenged and competition has been more aggressive.</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Global Consumer segment operating income decreased by $3.1 million and $26.5 million in the third quarter and first nine months of fiscal 2008, respectively. The decrease in operating income was driven by a decrease in gross margin rates of 190 basis points and 120 basis points for the third quarter and first nine months of fiscal 2008 excluding the impact of product registration and recall matters. The decrease in gross margin rates is primarily the result of higher commodity costs. SG&amp;A spending, including media advertising, increased 2.9% for the third quarter and 3.4% for the year-to-date period excluding the impact of foreign exchange rates primarily related to higher selling and R&amp;D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Professional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Professional segment net sales increased $23.7 million, or 31.6%, in the third quarter, and $52.1 million, or 25.0%, for the first nine months of fiscal 2008. Excluding the effect of exchange rates, net sales increased by 22.3% and 16.4% for the third quarter and first nine months, respectively. Demand for our proprietary technology drove the sales growth, along with pricing actions which increased sales by 8.9% for the third quarter and 4.4% for the first nine months of fiscal 2008.</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Primarily due to the strong growth in net sales, partially offset by increased commodity costs, the Global Professional segment operating income increased by $1.3 million and $5.0 million in the third quarter and first nine months of fiscal 2008,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in the prior fiscal year, Scotts LawnService® revenues increased 3.3% to $87.4 million in the third quarter of fiscal 2008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9.7% to $158.1 million in the first nine months of fiscal 2008. The increase for the third quarter is attributable to acquisition growth of 3.3% and pricing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 offset by macroeconomic pressures that have reduced customer count. The increase for the year-to-date period is attributable to acquisition growth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4.5%, pricing of 2.6%, and the shifting of late season lawn treatments to the first quarter of fiscal 2008 that contributed to organic growth of 2.3%.</w:t>
      </w:r>
    </w:p>
    <w:p>
      <w:pPr>
        <w:spacing w:after="0" w:line="11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Scotts LawnService® segment operating income decreased by $0.9 million in the third quarter driven by increased costs, including commodities. The Scotts LawnService® segment operating loss decreased by $2.2 million in the first nine months of fiscal 2008 driven by the increase in revenues and gross profit, partially offset by an increase in SG&amp;A spending.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Net sales for the Corporate &amp; Other segment, which pertain primarily to Smith &amp; Hawken®, decreased $8.7 million, or 13.7%, for the third quarter and $17.6 million, or 12.7%, year-to-date. These sales decreases were across all channels of Smith &amp; Hawken®. Additionally, the first half of fiscal 2007 benefited from initial start-up activity with Starbucks®.</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operating loss for Corporate &amp; Other decreased by $2.6 million in the third quarter and $13.0 million for the first nine months of fiscal 2008. The decreases in operating loss for the third quarter and year-to-date were driven by lower net Corporate spending.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Cash used in operating activities was $39.5 million for the nine months ended June 28, 2008 compared to cash provided of $62.2 million for the comparable period in fiscal 2007. The decreased level of operating cash flows in fiscal 2008 versus the prior year is due to increased sales in June 2008 compared to June 2007, resulting in higher accounts receivable at June 28, 2008, as well as increased inventory levels caused by the increased commodity costs.</w:t>
      </w:r>
    </w:p>
    <w:p>
      <w:pPr>
        <w:spacing w:after="0" w:line="3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Cash used in investing activities was $34.8 million and $43.8 million for the nine months ended June 28, 2008 and June 30, 2007, respectively. There was no acquisition activity in the first nine months of fiscal 2008 compared to the $6.5 million in acquisitions relating to our Scotts LawnService® business in the first nine months of fiscal 2007. Capital spending on property, plant and equipment done in the normal course of business was fairly consistent, with $35.8 million spent during the first nine months of fiscal 2008 compared to the $37.8 million spent in the first nine months of fiscal 2007.</w:t>
      </w:r>
    </w:p>
    <w:p>
      <w:pPr>
        <w:spacing w:after="0" w:line="4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Financing activities provided cash of $169.4 million and used cash of $0.4 million for the nine months ended June 28, 2008 and June 30, 2007, respectively. The increase in cash provided by financing activities for the first nine months of fiscal 2008 is largely due to timing, in part as payments on outstanding loans have been made subsequent to the June 28, 2008 balance sheet date.</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recapitalization plan that was consummated during the second quarter of fiscal 2007 returned $750 million to shareholders. In addition, we repurchased all of our 6 5/8% senior subordinated notes in an aggregate principal amount of $200 million. These actions were financed by replacing, effective February 7, 2007, our prior Revolving Credit Agreement with new senior secured $2.15 billion multicurrency credit facilities that provide for revolving credit and term loans through February 7, 2012.</w:t>
      </w:r>
    </w:p>
    <w:p>
      <w:pPr>
        <w:spacing w:after="0" w:line="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stated termination date of April 8, 2009, or such later date as may be extended by mutual agreement of the Company and its lenders. The terms of the New MARP Agreement are substantially the same as the Original MARP Agreement. The New MARP Agreement was entered into as it provides an interest rate savings of 40 basis points as compared to borrowing under our senior secured credit facilities. The New MARP Agreement provides for the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 Borrowings under the MARP Agreement at June 28, 2008 were $260.2 million.</w:t>
      </w:r>
    </w:p>
    <w:p>
      <w:pPr>
        <w:spacing w:after="0" w:line="8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At June 28, 2008, the Company had outstanding interest rate swaps with major financial institutions that effectively converted a portion of our variable-rate debt denominated in the Euro dollar, British pound and U.S. dollar to a fixed rate. The swaps agreements have a total U.S. dollar equivalent notional amount of $724.9 million at June 28, 2008. The term, expiration date and rates of these swaps are shown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NOTIONAL</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AMOUNT IN</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EXPIRATION</w:t>
            </w:r>
          </w:p>
        </w:tc>
        <w:tc>
          <w:tcPr>
            <w:tcW w:w="480" w:type="dxa"/>
            <w:vAlign w:val="bottom"/>
          </w:tcPr>
          <w:p>
            <w:pPr>
              <w:spacing w:after="0"/>
              <w:rPr>
                <w:sz w:val="12"/>
                <w:szCs w:val="12"/>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CURRENCY</w:t>
            </w:r>
          </w:p>
        </w:tc>
        <w:tc>
          <w:tcPr>
            <w:tcW w:w="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USD</w:t>
            </w:r>
          </w:p>
        </w:tc>
        <w:tc>
          <w:tcPr>
            <w:tcW w:w="4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4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DATE</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1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$ 57.4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11/17/2008</w:t>
            </w:r>
          </w:p>
        </w:tc>
        <w:tc>
          <w:tcPr>
            <w:tcW w:w="1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Euro dollar</w:t>
            </w:r>
          </w:p>
        </w:tc>
        <w:tc>
          <w:tcPr>
            <w:tcW w:w="1780" w:type="dxa"/>
            <w:vAlign w:val="bottom"/>
            <w:gridSpan w:val="2"/>
          </w:tcPr>
          <w:p>
            <w:pPr>
              <w:jc w:val="right"/>
              <w:ind w:right="388"/>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11/17/2008</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3/31/2009</w:t>
            </w:r>
          </w:p>
        </w:tc>
        <w:tc>
          <w:tcPr>
            <w:tcW w:w="1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tcPr>
          <w:p>
            <w:pPr>
              <w:jc w:val="right"/>
              <w:ind w:right="388"/>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3/31/2010</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2/14/2012</w:t>
            </w:r>
          </w:p>
        </w:tc>
        <w:tc>
          <w:tcPr>
            <w:tcW w:w="1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As of June 28, 2008, there was $1,081.6 million of availability under our credit facilities and we were in compliance with all debt covenants. Our credit facilities contain, among other obligations, an affirmative covenant regarding the Company’s leverage ratio, calculated as indebtedness relative to our earnings before taxes, depreciation and amortization. Under the terms of the credit facilities, the permissible leverage ratio is scheduled to decrease on September 30, 2008 to 4.25. While management continues to monitor its compliance with the leverage ratio and other covenants contained in the credit facilities, based upon the Company’s current operating assumptions, the Company expects to remain in compliance with the permissible leverage ratio for the reminder of our fiscal 2008. Should management’s view on compliance with this or other covenants change, the Company believes that it would be able to seek and receive an appropriate waiver or amendment from its banking group.</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reviewed our pending environmental and legal proceedings, including the probable outcomes, reasonably anticipated costs and expenses, reviewed the availability and limits of our insurance coverage and have established what we believe to be appropriate reserves. Other than the proceedings surrounding the product registration issues, which are separately addressed, we do not believe that any liabilities that may result from pending judicial and administrative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2008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our Annual Report on Form 10-K for the fiscal year ended September 30, 2007 under “ITEM 1. BUSINESS — Environmental and Regulatory Considerations,” “ITEM 1. BUSINESS — Regulatory Actions” and “ITEM 3.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2007 includes additional information about the Company, our operations, our financial position, our critical accounting policies and accounting estimates,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 the participation of the Scotts Miracle-Gro’s principal executive officer and principal financial officer, Scotts Miracle-Gro management has evaluated the effectiveness of its disclosure controls and procedures (as defined in Rule 13a-15(e) under the Securities Exchange Act of 1934, as amended (the “Exchange Act”), as of the end of the fiscal quarter covered by this Quarterly Report on Form 10-Q. Based upon that evaluation, Scotts Miracle-Gro’s principal executive officer and principal financial officer have concluded that:</w:t>
      </w:r>
    </w:p>
    <w:p>
      <w:pPr>
        <w:spacing w:after="0" w:line="79" w:lineRule="exact"/>
        <w:rPr>
          <w:sz w:val="20"/>
          <w:szCs w:val="20"/>
          <w:color w:val="auto"/>
        </w:rPr>
      </w:pPr>
    </w:p>
    <w:p>
      <w:pPr>
        <w:ind w:left="660" w:right="2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Scotts Miracle-Gro in this Quarterly Report on Form 10-Q and the other reports that Scotts Miracle-Gro files or submits under the Exchange Act would be accumulated and communicated to its management, including its principal executive officer and principal financial officer, as appropriate to allow timely decisions regarding required disclosure;</w:t>
      </w:r>
    </w:p>
    <w:p>
      <w:pPr>
        <w:spacing w:after="0" w:line="86" w:lineRule="exact"/>
        <w:rPr>
          <w:rFonts w:ascii="Arial" w:cs="Arial" w:eastAsia="Arial" w:hAnsi="Arial"/>
          <w:sz w:val="18"/>
          <w:szCs w:val="18"/>
          <w:color w:val="auto"/>
        </w:rPr>
      </w:pPr>
    </w:p>
    <w:p>
      <w:pPr>
        <w:jc w:val="both"/>
        <w:ind w:left="660" w:right="2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Scotts Miracle-Gro in this Quarterly Report on Form 10-Q and the other reports that Scotts Miracle-Gro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Scotts Miracle-Gro’s disclosure controls and procedures are effective as of the end of the fiscal quarter covered by this Quarterly Report on Form 10-Q.</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there were no changes in Scotts Miracle-Gro’s internal control over financial reporting (as defined in Rule 13a-15(f) under the Exchange Act) that occurred during its third fiscal quarter ended June 28, 2008, that have materially affected, or are reasonably likely to materially affect, Scotts Miracle-Gro’s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April 2008, the Company, in cooperation with an investigation by the U.S. Environmental Protection Agency (“USEPA”), announced a recall of certain consumer lawn and garden products and a Scotts LawnService® (“SLS”) product. These products contain active ingredients that require USEPA registrations before they can be marketed to consumers or used by SLS. An investigation led by the USEPA, with the U.S. Department of Justice (the “USDOJ”), revealed that valid registrations for these products either had not been obtained or that the products were not properly labeled. To date, the evidence indicates that an employee of the Company, since terminated, apparently deliberately circumvented Company policies and USEPA regulations by failing to obtain valid registrations for the products and/or causing invalid product registration forms to be submitted to regulators. Since April, the Company has cooperated with the USEPA in conducting an internal investigation of its pesticide product registrations which has resulted in the identification of additional registration issues that have been disclosed to the USEPA. As previously disclosed, one of the issues identified by the Company resulted in the issuance by the USEPA of a stop sale order for the products in question, including Ortho® Home Defense Max® Perimeter &amp; Indoor Insect Killer, a pest control product that is a significant component of the Ortho® portfolio of products. However, as also previously reported, shortly after issuing the stop sale order, the USEPA permitted the Company to continue to sell the Home Defense Max® products pursuant to USEPA instructions. In addition, as previously disclosed, the Company has agreed with the USEPA on a Compliance Review Plan for conducting an independent review of the Company’s pesticide product registration records. This independent review is currently under way and, given the extensive nature of the review, appears likely to result in the identification of additional product registration issues. There can be no assurance that the ultimate outcome of the investigation will not result in further action, whether administrative, civil or criminal, by the USEPA, USDOJ or state regulatory agencies against the Company. Such actions may include the imposition of regulatory fines and/or penalties against the Company, and there can be no assurance that any such fines and/or penalties, in addition to the costs the Company has already incurred and expects to incur in connection with the product registrations/recalls and related investigation, will not have a material and adverse effect on the Company’s financial condition and results of operations.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 LawnPro Annual Program Step 3 Insect Control Plus Fertilizer which, while federally registered, was allegedly not registered in the state of New York. The Proposed Order requests penalties totaling $695,000. The Company is currently investigating this matter.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Other than as discussed in the preceding paragraphs, pending material legal proceedings have not changed significantly since the first quarter of fiscal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All forward-looking statements attributable to us or persons working on our behalf are expressly qualified in their entirety by those cautionary statements. Important factors that could cause actual results to differ materially from the forward-looking statements we make are included in Part I, “Item 1A. Risk Factors” in our Annual Report on Form 10-K for the fiscal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2007. Updates to our risk factors as a result of our 2008 product recalls and the related governmental investigation are discussed below.</w:t>
      </w:r>
    </w:p>
    <w:p>
      <w:pPr>
        <w:spacing w:after="0" w:line="13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Costs associated with product recalls and the corresponding governmental investigation could materially and adversely affect our financial condition and operating results.</w:t>
      </w:r>
    </w:p>
    <w:p>
      <w:pPr>
        <w:spacing w:after="0" w:line="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April 2008, we learned of a criminal investigation which is being led by the U.S. Environmental Protection Agency (“USEPA”) and the U.S. Department of Justice (“USDOJ”), with assistance from the Ohio Department of Agriculture, related to the status of the registrations of these products, some of which had entered commerce and some of which had not. During the same time period, we announced that an employee, since terminated, apparently deliberately circumvented our policies, causing unregistered or not properly labelled products to be marketed and sold. As a result of the investigation, we recalled, or are in the process of recalling, certain consumer lawn and garden products and one Scotts LawnService® product.</w:t>
      </w:r>
    </w:p>
    <w:p>
      <w:pPr>
        <w:spacing w:after="0" w:line="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connection with the registration investigation and product recalls, we have recorded, and in the future may record, charges and costs, based on our most recent estimates, of retailer inventory returns, consumer returns and replacement costs, associated legal and professional fees and costs associated with advertising and administration of the registration investigation and product recalls. Because these current and expected future charges are based on estimates, they may increase as a result of numerous factors, many of which are beyond our control, including the amount of products that may be returned by consumers and retailers, the number and type of legal or regulatory proceedings relating to these product recalls and regulatory or judicial orders or decrees that may require us to take certain actions in connection with product recalls or to pay civil or criminal fines and/or penalties at the state and/or federal level.</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costs associated with these product recalls and any potential fines and/or penalties, both those which we have estimated to date and any amounts in excess of our current estimates, could have a material and adverse effect on our financial condition and results of operations, and could affect our compliance with certain covenants contained in the Company’s credit facilities.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there can be no assurance that the ultimate outcome of the investigation will not result in further action against us, whether administrative, civil or criminal by the USEPA, USDOJ or state regulatory agencies, and any such action, in addition to the costs we have incurred and will continue to incur in connection therewith, could materially and adversely affect us or our financial condition and results of operations.</w:t>
      </w:r>
    </w:p>
    <w:p>
      <w:pPr>
        <w:spacing w:after="0" w:line="53"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Product recalls and the corresponding governmental investigation may harm our reputation and acceptance of our products by our retail customers and consumers, which may materially and adversely affect our business operations, decrease sales and increase costs.</w:t>
      </w:r>
    </w:p>
    <w:p>
      <w:pPr>
        <w:spacing w:after="0" w:line="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product recalls we announced in April 2008, together with the corresponding governmental investigation by the USEPA and USDOJ, have resulted in coverage critical of us in the press and media. While we believe that these recalls are the result of the misguided actions of a former employee who misled us and that we have acted promptly, responsibly and in the public interest, these product recalls may harm our reputation and the acceptance of our products by consumers and our retailer customers. Our retailer customers may be less willing to purchase our products or to provide marketing support for those products, such as shelf space, promotions, and advertising or may impose additional requirements that would adversely affect our business operations, decrease sales and increase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32 for a list of the exhibits included herewith.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7, 2008</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C. Evans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Principal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(Duly Authorized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00"/>
          </w:cols>
          <w:pgMar w:left="240" w:top="419" w:right="35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14"/>
                <w:szCs w:val="14"/>
                <w:color w:val="auto"/>
              </w:rPr>
            </w:pPr>
          </w:p>
        </w:tc>
        <w:tc>
          <w:tcPr>
            <w:tcW w:w="45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10(a)</w:t>
            </w:r>
          </w:p>
        </w:tc>
        <w:tc>
          <w:tcPr>
            <w:tcW w:w="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Termination and Release, dated as of April 9, 2008, by and</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among The Scotts Company LLC, The Scotts Miracle-Gro</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Company and LaSalle Bank National Association</w:t>
            </w:r>
          </w:p>
        </w:tc>
      </w:tr>
      <w:tr>
        <w:trPr>
          <w:trHeight w:val="418"/>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10(b)</w:t>
            </w:r>
          </w:p>
        </w:tc>
        <w:tc>
          <w:tcPr>
            <w:tcW w:w="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Master Accounts Receivable Purchase Agreement, dated as of</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April 9, 2008, among The Scotts Company LLC as seller, The</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Scotts Miracle-Gro Company as guarantor and Bank of</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America, N.A. as purchaser</w:t>
            </w:r>
          </w:p>
        </w:tc>
      </w:tr>
      <w:tr>
        <w:trPr>
          <w:trHeight w:val="418"/>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10(c)</w:t>
            </w:r>
          </w:p>
        </w:tc>
        <w:tc>
          <w:tcPr>
            <w:tcW w:w="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The Scotts Miracle-Gro Company Supplemental Incentive</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Plan for the fiscal year ending September 30, 2008</w:t>
            </w:r>
          </w:p>
        </w:tc>
      </w:tr>
      <w:tr>
        <w:trPr>
          <w:trHeight w:val="418"/>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10(d)</w:t>
            </w:r>
          </w:p>
        </w:tc>
        <w:tc>
          <w:tcPr>
            <w:tcW w:w="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Employment Agreement for Vincent C. Brockman, made,</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entered into and effective as of June 1, 2008, between The</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Scotts Company LLC and Vincent C. Brockman</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336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herein by reference to Exhibit 10.1 to The Scotts Miracle-Gro Company’s Current Report on Form 8-K dated and filed on April 15, 2008 (File No. 1-13292)</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herein by reference to Exhibit 10.2 to The Scotts Miracle-Gro Company’s Current Report on Form 8-K dated and filed on April 15, 2008. (File No 1-13292)</w:t>
      </w:r>
    </w:p>
    <w:p>
      <w:pPr>
        <w:spacing w:after="0" w:line="39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p>
    <w:p>
      <w:pPr>
        <w:spacing w:after="0" w:line="655" w:lineRule="exact"/>
        <w:rPr>
          <w:sz w:val="20"/>
          <w:szCs w:val="20"/>
          <w:color w:val="auto"/>
        </w:rPr>
      </w:pPr>
    </w:p>
    <w:p>
      <w:pPr>
        <w:sectPr>
          <w:pgSz w:w="11900" w:h="16838" w:orient="portrait"/>
          <w:cols w:equalWidth="0" w:num="2">
            <w:col w:w="5720" w:space="440"/>
            <w:col w:w="5140"/>
          </w:cols>
          <w:pgMar w:left="240" w:top="419" w:right="359" w:bottom="1440" w:gutter="0" w:footer="0" w:header="0"/>
          <w:type w:val="continuous"/>
        </w:sectPr>
      </w:pP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0"/>
              </w:rPr>
              <w:t>31(a)</w:t>
            </w:r>
          </w:p>
        </w:tc>
        <w:tc>
          <w:tcPr>
            <w:tcW w:w="6260" w:type="dxa"/>
            <w:vAlign w:val="bottom"/>
          </w:tcPr>
          <w:p>
            <w:pPr>
              <w:ind w:left="300"/>
              <w:spacing w:after="0"/>
              <w:rPr>
                <w:sz w:val="20"/>
                <w:szCs w:val="20"/>
                <w:color w:val="auto"/>
              </w:rPr>
            </w:pPr>
            <w:r>
              <w:rPr>
                <w:rFonts w:ascii="Arial" w:cs="Arial" w:eastAsia="Arial" w:hAnsi="Arial"/>
                <w:sz w:val="18"/>
                <w:szCs w:val="18"/>
                <w:color w:val="auto"/>
              </w:rPr>
              <w:t>Rule 13a-14(a)/15d-14(a) Certification (Principal Executive</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Officer)</w:t>
            </w:r>
          </w:p>
        </w:tc>
        <w:tc>
          <w:tcPr>
            <w:tcW w:w="1720" w:type="dxa"/>
            <w:vAlign w:val="bottom"/>
          </w:tcPr>
          <w:p>
            <w:pPr>
              <w:spacing w:after="0"/>
              <w:rPr>
                <w:sz w:val="20"/>
                <w:szCs w:val="20"/>
                <w:color w:val="auto"/>
              </w:rPr>
            </w:pPr>
          </w:p>
        </w:tc>
      </w:tr>
      <w:tr>
        <w:trPr>
          <w:trHeight w:val="41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0"/>
              </w:rPr>
              <w:t>31(b)</w:t>
            </w:r>
          </w:p>
        </w:tc>
        <w:tc>
          <w:tcPr>
            <w:tcW w:w="6260" w:type="dxa"/>
            <w:vAlign w:val="bottom"/>
          </w:tcPr>
          <w:p>
            <w:pPr>
              <w:ind w:left="300"/>
              <w:spacing w:after="0"/>
              <w:rPr>
                <w:sz w:val="20"/>
                <w:szCs w:val="20"/>
                <w:color w:val="auto"/>
              </w:rPr>
            </w:pPr>
            <w:r>
              <w:rPr>
                <w:rFonts w:ascii="Arial" w:cs="Arial" w:eastAsia="Arial" w:hAnsi="Arial"/>
                <w:sz w:val="18"/>
                <w:szCs w:val="18"/>
                <w:color w:val="auto"/>
              </w:rPr>
              <w:t>Rule 13a-14(a)/15d-14(a) Certification (Principal Financial</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Officer)</w:t>
            </w:r>
          </w:p>
        </w:tc>
        <w:tc>
          <w:tcPr>
            <w:tcW w:w="1720" w:type="dxa"/>
            <w:vAlign w:val="bottom"/>
          </w:tcPr>
          <w:p>
            <w:pPr>
              <w:spacing w:after="0"/>
              <w:rPr>
                <w:sz w:val="20"/>
                <w:szCs w:val="20"/>
                <w:color w:val="auto"/>
              </w:rPr>
            </w:pPr>
          </w:p>
        </w:tc>
      </w:tr>
      <w:tr>
        <w:trPr>
          <w:trHeight w:val="41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89"/>
              </w:rPr>
              <w:t>32</w:t>
            </w:r>
          </w:p>
        </w:tc>
        <w:tc>
          <w:tcPr>
            <w:tcW w:w="6260" w:type="dxa"/>
            <w:vAlign w:val="bottom"/>
          </w:tcPr>
          <w:p>
            <w:pPr>
              <w:ind w:left="300"/>
              <w:spacing w:after="0"/>
              <w:rPr>
                <w:sz w:val="20"/>
                <w:szCs w:val="20"/>
                <w:color w:val="auto"/>
              </w:rPr>
            </w:pPr>
            <w:r>
              <w:rPr>
                <w:rFonts w:ascii="Arial" w:cs="Arial" w:eastAsia="Arial" w:hAnsi="Arial"/>
                <w:sz w:val="18"/>
                <w:szCs w:val="18"/>
                <w:color w:val="auto"/>
              </w:rPr>
              <w:t>Section 1350 Certification (Principal Executive Officer and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c>
          <w:tcPr>
            <w:tcW w:w="1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19" w:right="35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Incentive Plan Description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Detailed Description</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following outline provides an explanation of the Supplemental Incentive Plan (the “SIP”) for the fiscal year ending September 30, 2008 (“FY08”). The SIP is designed to supplement and operate within the parameters of The Scotts Company LLC Amended and Restated Executive/Management Incentive Plan (the “EMIP”), which was originally approved by shareholders of The Scotts Miracle-Gro Company in January 2006.</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SIP is designed to provide executive officers and key management employees of The Scotts Company LLC and its subsidiaries an opportunity to earn an annual cash compensation award based upon the achievement by The Scotts Miracle-Gro Company and its subsidiaries (collectively, the “Company”) of established financial targets.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b w:val="1"/>
                <w:bCs w:val="1"/>
                <w:color w:val="auto"/>
              </w:rPr>
              <w:t>Purpose/</w:t>
            </w:r>
          </w:p>
        </w:tc>
        <w:tc>
          <w:tcPr>
            <w:tcW w:w="9720" w:type="dxa"/>
            <w:vAlign w:val="bottom"/>
          </w:tcPr>
          <w:p>
            <w:pPr>
              <w:ind w:left="600"/>
              <w:spacing w:after="0"/>
              <w:rPr>
                <w:sz w:val="20"/>
                <w:szCs w:val="20"/>
                <w:color w:val="auto"/>
              </w:rPr>
            </w:pPr>
            <w:r>
              <w:rPr>
                <w:rFonts w:ascii="Arial" w:cs="Arial" w:eastAsia="Arial" w:hAnsi="Arial"/>
                <w:sz w:val="18"/>
                <w:szCs w:val="18"/>
                <w:color w:val="auto"/>
                <w:w w:val="91"/>
              </w:rPr>
              <w:t>The SIP is a single global incentive plan that is intended to unite the organization with a common focus on delivering two key</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20"/>
                <w:szCs w:val="20"/>
                <w:color w:val="auto"/>
              </w:rPr>
            </w:pPr>
            <w:r>
              <w:rPr>
                <w:rFonts w:ascii="Arial" w:cs="Arial" w:eastAsia="Arial" w:hAnsi="Arial"/>
                <w:sz w:val="18"/>
                <w:szCs w:val="18"/>
                <w:b w:val="1"/>
                <w:bCs w:val="1"/>
                <w:color w:val="auto"/>
              </w:rPr>
              <w:t>Objectives</w:t>
            </w:r>
          </w:p>
        </w:tc>
        <w:tc>
          <w:tcPr>
            <w:tcW w:w="9720" w:type="dxa"/>
            <w:vAlign w:val="bottom"/>
          </w:tcPr>
          <w:p>
            <w:pPr>
              <w:ind w:left="600"/>
              <w:spacing w:after="0"/>
              <w:rPr>
                <w:sz w:val="20"/>
                <w:szCs w:val="20"/>
                <w:color w:val="auto"/>
              </w:rPr>
            </w:pPr>
            <w:r>
              <w:rPr>
                <w:rFonts w:ascii="Arial" w:cs="Arial" w:eastAsia="Arial" w:hAnsi="Arial"/>
                <w:sz w:val="18"/>
                <w:szCs w:val="18"/>
                <w:color w:val="auto"/>
                <w:w w:val="91"/>
              </w:rPr>
              <w:t>financial performance measures (earnings per share and modified free cash flow) within the range of guidance the Company</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w w:val="98"/>
              </w:rPr>
              <w:t>communicated to the investment community for FY08 in the Company’s May 5, 2008 earnings release. The SIP is a</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rPr>
              <w:t>supplement to the EMIP for FY08, which will continue as previously communicated.</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0"/>
                <w:szCs w:val="20"/>
                <w:color w:val="auto"/>
              </w:rPr>
            </w:pPr>
            <w:r>
              <w:rPr>
                <w:rFonts w:ascii="Arial" w:cs="Arial" w:eastAsia="Arial" w:hAnsi="Arial"/>
                <w:sz w:val="18"/>
                <w:szCs w:val="18"/>
                <w:b w:val="1"/>
                <w:bCs w:val="1"/>
                <w:color w:val="auto"/>
              </w:rPr>
              <w:t>Plan Year</w:t>
            </w:r>
          </w:p>
        </w:tc>
        <w:tc>
          <w:tcPr>
            <w:tcW w:w="9720" w:type="dxa"/>
            <w:vAlign w:val="bottom"/>
          </w:tcPr>
          <w:p>
            <w:pPr>
              <w:ind w:left="600"/>
              <w:spacing w:after="0"/>
              <w:rPr>
                <w:sz w:val="20"/>
                <w:szCs w:val="20"/>
                <w:color w:val="auto"/>
              </w:rPr>
            </w:pPr>
            <w:r>
              <w:rPr>
                <w:rFonts w:ascii="Arial" w:cs="Arial" w:eastAsia="Arial" w:hAnsi="Arial"/>
                <w:sz w:val="18"/>
                <w:szCs w:val="18"/>
                <w:color w:val="auto"/>
                <w:w w:val="92"/>
              </w:rPr>
              <w:t>The SIP will correspond to the Company’s FY08 with the exception of Scotts Lawn Service (SLS) which will be based on the</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rPr>
              <w:t>2008 calendar year.</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0"/>
                <w:szCs w:val="20"/>
                <w:color w:val="auto"/>
              </w:rPr>
            </w:pPr>
            <w:r>
              <w:rPr>
                <w:rFonts w:ascii="Arial" w:cs="Arial" w:eastAsia="Arial" w:hAnsi="Arial"/>
                <w:sz w:val="18"/>
                <w:szCs w:val="18"/>
                <w:b w:val="1"/>
                <w:bCs w:val="1"/>
                <w:color w:val="auto"/>
              </w:rPr>
              <w:t>Eligibility and</w:t>
            </w:r>
          </w:p>
        </w:tc>
        <w:tc>
          <w:tcPr>
            <w:tcW w:w="9720" w:type="dxa"/>
            <w:vAlign w:val="bottom"/>
          </w:tcPr>
          <w:p>
            <w:pPr>
              <w:ind w:left="600"/>
              <w:spacing w:after="0"/>
              <w:rPr>
                <w:sz w:val="20"/>
                <w:szCs w:val="20"/>
                <w:color w:val="auto"/>
              </w:rPr>
            </w:pPr>
            <w:r>
              <w:rPr>
                <w:rFonts w:ascii="Arial" w:cs="Arial" w:eastAsia="Arial" w:hAnsi="Arial"/>
                <w:sz w:val="18"/>
                <w:szCs w:val="18"/>
                <w:color w:val="auto"/>
              </w:rPr>
              <w:t>Eligibility for the SIP is open to all 2008 Plan Year EMIP participants.</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Participation</w:t>
            </w:r>
          </w:p>
        </w:tc>
        <w:tc>
          <w:tcPr>
            <w:tcW w:w="9720" w:type="dxa"/>
            <w:vAlign w:val="bottom"/>
            <w:vMerge w:val="restart"/>
          </w:tcPr>
          <w:p>
            <w:pPr>
              <w:ind w:left="600"/>
              <w:spacing w:after="0"/>
              <w:rPr>
                <w:sz w:val="20"/>
                <w:szCs w:val="20"/>
                <w:color w:val="auto"/>
              </w:rPr>
            </w:pPr>
            <w:r>
              <w:rPr>
                <w:rFonts w:ascii="Arial" w:cs="Arial" w:eastAsia="Arial" w:hAnsi="Arial"/>
                <w:sz w:val="18"/>
                <w:szCs w:val="18"/>
                <w:color w:val="auto"/>
                <w:w w:val="90"/>
              </w:rPr>
              <w:t>Participants must be actively employed in an eligible job/position for at least 13 consecutive weeks during the 2008 Plan Year.</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9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w w:val="92"/>
              </w:rPr>
              <w:t>The 2008 Plan Year cut-off for new participants and/or changes need to be effective prior to 6/22/08 for bi-weekly payrolls or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w w:val="94"/>
              </w:rPr>
              <w:t>prior to 7/2/08 for monthly payrolls (9/28/08 for SLS bi-weekly payrolls and 10/1/08 for SLS monthly payrolls). Participants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w w:val="90"/>
              </w:rPr>
              <w:t>must be employed by the Company on the last day of the fiscal year (calendar year for SLS) to be eligible for a payment under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w w:val="92"/>
              </w:rPr>
              <w:t>the SIP. Participants whose employment terminates during the 2008 Plan Year (other than in cases of retirement) will not be</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720" w:type="dxa"/>
            <w:vAlign w:val="bottom"/>
          </w:tcPr>
          <w:p>
            <w:pPr>
              <w:ind w:left="600"/>
              <w:spacing w:after="0"/>
              <w:rPr>
                <w:sz w:val="20"/>
                <w:szCs w:val="20"/>
                <w:color w:val="auto"/>
              </w:rPr>
            </w:pPr>
            <w:r>
              <w:rPr>
                <w:rFonts w:ascii="Arial" w:cs="Arial" w:eastAsia="Arial" w:hAnsi="Arial"/>
                <w:sz w:val="18"/>
                <w:szCs w:val="18"/>
                <w:color w:val="auto"/>
              </w:rPr>
              <w:t>eligible for any payment under the SIP.</w:t>
            </w:r>
          </w:p>
        </w:tc>
        <w:tc>
          <w:tcPr>
            <w:tcW w:w="0" w:type="dxa"/>
            <w:vAlign w:val="bottom"/>
          </w:tcPr>
          <w:p>
            <w:pPr>
              <w:spacing w:after="0"/>
              <w:rPr>
                <w:sz w:val="1"/>
                <w:szCs w:val="1"/>
                <w:color w:val="auto"/>
              </w:rPr>
            </w:pPr>
          </w:p>
        </w:tc>
      </w:tr>
      <w:tr>
        <w:trPr>
          <w:trHeight w:val="618"/>
        </w:trPr>
        <w:tc>
          <w:tcPr>
            <w:tcW w:w="170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Retirement</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Participants who retire during the 2008 Plan Year will be eligible for a prorated award based on the percentage of the 2008 Plan Year (as applicable to such participants) worked.</w:t>
      </w:r>
    </w:p>
    <w:p>
      <w:pPr>
        <w:spacing w:after="0" w:line="166" w:lineRule="exact"/>
        <w:rPr>
          <w:sz w:val="20"/>
          <w:szCs w:val="20"/>
          <w:color w:val="auto"/>
        </w:rPr>
      </w:pPr>
    </w:p>
    <w:p>
      <w:pPr>
        <w:sectPr>
          <w:pgSz w:w="11900" w:h="16838" w:orient="portrait"/>
          <w:cols w:equalWidth="0" w:num="2">
            <w:col w:w="1580" w:space="720"/>
            <w:col w:w="8960"/>
          </w:cols>
          <w:pgMar w:left="240" w:top="1148" w:right="399" w:bottom="1440" w:gutter="0" w:footer="0" w:header="0"/>
        </w:sectPr>
      </w:pPr>
    </w:p>
    <w:p>
      <w:pPr>
        <w:spacing w:after="0"/>
        <w:rPr>
          <w:sz w:val="20"/>
          <w:szCs w:val="20"/>
          <w:color w:val="auto"/>
        </w:rPr>
      </w:pPr>
      <w:r>
        <w:rPr>
          <w:rFonts w:ascii="Arial" w:cs="Arial" w:eastAsia="Arial" w:hAnsi="Arial"/>
          <w:sz w:val="16"/>
          <w:szCs w:val="16"/>
          <w:b w:val="1"/>
          <w:bCs w:val="1"/>
          <w:color w:val="auto"/>
        </w:rPr>
        <w:t>Performance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Performance Measures for the 2008 Plan Year are:</w:t>
      </w:r>
    </w:p>
    <w:p>
      <w:pPr>
        <w:spacing w:after="0" w:line="464" w:lineRule="exact"/>
        <w:rPr>
          <w:sz w:val="20"/>
          <w:szCs w:val="20"/>
          <w:color w:val="auto"/>
        </w:rPr>
      </w:pPr>
    </w:p>
    <w:p>
      <w:pPr>
        <w:sectPr>
          <w:pgSz w:w="11900" w:h="16838" w:orient="portrait"/>
          <w:cols w:equalWidth="0" w:num="2">
            <w:col w:w="1580" w:space="720"/>
            <w:col w:w="8960"/>
          </w:cols>
          <w:pgMar w:left="240" w:top="1148" w:right="399" w:bottom="1440" w:gutter="0" w:footer="0" w:header="0"/>
          <w:type w:val="continuous"/>
        </w:sectPr>
      </w:pPr>
    </w:p>
    <w:p>
      <w:pPr>
        <w:spacing w:after="0" w:line="7"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Participant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Applicable Performance Measures</w:t>
      </w:r>
    </w:p>
    <w:p>
      <w:pPr>
        <w:spacing w:after="0" w:line="200" w:lineRule="exact"/>
        <w:rPr>
          <w:sz w:val="20"/>
          <w:szCs w:val="20"/>
          <w:color w:val="auto"/>
        </w:rPr>
      </w:pPr>
    </w:p>
    <w:p>
      <w:pPr>
        <w:sectPr>
          <w:pgSz w:w="11900" w:h="16838" w:orient="portrait"/>
          <w:cols w:equalWidth="0" w:num="2">
            <w:col w:w="4240" w:space="720"/>
            <w:col w:w="6300"/>
          </w:cols>
          <w:pgMar w:left="240" w:top="1148" w:right="399" w:bottom="1440" w:gutter="0" w:footer="0" w:header="0"/>
          <w:type w:val="continuous"/>
        </w:sectPr>
      </w:pPr>
    </w:p>
    <w:p>
      <w:pPr>
        <w:spacing w:after="0" w:line="5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All SIP Participants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Earnings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Modified Free Cash Flow</w:t>
      </w:r>
    </w:p>
    <w:p>
      <w:pPr>
        <w:spacing w:after="0" w:line="200" w:lineRule="exact"/>
        <w:rPr>
          <w:sz w:val="20"/>
          <w:szCs w:val="20"/>
          <w:color w:val="auto"/>
        </w:rPr>
      </w:pPr>
    </w:p>
    <w:p>
      <w:pPr>
        <w:sectPr>
          <w:pgSz w:w="11900" w:h="16838" w:orient="portrait"/>
          <w:cols w:equalWidth="0" w:num="3">
            <w:col w:w="4240" w:space="720"/>
            <w:col w:w="60" w:space="360"/>
            <w:col w:w="5880"/>
          </w:cols>
          <w:pgMar w:left="240" w:top="1148" w:right="3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Measures defined below are all calculated at the consolidated Company level.</w:t>
      </w:r>
    </w:p>
    <w:p>
      <w:pPr>
        <w:spacing w:after="0" w:line="46" w:lineRule="exact"/>
        <w:rPr>
          <w:sz w:val="20"/>
          <w:szCs w:val="20"/>
          <w:color w:val="auto"/>
        </w:rPr>
      </w:pPr>
    </w:p>
    <w:p>
      <w:pPr>
        <w:sectPr>
          <w:pgSz w:w="11900" w:h="16838" w:orient="portrait"/>
          <w:cols w:equalWidth="0" w:num="2">
            <w:col w:w="1580" w:space="720"/>
            <w:col w:w="8960"/>
          </w:cols>
          <w:pgMar w:left="240" w:top="1148"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Measures Defined</w:t>
      </w:r>
    </w:p>
    <w:p>
      <w:pPr>
        <w:spacing w:after="0" w:line="207" w:lineRule="exact"/>
        <w:rPr>
          <w:sz w:val="20"/>
          <w:szCs w:val="20"/>
          <w:color w:val="auto"/>
        </w:rPr>
      </w:pPr>
    </w:p>
    <w:p>
      <w:pPr>
        <w:ind w:left="2300"/>
        <w:spacing w:after="0" w:line="282" w:lineRule="auto"/>
        <w:rPr>
          <w:sz w:val="20"/>
          <w:szCs w:val="20"/>
          <w:color w:val="auto"/>
        </w:rPr>
      </w:pPr>
      <w:r>
        <w:rPr>
          <w:rFonts w:ascii="Arial" w:cs="Arial" w:eastAsia="Arial" w:hAnsi="Arial"/>
          <w:sz w:val="18"/>
          <w:szCs w:val="18"/>
          <w:b w:val="1"/>
          <w:bCs w:val="1"/>
          <w:color w:val="auto"/>
        </w:rPr>
        <w:t xml:space="preserve">Adjusted Earnings Per Share </w:t>
      </w:r>
      <w:r>
        <w:rPr>
          <w:rFonts w:ascii="Arial" w:cs="Arial" w:eastAsia="Arial" w:hAnsi="Arial"/>
          <w:sz w:val="18"/>
          <w:szCs w:val="18"/>
          <w:color w:val="auto"/>
        </w:rPr>
        <w:t>— Adjusted Net Income (defined below) / outstanding common shares and dilutive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outstanding.</w:t>
      </w:r>
    </w:p>
    <w:p>
      <w:pPr>
        <w:spacing w:after="0" w:line="162" w:lineRule="exact"/>
        <w:rPr>
          <w:sz w:val="20"/>
          <w:szCs w:val="20"/>
          <w:color w:val="auto"/>
        </w:rPr>
      </w:pPr>
    </w:p>
    <w:p>
      <w:pPr>
        <w:ind w:left="2300" w:right="380"/>
        <w:spacing w:after="0" w:line="266"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 Earnings after amortization, interest and taxes, excluding charges related to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and other non-recurring items. For purposes of the SIP, foreign currency translation is calculated based on budgeted exchange rates.</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Modified Free Cash Flow </w:t>
      </w:r>
      <w:r>
        <w:rPr>
          <w:rFonts w:ascii="Arial" w:cs="Arial" w:eastAsia="Arial" w:hAnsi="Arial"/>
          <w:sz w:val="18"/>
          <w:szCs w:val="18"/>
          <w:color w:val="auto"/>
        </w:rPr>
        <w:t>— Adjusted Net Income with certain adjustments, as shown below.</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Adjusted Net Income</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Add</w:t>
      </w:r>
      <w:r>
        <w:rPr>
          <w:rFonts w:ascii="Arial" w:cs="Arial" w:eastAsia="Arial" w:hAnsi="Arial"/>
          <w:sz w:val="18"/>
          <w:szCs w:val="18"/>
          <w:color w:val="auto"/>
        </w:rPr>
        <w:t>: non-cash expenses (depreciation, amortization and stock-based compensation)</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Subtract</w:t>
      </w:r>
      <w:r>
        <w:rPr>
          <w:rFonts w:ascii="Arial" w:cs="Arial" w:eastAsia="Arial" w:hAnsi="Arial"/>
          <w:sz w:val="18"/>
          <w:szCs w:val="18"/>
          <w:color w:val="auto"/>
        </w:rPr>
        <w:t>: capital expenditures</w:t>
      </w:r>
    </w:p>
    <w:p>
      <w:pPr>
        <w:spacing w:after="0" w:line="9" w:lineRule="exact"/>
        <w:rPr>
          <w:sz w:val="20"/>
          <w:szCs w:val="20"/>
          <w:color w:val="auto"/>
        </w:rPr>
      </w:pPr>
    </w:p>
    <w:p>
      <w:pPr>
        <w:ind w:left="5660" w:right="820" w:hanging="2928"/>
        <w:spacing w:after="0" w:line="480" w:lineRule="auto"/>
        <w:rPr>
          <w:sz w:val="20"/>
          <w:szCs w:val="20"/>
          <w:color w:val="auto"/>
        </w:rPr>
      </w:pPr>
      <w:r>
        <w:rPr>
          <w:rFonts w:ascii="Arial" w:cs="Arial" w:eastAsia="Arial" w:hAnsi="Arial"/>
          <w:sz w:val="18"/>
          <w:szCs w:val="18"/>
          <w:i w:val="1"/>
          <w:iCs w:val="1"/>
          <w:color w:val="auto"/>
        </w:rPr>
        <w:t>Adjust</w:t>
      </w:r>
      <w:r>
        <w:rPr>
          <w:rFonts w:ascii="Arial" w:cs="Arial" w:eastAsia="Arial" w:hAnsi="Arial"/>
          <w:sz w:val="18"/>
          <w:szCs w:val="18"/>
          <w:color w:val="auto"/>
        </w:rPr>
        <w:t>: (add/subtract) for change in working capital, calculated using an average of 13 month-end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48" w:right="39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Award</w:t>
            </w:r>
          </w:p>
        </w:tc>
        <w:tc>
          <w:tcPr>
            <w:tcW w:w="9360" w:type="dxa"/>
            <w:vAlign w:val="bottom"/>
          </w:tcPr>
          <w:p>
            <w:pPr>
              <w:ind w:left="280"/>
              <w:spacing w:after="0"/>
              <w:rPr>
                <w:sz w:val="20"/>
                <w:szCs w:val="20"/>
                <w:color w:val="auto"/>
              </w:rPr>
            </w:pPr>
            <w:r>
              <w:rPr>
                <w:rFonts w:ascii="Arial" w:cs="Arial" w:eastAsia="Arial" w:hAnsi="Arial"/>
                <w:sz w:val="18"/>
                <w:szCs w:val="18"/>
                <w:color w:val="auto"/>
                <w:w w:val="96"/>
              </w:rPr>
              <w:t>The SIP is designed to recognize and reward performance against established financial targets. Payouts for each SIP</w:t>
            </w:r>
          </w:p>
        </w:tc>
      </w:tr>
      <w:tr>
        <w:trPr>
          <w:trHeight w:val="234"/>
        </w:trPr>
        <w:tc>
          <w:tcPr>
            <w:tcW w:w="2060" w:type="dxa"/>
            <w:vAlign w:val="bottom"/>
          </w:tcPr>
          <w:p>
            <w:pPr>
              <w:spacing w:after="0"/>
              <w:rPr>
                <w:sz w:val="20"/>
                <w:szCs w:val="20"/>
                <w:color w:val="auto"/>
              </w:rPr>
            </w:pPr>
            <w:r>
              <w:rPr>
                <w:rFonts w:ascii="Arial" w:cs="Arial" w:eastAsia="Arial" w:hAnsi="Arial"/>
                <w:sz w:val="18"/>
                <w:szCs w:val="18"/>
                <w:b w:val="1"/>
                <w:bCs w:val="1"/>
                <w:color w:val="auto"/>
              </w:rPr>
              <w:t>Determination/Payouts</w:t>
            </w:r>
          </w:p>
        </w:tc>
        <w:tc>
          <w:tcPr>
            <w:tcW w:w="9360" w:type="dxa"/>
            <w:vAlign w:val="bottom"/>
          </w:tcPr>
          <w:p>
            <w:pPr>
              <w:ind w:left="280"/>
              <w:spacing w:after="0"/>
              <w:rPr>
                <w:sz w:val="20"/>
                <w:szCs w:val="20"/>
                <w:color w:val="auto"/>
              </w:rPr>
            </w:pPr>
            <w:r>
              <w:rPr>
                <w:rFonts w:ascii="Arial" w:cs="Arial" w:eastAsia="Arial" w:hAnsi="Arial"/>
                <w:sz w:val="18"/>
                <w:szCs w:val="18"/>
                <w:color w:val="auto"/>
              </w:rPr>
              <w:t>participant will be calculated in the following manner:</w:t>
            </w:r>
          </w:p>
        </w:tc>
      </w:tr>
      <w:tr>
        <w:trPr>
          <w:trHeight w:val="418"/>
        </w:trPr>
        <w:tc>
          <w:tcPr>
            <w:tcW w:w="206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Arial" w:cs="Arial" w:eastAsia="Arial" w:hAnsi="Arial"/>
                <w:sz w:val="18"/>
                <w:szCs w:val="18"/>
                <w:b w:val="1"/>
                <w:bCs w:val="1"/>
                <w:color w:val="auto"/>
                <w:w w:val="94"/>
              </w:rPr>
              <w:t xml:space="preserve">Incentive Target </w:t>
            </w:r>
            <w:r>
              <w:rPr>
                <w:rFonts w:ascii="Arial" w:cs="Arial" w:eastAsia="Arial" w:hAnsi="Arial"/>
                <w:sz w:val="18"/>
                <w:szCs w:val="18"/>
                <w:color w:val="auto"/>
                <w:w w:val="94"/>
              </w:rPr>
              <w:t>— The incentive opportunity for SIP participants is based on a percentage (referred to as the Incentive</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1"/>
              </w:rPr>
              <w:t>Target) of each participant’s Incentive Eligible Earnings for the 2008 Plan Year. The Incentive Target for purposes of the SIP,</w:t>
            </w:r>
          </w:p>
        </w:tc>
      </w:tr>
      <w:tr>
        <w:trPr>
          <w:trHeight w:val="230"/>
        </w:trPr>
        <w:tc>
          <w:tcPr>
            <w:tcW w:w="2060" w:type="dxa"/>
            <w:vAlign w:val="bottom"/>
          </w:tcPr>
          <w:p>
            <w:pPr>
              <w:spacing w:after="0"/>
              <w:rPr>
                <w:sz w:val="20"/>
                <w:szCs w:val="20"/>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4"/>
              </w:rPr>
              <w:t>which varies by position level, is the same as each participant’s Incentive Target under the EMIP for the 2008 Plan Year.</w:t>
            </w:r>
          </w:p>
        </w:tc>
      </w:tr>
      <w:tr>
        <w:trPr>
          <w:trHeight w:val="418"/>
        </w:trPr>
        <w:tc>
          <w:tcPr>
            <w:tcW w:w="206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Arial" w:cs="Arial" w:eastAsia="Arial" w:hAnsi="Arial"/>
                <w:sz w:val="18"/>
                <w:szCs w:val="18"/>
                <w:b w:val="1"/>
                <w:bCs w:val="1"/>
                <w:color w:val="auto"/>
                <w:w w:val="94"/>
              </w:rPr>
              <w:t>Components, Performance Measures, and Weights</w:t>
            </w:r>
            <w:r>
              <w:rPr>
                <w:rFonts w:ascii="Arial" w:cs="Arial" w:eastAsia="Arial" w:hAnsi="Arial"/>
                <w:sz w:val="18"/>
                <w:szCs w:val="18"/>
                <w:color w:val="auto"/>
                <w:w w:val="94"/>
              </w:rPr>
              <w:t>— Incentive payouts will begin accruing after the threshold level of</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1"/>
              </w:rPr>
              <w:t>performance is achieved for each of the performance measures. Maximum performance against each performance measure</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2"/>
              </w:rPr>
              <w:t>will result in a calculated payout amount equal to 100 percent of the target payout. Performance between the threshold and</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3"/>
              </w:rPr>
              <w:t>maximum performance levels will be incrementally calculated so participants will receive a payout calculated on a straight-</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1"/>
              </w:rPr>
              <w:t>line basis. The calculated payout for each performance measure will be multiplied by the assigned weighting to determine the</w:t>
            </w:r>
          </w:p>
        </w:tc>
      </w:tr>
      <w:tr>
        <w:trPr>
          <w:trHeight w:val="230"/>
        </w:trPr>
        <w:tc>
          <w:tcPr>
            <w:tcW w:w="2060" w:type="dxa"/>
            <w:vAlign w:val="bottom"/>
          </w:tcPr>
          <w:p>
            <w:pPr>
              <w:spacing w:after="0"/>
              <w:rPr>
                <w:sz w:val="20"/>
                <w:szCs w:val="20"/>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rPr>
              <w:t>actual payout under the SIP.</w:t>
            </w:r>
          </w:p>
        </w:tc>
      </w:tr>
      <w:tr>
        <w:trPr>
          <w:trHeight w:val="418"/>
        </w:trPr>
        <w:tc>
          <w:tcPr>
            <w:tcW w:w="206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Arial" w:cs="Arial" w:eastAsia="Arial" w:hAnsi="Arial"/>
                <w:sz w:val="18"/>
                <w:szCs w:val="18"/>
                <w:b w:val="1"/>
                <w:bCs w:val="1"/>
                <w:color w:val="auto"/>
                <w:w w:val="91"/>
              </w:rPr>
              <w:t>Funding Trigger</w:t>
            </w:r>
            <w:r>
              <w:rPr>
                <w:rFonts w:ascii="Arial" w:cs="Arial" w:eastAsia="Arial" w:hAnsi="Arial"/>
                <w:sz w:val="18"/>
                <w:szCs w:val="18"/>
                <w:color w:val="auto"/>
                <w:w w:val="91"/>
              </w:rPr>
              <w:t>— No payments will be paid for any component of the SIP unless the Company achieves the EPS threshold</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3"/>
              </w:rPr>
              <w:t>for the full 2008 Plan Year. This is referred to as the “funding trigger” – achievement of that level of performance triggers a</w:t>
            </w:r>
          </w:p>
        </w:tc>
      </w:tr>
      <w:tr>
        <w:trPr>
          <w:trHeight w:val="230"/>
        </w:trPr>
        <w:tc>
          <w:tcPr>
            <w:tcW w:w="2060" w:type="dxa"/>
            <w:vAlign w:val="bottom"/>
          </w:tcPr>
          <w:p>
            <w:pPr>
              <w:spacing w:after="0"/>
              <w:rPr>
                <w:sz w:val="20"/>
                <w:szCs w:val="20"/>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rPr>
              <w:t>funding of the SIP.</w:t>
            </w:r>
          </w:p>
        </w:tc>
      </w:tr>
      <w:tr>
        <w:trPr>
          <w:trHeight w:val="418"/>
        </w:trPr>
        <w:tc>
          <w:tcPr>
            <w:tcW w:w="206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Arial" w:cs="Arial" w:eastAsia="Arial" w:hAnsi="Arial"/>
                <w:sz w:val="18"/>
                <w:szCs w:val="18"/>
                <w:b w:val="1"/>
                <w:bCs w:val="1"/>
                <w:color w:val="auto"/>
                <w:w w:val="93"/>
              </w:rPr>
              <w:t xml:space="preserve">Higher of SIP or EMIP Payout </w:t>
            </w:r>
            <w:r>
              <w:rPr>
                <w:rFonts w:ascii="Arial" w:cs="Arial" w:eastAsia="Arial" w:hAnsi="Arial"/>
                <w:sz w:val="18"/>
                <w:szCs w:val="18"/>
                <w:color w:val="auto"/>
                <w:w w:val="93"/>
              </w:rPr>
              <w:t>— Each SIP particpipant will be eligible to receive the highest payout calculated under the</w:t>
            </w:r>
          </w:p>
        </w:tc>
      </w:tr>
      <w:tr>
        <w:trPr>
          <w:trHeight w:val="230"/>
        </w:trPr>
        <w:tc>
          <w:tcPr>
            <w:tcW w:w="2060" w:type="dxa"/>
            <w:vAlign w:val="bottom"/>
          </w:tcPr>
          <w:p>
            <w:pPr>
              <w:spacing w:after="0"/>
              <w:rPr>
                <w:sz w:val="20"/>
                <w:szCs w:val="20"/>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rPr>
              <w:t>SIP or the EMIP for the 2008 Plan Year. In no case will a participant receive a payout under both plans.</w:t>
            </w:r>
          </w:p>
        </w:tc>
      </w:tr>
      <w:tr>
        <w:trPr>
          <w:trHeight w:val="418"/>
        </w:trPr>
        <w:tc>
          <w:tcPr>
            <w:tcW w:w="206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Arial" w:cs="Arial" w:eastAsia="Arial" w:hAnsi="Arial"/>
                <w:sz w:val="18"/>
                <w:szCs w:val="18"/>
                <w:b w:val="1"/>
                <w:bCs w:val="1"/>
                <w:color w:val="auto"/>
                <w:w w:val="91"/>
              </w:rPr>
              <w:t xml:space="preserve">Payment of Incentive Awards </w:t>
            </w:r>
            <w:r>
              <w:rPr>
                <w:rFonts w:ascii="Arial" w:cs="Arial" w:eastAsia="Arial" w:hAnsi="Arial"/>
                <w:sz w:val="18"/>
                <w:szCs w:val="18"/>
                <w:color w:val="auto"/>
                <w:w w:val="91"/>
              </w:rPr>
              <w:t>— Incentive awards earned under the SIP are subject to the terms and conditions of the SIP.</w:t>
            </w:r>
          </w:p>
        </w:tc>
      </w:tr>
      <w:tr>
        <w:trPr>
          <w:trHeight w:val="216"/>
        </w:trPr>
        <w:tc>
          <w:tcPr>
            <w:tcW w:w="2060" w:type="dxa"/>
            <w:vAlign w:val="bottom"/>
          </w:tcPr>
          <w:p>
            <w:pPr>
              <w:spacing w:after="0"/>
              <w:rPr>
                <w:sz w:val="18"/>
                <w:szCs w:val="18"/>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2"/>
              </w:rPr>
              <w:t>With the exception of SLS participants who are on a calendar year EMIP, any awards earned under the SIP will be paid out</w:t>
            </w:r>
          </w:p>
        </w:tc>
      </w:tr>
      <w:tr>
        <w:trPr>
          <w:trHeight w:val="230"/>
        </w:trPr>
        <w:tc>
          <w:tcPr>
            <w:tcW w:w="2060" w:type="dxa"/>
            <w:vAlign w:val="bottom"/>
          </w:tcPr>
          <w:p>
            <w:pPr>
              <w:spacing w:after="0"/>
              <w:rPr>
                <w:sz w:val="20"/>
                <w:szCs w:val="20"/>
                <w:color w:val="auto"/>
              </w:rPr>
            </w:pPr>
          </w:p>
        </w:tc>
        <w:tc>
          <w:tcPr>
            <w:tcW w:w="9360" w:type="dxa"/>
            <w:vAlign w:val="bottom"/>
          </w:tcPr>
          <w:p>
            <w:pPr>
              <w:ind w:left="280"/>
              <w:spacing w:after="0"/>
              <w:rPr>
                <w:sz w:val="20"/>
                <w:szCs w:val="20"/>
                <w:color w:val="auto"/>
              </w:rPr>
            </w:pPr>
            <w:r>
              <w:rPr>
                <w:rFonts w:ascii="Arial" w:cs="Arial" w:eastAsia="Arial" w:hAnsi="Arial"/>
                <w:sz w:val="18"/>
                <w:szCs w:val="18"/>
                <w:color w:val="auto"/>
                <w:w w:val="91"/>
              </w:rPr>
              <w:t>after the close of the 2008 Plan Year and no later than December 15, 2008. SLS participants will be paid by March 15, 2009.</w:t>
            </w:r>
          </w:p>
        </w:tc>
      </w:tr>
      <w:tr>
        <w:trPr>
          <w:trHeight w:val="405"/>
        </w:trPr>
        <w:tc>
          <w:tcPr>
            <w:tcW w:w="2060" w:type="dxa"/>
            <w:vAlign w:val="bottom"/>
          </w:tcPr>
          <w:p>
            <w:pPr>
              <w:spacing w:after="0"/>
              <w:rPr>
                <w:sz w:val="24"/>
                <w:szCs w:val="24"/>
                <w:color w:val="auto"/>
              </w:rPr>
            </w:pPr>
          </w:p>
        </w:tc>
        <w:tc>
          <w:tcPr>
            <w:tcW w:w="9360" w:type="dxa"/>
            <w:vAlign w:val="bottom"/>
          </w:tcPr>
          <w:p>
            <w:pPr>
              <w:ind w:left="3600"/>
              <w:spacing w:after="0"/>
              <w:rPr>
                <w:sz w:val="20"/>
                <w:szCs w:val="20"/>
                <w:color w:val="auto"/>
              </w:rPr>
            </w:pPr>
            <w:r>
              <w:rPr>
                <w:rFonts w:ascii="Arial" w:cs="Arial" w:eastAsia="Arial" w:hAnsi="Arial"/>
                <w:sz w:val="18"/>
                <w:szCs w:val="18"/>
                <w:color w:val="auto"/>
              </w:rPr>
              <w:t>3</w:t>
            </w:r>
          </w:p>
        </w:tc>
      </w:tr>
      <w:tr>
        <w:trPr>
          <w:trHeight w:val="226"/>
        </w:trPr>
        <w:tc>
          <w:tcPr>
            <w:tcW w:w="2060" w:type="dxa"/>
            <w:vAlign w:val="bottom"/>
            <w:tcBorders>
              <w:bottom w:val="single" w:sz="8" w:color="808080"/>
            </w:tcBorders>
          </w:tcPr>
          <w:p>
            <w:pPr>
              <w:spacing w:after="0"/>
              <w:rPr>
                <w:sz w:val="19"/>
                <w:szCs w:val="19"/>
                <w:color w:val="auto"/>
              </w:rPr>
            </w:pPr>
          </w:p>
        </w:tc>
        <w:tc>
          <w:tcPr>
            <w:tcW w:w="9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Incentive Eligible</w:t>
            </w:r>
          </w:p>
        </w:tc>
        <w:tc>
          <w:tcPr>
            <w:tcW w:w="9060" w:type="dxa"/>
            <w:vAlign w:val="bottom"/>
            <w:gridSpan w:val="5"/>
          </w:tcPr>
          <w:p>
            <w:pPr>
              <w:spacing w:after="0"/>
              <w:rPr>
                <w:sz w:val="20"/>
                <w:szCs w:val="20"/>
                <w:color w:val="auto"/>
              </w:rPr>
            </w:pPr>
            <w:r>
              <w:rPr>
                <w:rFonts w:ascii="Arial" w:cs="Arial" w:eastAsia="Arial" w:hAnsi="Arial"/>
                <w:sz w:val="18"/>
                <w:szCs w:val="18"/>
                <w:color w:val="auto"/>
                <w:w w:val="89"/>
              </w:rPr>
              <w:t>For purposes of the SIP, incentive eligible earnings are defined as the gross salary/wages, overtime, vacation, holiday and sick</w:t>
            </w: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Earnings Under SIP</w:t>
            </w:r>
          </w:p>
        </w:tc>
        <w:tc>
          <w:tcPr>
            <w:tcW w:w="9060" w:type="dxa"/>
            <w:vAlign w:val="bottom"/>
            <w:gridSpan w:val="5"/>
          </w:tcPr>
          <w:p>
            <w:pPr>
              <w:spacing w:after="0"/>
              <w:rPr>
                <w:sz w:val="20"/>
                <w:szCs w:val="20"/>
                <w:color w:val="auto"/>
              </w:rPr>
            </w:pPr>
            <w:r>
              <w:rPr>
                <w:rFonts w:ascii="Arial" w:cs="Arial" w:eastAsia="Arial" w:hAnsi="Arial"/>
                <w:sz w:val="18"/>
                <w:szCs w:val="18"/>
                <w:color w:val="auto"/>
              </w:rPr>
              <w:t>days paid during the eligible FY08 or Calendar 2008 pay periods:</w:t>
            </w:r>
          </w:p>
        </w:tc>
      </w:tr>
      <w:tr>
        <w:trPr>
          <w:trHeight w:val="432"/>
        </w:trPr>
        <w:tc>
          <w:tcPr>
            <w:tcW w:w="230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Eligible FY2008 Pay Periods:</w:t>
            </w:r>
          </w:p>
        </w:tc>
        <w:tc>
          <w:tcPr>
            <w:tcW w:w="4900" w:type="dxa"/>
            <w:vAlign w:val="bottom"/>
          </w:tcPr>
          <w:p>
            <w:pPr>
              <w:spacing w:after="0"/>
              <w:rPr>
                <w:sz w:val="24"/>
                <w:szCs w:val="24"/>
                <w:color w:val="auto"/>
              </w:rPr>
            </w:pPr>
          </w:p>
        </w:tc>
      </w:tr>
      <w:tr>
        <w:trPr>
          <w:trHeight w:val="392"/>
        </w:trPr>
        <w:tc>
          <w:tcPr>
            <w:tcW w:w="230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Monthly Pay Schedule—October 1, 2007 through</w:t>
            </w:r>
          </w:p>
        </w:tc>
        <w:tc>
          <w:tcPr>
            <w:tcW w:w="490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rPr>
              <w:t>September 30, 2008 (last pay date September 25, 2008); and</w:t>
            </w:r>
          </w:p>
        </w:tc>
      </w:tr>
      <w:tr>
        <w:trPr>
          <w:trHeight w:val="392"/>
        </w:trPr>
        <w:tc>
          <w:tcPr>
            <w:tcW w:w="230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w w:val="93"/>
              </w:rPr>
              <w:t>Bi-Weekly Pay Schedule—September 16, 2007 through</w:t>
            </w:r>
          </w:p>
        </w:tc>
        <w:tc>
          <w:tcPr>
            <w:tcW w:w="490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w w:val="90"/>
              </w:rPr>
              <w:t>September 13, 2008 (last pay date September 19, 2008).</w:t>
            </w:r>
          </w:p>
        </w:tc>
        <w:tc>
          <w:tcPr>
            <w:tcW w:w="490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9060" w:type="dxa"/>
            <w:vAlign w:val="bottom"/>
            <w:gridSpan w:val="5"/>
          </w:tcPr>
          <w:p>
            <w:pPr>
              <w:spacing w:after="0"/>
              <w:rPr>
                <w:sz w:val="20"/>
                <w:szCs w:val="20"/>
                <w:color w:val="auto"/>
              </w:rPr>
            </w:pPr>
            <w:r>
              <w:rPr>
                <w:rFonts w:ascii="Arial" w:cs="Arial" w:eastAsia="Arial" w:hAnsi="Arial"/>
                <w:sz w:val="18"/>
                <w:szCs w:val="18"/>
                <w:b w:val="1"/>
                <w:bCs w:val="1"/>
                <w:color w:val="auto"/>
              </w:rPr>
              <w:t>Eligible Calendar 2008 Pay Periods (for SLS participants):</w:t>
            </w:r>
          </w:p>
        </w:tc>
      </w:tr>
      <w:tr>
        <w:trPr>
          <w:trHeight w:val="392"/>
        </w:trPr>
        <w:tc>
          <w:tcPr>
            <w:tcW w:w="230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Monthly Pay Schedule—January 1, 2008 through</w:t>
            </w:r>
          </w:p>
        </w:tc>
        <w:tc>
          <w:tcPr>
            <w:tcW w:w="490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rPr>
              <w:t>December 31, 2008 (last pay date December 24, 2008); and</w:t>
            </w:r>
          </w:p>
        </w:tc>
      </w:tr>
      <w:tr>
        <w:trPr>
          <w:trHeight w:val="392"/>
        </w:trPr>
        <w:tc>
          <w:tcPr>
            <w:tcW w:w="230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w w:val="94"/>
              </w:rPr>
              <w:t>Bi-Weekly Pay Schedule—December 23, 2007 through</w:t>
            </w:r>
          </w:p>
        </w:tc>
        <w:tc>
          <w:tcPr>
            <w:tcW w:w="490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w w:val="92"/>
              </w:rPr>
              <w:t>December 20, 2008 (last pay date December 26, 2008).</w:t>
            </w:r>
          </w:p>
        </w:tc>
        <w:tc>
          <w:tcPr>
            <w:tcW w:w="490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906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following earnings are excluded from the incentive eligible earnings calculation:</w:t>
            </w:r>
          </w:p>
        </w:tc>
      </w:tr>
      <w:tr>
        <w:trPr>
          <w:trHeight w:val="432"/>
        </w:trPr>
        <w:tc>
          <w:tcPr>
            <w:tcW w:w="23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8520" w:type="dxa"/>
            <w:vAlign w:val="bottom"/>
            <w:gridSpan w:val="4"/>
          </w:tcPr>
          <w:p>
            <w:pPr>
              <w:ind w:left="240"/>
              <w:spacing w:after="0"/>
              <w:rPr>
                <w:sz w:val="20"/>
                <w:szCs w:val="20"/>
                <w:color w:val="auto"/>
              </w:rPr>
            </w:pPr>
            <w:r>
              <w:rPr>
                <w:rFonts w:ascii="Arial" w:cs="Arial" w:eastAsia="Arial" w:hAnsi="Arial"/>
                <w:sz w:val="18"/>
                <w:szCs w:val="18"/>
                <w:color w:val="auto"/>
              </w:rPr>
              <w:t>Short-term and long-term disability earnings, and</w:t>
            </w:r>
          </w:p>
        </w:tc>
      </w:tr>
      <w:tr>
        <w:trPr>
          <w:trHeight w:val="432"/>
        </w:trPr>
        <w:tc>
          <w:tcPr>
            <w:tcW w:w="23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20" w:type="dxa"/>
            <w:vAlign w:val="bottom"/>
            <w:gridSpan w:val="3"/>
          </w:tcPr>
          <w:p>
            <w:pPr>
              <w:ind w:left="240"/>
              <w:spacing w:after="0"/>
              <w:rPr>
                <w:sz w:val="20"/>
                <w:szCs w:val="20"/>
                <w:color w:val="auto"/>
              </w:rPr>
            </w:pPr>
            <w:r>
              <w:rPr>
                <w:rFonts w:ascii="Arial" w:cs="Arial" w:eastAsia="Arial" w:hAnsi="Arial"/>
                <w:sz w:val="18"/>
                <w:szCs w:val="18"/>
                <w:color w:val="auto"/>
              </w:rPr>
              <w:t>Workers compensation payments, and</w:t>
            </w:r>
          </w:p>
        </w:tc>
        <w:tc>
          <w:tcPr>
            <w:tcW w:w="4900" w:type="dxa"/>
            <w:vAlign w:val="bottom"/>
          </w:tcPr>
          <w:p>
            <w:pPr>
              <w:spacing w:after="0"/>
              <w:rPr>
                <w:sz w:val="24"/>
                <w:szCs w:val="24"/>
                <w:color w:val="auto"/>
              </w:rPr>
            </w:pPr>
          </w:p>
        </w:tc>
      </w:tr>
      <w:tr>
        <w:trPr>
          <w:trHeight w:val="432"/>
        </w:trPr>
        <w:tc>
          <w:tcPr>
            <w:tcW w:w="23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20" w:type="dxa"/>
            <w:vAlign w:val="bottom"/>
            <w:gridSpan w:val="3"/>
          </w:tcPr>
          <w:p>
            <w:pPr>
              <w:ind w:left="240"/>
              <w:spacing w:after="0"/>
              <w:rPr>
                <w:sz w:val="20"/>
                <w:szCs w:val="20"/>
                <w:color w:val="auto"/>
              </w:rPr>
            </w:pPr>
            <w:r>
              <w:rPr>
                <w:rFonts w:ascii="Arial" w:cs="Arial" w:eastAsia="Arial" w:hAnsi="Arial"/>
                <w:sz w:val="18"/>
                <w:szCs w:val="18"/>
                <w:color w:val="auto"/>
              </w:rPr>
              <w:t>Sign-on or other bonus payments, and</w:t>
            </w:r>
          </w:p>
        </w:tc>
        <w:tc>
          <w:tcPr>
            <w:tcW w:w="4900" w:type="dxa"/>
            <w:vAlign w:val="bottom"/>
          </w:tcPr>
          <w:p>
            <w:pPr>
              <w:spacing w:after="0"/>
              <w:rPr>
                <w:sz w:val="24"/>
                <w:szCs w:val="24"/>
                <w:color w:val="auto"/>
              </w:rPr>
            </w:pPr>
          </w:p>
        </w:tc>
      </w:tr>
      <w:tr>
        <w:trPr>
          <w:trHeight w:val="432"/>
        </w:trPr>
        <w:tc>
          <w:tcPr>
            <w:tcW w:w="23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20" w:type="dxa"/>
            <w:vAlign w:val="bottom"/>
            <w:gridSpan w:val="3"/>
          </w:tcPr>
          <w:p>
            <w:pPr>
              <w:ind w:left="240"/>
              <w:spacing w:after="0"/>
              <w:rPr>
                <w:sz w:val="20"/>
                <w:szCs w:val="20"/>
                <w:color w:val="auto"/>
              </w:rPr>
            </w:pPr>
            <w:r>
              <w:rPr>
                <w:rFonts w:ascii="Arial" w:cs="Arial" w:eastAsia="Arial" w:hAnsi="Arial"/>
                <w:sz w:val="18"/>
                <w:szCs w:val="18"/>
                <w:color w:val="auto"/>
              </w:rPr>
              <w:t>Perks such as a car allowance.</w:t>
            </w:r>
          </w:p>
        </w:tc>
        <w:tc>
          <w:tcPr>
            <w:tcW w:w="490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w w:val="96"/>
              </w:rPr>
              <w:t>Final payout calculations for the SIP will be based on natural rounding to the nearest whole dollar. This applies to both</w:t>
            </w:r>
          </w:p>
        </w:tc>
      </w:tr>
      <w:tr>
        <w:trPr>
          <w:trHeight w:val="230"/>
        </w:trPr>
        <w:tc>
          <w:tcPr>
            <w:tcW w:w="230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w w:val="93"/>
              </w:rPr>
              <w:t>incentive eligible earnings and final payout calculations.</w:t>
            </w:r>
          </w:p>
        </w:tc>
        <w:tc>
          <w:tcPr>
            <w:tcW w:w="4900" w:type="dxa"/>
            <w:vAlign w:val="bottom"/>
          </w:tcPr>
          <w:p>
            <w:pPr>
              <w:spacing w:after="0"/>
              <w:rPr>
                <w:sz w:val="20"/>
                <w:szCs w:val="20"/>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Miscellaneous</w:t>
            </w:r>
          </w:p>
        </w:tc>
        <w:tc>
          <w:tcPr>
            <w:tcW w:w="9060" w:type="dxa"/>
            <w:vAlign w:val="bottom"/>
            <w:gridSpan w:val="5"/>
          </w:tcPr>
          <w:p>
            <w:pPr>
              <w:spacing w:after="0"/>
              <w:rPr>
                <w:sz w:val="20"/>
                <w:szCs w:val="20"/>
                <w:color w:val="auto"/>
              </w:rPr>
            </w:pPr>
            <w:r>
              <w:rPr>
                <w:rFonts w:ascii="Arial" w:cs="Arial" w:eastAsia="Arial" w:hAnsi="Arial"/>
                <w:sz w:val="18"/>
                <w:szCs w:val="18"/>
                <w:color w:val="auto"/>
              </w:rPr>
              <w:t>Participants shall not have any right with respect to any award until an award shall, in fact, be paid to them.</w:t>
            </w:r>
          </w:p>
        </w:tc>
      </w:tr>
      <w:tr>
        <w:trPr>
          <w:trHeight w:val="418"/>
        </w:trPr>
        <w:tc>
          <w:tcPr>
            <w:tcW w:w="2300" w:type="dxa"/>
            <w:vAlign w:val="bottom"/>
          </w:tcPr>
          <w:p>
            <w:pPr>
              <w:spacing w:after="0"/>
              <w:rPr>
                <w:sz w:val="24"/>
                <w:szCs w:val="24"/>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w w:val="94"/>
              </w:rPr>
              <w:t>Nothing in this document confers any rights upon any associate to participate in the SIP or to remain in the employ of the</w:t>
            </w:r>
          </w:p>
        </w:tc>
      </w:tr>
      <w:tr>
        <w:trPr>
          <w:trHeight w:val="216"/>
        </w:trPr>
        <w:tc>
          <w:tcPr>
            <w:tcW w:w="2300" w:type="dxa"/>
            <w:vAlign w:val="bottom"/>
          </w:tcPr>
          <w:p>
            <w:pPr>
              <w:spacing w:after="0"/>
              <w:rPr>
                <w:sz w:val="18"/>
                <w:szCs w:val="18"/>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w w:val="91"/>
              </w:rPr>
              <w:t>Company. Neither the adoption nor the operation of the SIP shall in any way affect the right of the associate or the Company</w:t>
            </w:r>
          </w:p>
        </w:tc>
      </w:tr>
      <w:tr>
        <w:trPr>
          <w:trHeight w:val="230"/>
        </w:trPr>
        <w:tc>
          <w:tcPr>
            <w:tcW w:w="230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w w:val="97"/>
              </w:rPr>
              <w:t>to terminate the employment relationship at any time.</w:t>
            </w:r>
          </w:p>
        </w:tc>
        <w:tc>
          <w:tcPr>
            <w:tcW w:w="4900" w:type="dxa"/>
            <w:vAlign w:val="bottom"/>
          </w:tcPr>
          <w:p>
            <w:pPr>
              <w:jc w:val="right"/>
              <w:ind w:right="4670"/>
              <w:spacing w:after="0"/>
              <w:rPr>
                <w:sz w:val="20"/>
                <w:szCs w:val="20"/>
                <w:color w:val="auto"/>
              </w:rPr>
            </w:pPr>
            <w:r>
              <w:rPr>
                <w:rFonts w:ascii="Arial" w:cs="Arial" w:eastAsia="Arial" w:hAnsi="Arial"/>
                <w:sz w:val="18"/>
                <w:szCs w:val="18"/>
                <w:color w:val="auto"/>
              </w:rPr>
              <w:t>.</w:t>
            </w:r>
          </w:p>
        </w:tc>
      </w:tr>
      <w:tr>
        <w:trPr>
          <w:trHeight w:val="405"/>
        </w:trPr>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20" w:type="dxa"/>
            <w:vAlign w:val="bottom"/>
            <w:gridSpan w:val="3"/>
          </w:tcPr>
          <w:p>
            <w:pPr>
              <w:ind w:left="2820"/>
              <w:spacing w:after="0"/>
              <w:rPr>
                <w:sz w:val="20"/>
                <w:szCs w:val="20"/>
                <w:color w:val="auto"/>
              </w:rPr>
            </w:pPr>
            <w:r>
              <w:rPr>
                <w:rFonts w:ascii="Arial" w:cs="Arial" w:eastAsia="Arial" w:hAnsi="Arial"/>
                <w:sz w:val="18"/>
                <w:szCs w:val="18"/>
                <w:color w:val="auto"/>
              </w:rPr>
              <w:t>4</w:t>
            </w:r>
          </w:p>
        </w:tc>
        <w:tc>
          <w:tcPr>
            <w:tcW w:w="4900" w:type="dxa"/>
            <w:vAlign w:val="bottom"/>
          </w:tcPr>
          <w:p>
            <w:pPr>
              <w:spacing w:after="0"/>
              <w:rPr>
                <w:sz w:val="24"/>
                <w:szCs w:val="24"/>
                <w:color w:val="auto"/>
              </w:rPr>
            </w:pPr>
          </w:p>
        </w:tc>
      </w:tr>
    </w:tbl>
    <w:p>
      <w:pPr>
        <w:sectPr>
          <w:pgSz w:w="11900" w:h="16838" w:orient="portrait"/>
          <w:cols w:equalWidth="0" w:num="1">
            <w:col w:w="11360"/>
          </w:cols>
          <w:pgMar w:left="240" w:top="1148" w:right="2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10(d)</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Vincent C. Brockman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398780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12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3520" w:type="dxa"/>
            <w:vAlign w:val="bottom"/>
          </w:tcPr>
          <w:p>
            <w:pPr>
              <w:spacing w:after="0"/>
              <w:rPr>
                <w:sz w:val="20"/>
                <w:szCs w:val="20"/>
                <w:color w:val="auto"/>
              </w:rPr>
            </w:pPr>
          </w:p>
        </w:tc>
      </w:tr>
      <w:tr>
        <w:trPr>
          <w:trHeight w:val="648"/>
        </w:trPr>
        <w:tc>
          <w:tcPr>
            <w:tcW w:w="7900" w:type="dxa"/>
            <w:vAlign w:val="bottom"/>
            <w:gridSpan w:val="2"/>
          </w:tcPr>
          <w:p>
            <w:pPr>
              <w:spacing w:after="0"/>
              <w:rPr>
                <w:sz w:val="20"/>
                <w:szCs w:val="20"/>
                <w:color w:val="auto"/>
              </w:rPr>
            </w:pPr>
            <w:r>
              <w:rPr>
                <w:rFonts w:ascii="Arial" w:cs="Arial" w:eastAsia="Arial" w:hAnsi="Arial"/>
                <w:sz w:val="18"/>
                <w:szCs w:val="18"/>
                <w:color w:val="auto"/>
              </w:rPr>
              <w:t>Article 1. Term of Employment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3. Position and Responsibilities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4. Standard of Care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5. Compensation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6.</w:t>
            </w:r>
          </w:p>
        </w:tc>
        <w:tc>
          <w:tcPr>
            <w:tcW w:w="7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7.</w:t>
            </w:r>
          </w:p>
        </w:tc>
        <w:tc>
          <w:tcPr>
            <w:tcW w:w="7180" w:type="dxa"/>
            <w:vAlign w:val="bottom"/>
          </w:tcPr>
          <w:p>
            <w:pPr>
              <w:ind w:left="20"/>
              <w:spacing w:after="0"/>
              <w:rPr>
                <w:sz w:val="20"/>
                <w:szCs w:val="20"/>
                <w:color w:val="auto"/>
              </w:rPr>
            </w:pPr>
            <w:r>
              <w:rPr>
                <w:rFonts w:ascii="Arial" w:cs="Arial" w:eastAsia="Arial" w:hAnsi="Arial"/>
                <w:sz w:val="18"/>
                <w:szCs w:val="18"/>
                <w:color w:val="auto"/>
              </w:rPr>
              <w:t>Employment Terminations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8.</w:t>
            </w:r>
          </w:p>
        </w:tc>
        <w:tc>
          <w:tcPr>
            <w:tcW w:w="718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9.</w:t>
            </w:r>
          </w:p>
        </w:tc>
        <w:tc>
          <w:tcPr>
            <w:tcW w:w="7180" w:type="dxa"/>
            <w:vAlign w:val="bottom"/>
          </w:tcPr>
          <w:p>
            <w:pPr>
              <w:ind w:left="20"/>
              <w:spacing w:after="0"/>
              <w:rPr>
                <w:sz w:val="20"/>
                <w:szCs w:val="20"/>
                <w:color w:val="auto"/>
              </w:rPr>
            </w:pPr>
            <w:r>
              <w:rPr>
                <w:rFonts w:ascii="Arial" w:cs="Arial" w:eastAsia="Arial" w:hAnsi="Arial"/>
                <w:sz w:val="18"/>
                <w:szCs w:val="18"/>
                <w:color w:val="auto"/>
              </w:rPr>
              <w:t>Notice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10. Confidentiality, Noncompetition, and Nonsolicitation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12. Governing Law</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13. Indemnification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848"/>
        </w:trPr>
        <w:tc>
          <w:tcPr>
            <w:tcW w:w="72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The Scotts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 Vincent C. Brockman</w:t>
      </w:r>
    </w:p>
    <w:p>
      <w:pPr>
        <w:spacing w:after="0" w:line="10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This EMPLOYMENT AGREEMENT is made, entered into, and is effective as of this first day of June 2008 (herein referred to as the “Effective Date”), by and between The Scotts Company LLC (“Company”), an Ohio corporation, and Vincent C. Brockman (“Executive”).</w:t>
      </w:r>
    </w:p>
    <w:p>
      <w:pPr>
        <w:spacing w:after="0" w:line="62"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WHEREAS, the Company and the Executive intend that the Executive shall serve Scotts and the Company as Executive Vice President, General Counsel and Corporate Secretary.</w:t>
      </w:r>
    </w:p>
    <w:p>
      <w:pPr>
        <w:spacing w:after="0" w:line="62"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WHEREAS, the Executive possesses considerable experience and an intimate knowledge of the business, and, as such, the Executive has demonstrated unique qualifications to act in an executive capacity for the Company, Scotts or any of their affiliates.</w:t>
      </w:r>
    </w:p>
    <w:p>
      <w:pPr>
        <w:spacing w:after="0" w:line="62"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WHEREAS, the Company is desirous of assuring the employment of the Executive in the above stated capacity, and the Executive is desirous of such assurance.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and Executive desire to enter into an agreement embodying the terms of such employment.</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NOW THEREFORE, in consideration of the foregoing and of the mutual covenants and agreements of the parties set forth in this Agreement, and of other good and valuable consideration the receipt and sufficiency of which are hereby acknowledged, the parties hereto, intending to be legally bound, agree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Term of Employment</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hereby agrees to employ the Executive and the Executive agrees to serve the Company, Scotts and their affiliates in accordance with the terms and conditions set forth herein, for an initial period of three (3) years commencing as of the Effective Date; subject, however, to earlier termination as expressly provided herein.</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initial three (3) year period of employment shall be extended for one (1) additional year at the end of the initial three (3) year term and then again after each successive year thereafter. However, either party may terminate this Agreement at the end of the initial three (3) year term, or at the end of any successive one (1) year term thereafter, by delivering to the other party written notice of its intent not to renew at least sixty (60) days prior to the end of such initial three (3) year term or successive term.</w:t>
      </w:r>
    </w:p>
    <w:p>
      <w:pPr>
        <w:spacing w:after="0" w:line="79" w:lineRule="exact"/>
        <w:rPr>
          <w:sz w:val="20"/>
          <w:szCs w:val="20"/>
          <w:color w:val="auto"/>
        </w:rPr>
      </w:pPr>
    </w:p>
    <w:p>
      <w:pPr>
        <w:jc w:val="both"/>
        <w:ind w:right="180" w:firstLine="225"/>
        <w:spacing w:after="0" w:line="277" w:lineRule="auto"/>
        <w:rPr>
          <w:sz w:val="20"/>
          <w:szCs w:val="20"/>
          <w:color w:val="auto"/>
        </w:rPr>
      </w:pPr>
      <w:r>
        <w:rPr>
          <w:rFonts w:ascii="Arial" w:cs="Arial" w:eastAsia="Arial" w:hAnsi="Arial"/>
          <w:sz w:val="18"/>
          <w:szCs w:val="18"/>
          <w:color w:val="auto"/>
        </w:rPr>
        <w:t>In the event such notice of intent not to renew is properly delivered, this Agreement automatically shall expire at the end of the initial three (3) year term or successive term then in progress.</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Notwithstanding the foregoing, if at any time during the initial three (3) year term of the Agreement or any successive term, a Change in Control occurs, then the term of this Agreement shall be the later of the remainder of the initial three (3) year term or two (2) years beyond the month in which the effective date of such Change in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Article 2. Definitions</w:t>
      </w:r>
    </w:p>
    <w:p>
      <w:pPr>
        <w:spacing w:after="0" w:line="11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Employment Agreement for Vincent C. Brockman.</w:t>
      </w:r>
    </w:p>
    <w:p>
      <w:pPr>
        <w:spacing w:after="0" w:line="131" w:lineRule="exact"/>
        <w:rPr>
          <w:sz w:val="20"/>
          <w:szCs w:val="20"/>
          <w:color w:val="auto"/>
        </w:rPr>
      </w:pPr>
    </w:p>
    <w:p>
      <w:pPr>
        <w:ind w:left="900" w:right="440" w:hanging="445"/>
        <w:spacing w:after="0" w:line="282" w:lineRule="auto"/>
        <w:tabs>
          <w:tab w:leader="none" w:pos="880" w:val="left"/>
        </w:tabs>
        <w:rPr>
          <w:sz w:val="20"/>
          <w:szCs w:val="20"/>
          <w:color w:val="auto"/>
        </w:rPr>
      </w:pPr>
      <w:r>
        <w:rPr>
          <w:rFonts w:ascii="Arial" w:cs="Arial" w:eastAsia="Arial" w:hAnsi="Arial"/>
          <w:sz w:val="18"/>
          <w:szCs w:val="18"/>
          <w:b w:val="1"/>
          <w:bCs w:val="1"/>
          <w:color w:val="auto"/>
        </w:rPr>
        <w:t>2.2</w:t>
        <w:tab/>
        <w:t xml:space="preserve">“Annual Bonus Award” </w:t>
      </w:r>
      <w:r>
        <w:rPr>
          <w:rFonts w:ascii="Arial" w:cs="Arial" w:eastAsia="Arial" w:hAnsi="Arial"/>
          <w:sz w:val="18"/>
          <w:szCs w:val="18"/>
          <w:color w:val="auto"/>
        </w:rPr>
        <w:t>means the annual bonus to be paid to the Executive in accordance with the terms of the annual bonus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the Company, Scotts or any of their affiliates in which the Executive is a participant.</w:t>
      </w:r>
    </w:p>
    <w:p>
      <w:pPr>
        <w:spacing w:after="0" w:line="67" w:lineRule="exact"/>
        <w:rPr>
          <w:sz w:val="20"/>
          <w:szCs w:val="20"/>
          <w:color w:val="auto"/>
        </w:rPr>
      </w:pPr>
    </w:p>
    <w:p>
      <w:pPr>
        <w:ind w:left="900" w:right="400" w:hanging="445"/>
        <w:spacing w:after="0" w:line="282" w:lineRule="auto"/>
        <w:tabs>
          <w:tab w:leader="none" w:pos="880" w:val="left"/>
        </w:tabs>
        <w:rPr>
          <w:sz w:val="20"/>
          <w:szCs w:val="20"/>
          <w:color w:val="auto"/>
        </w:rPr>
      </w:pPr>
      <w:r>
        <w:rPr>
          <w:rFonts w:ascii="Arial" w:cs="Arial" w:eastAsia="Arial" w:hAnsi="Arial"/>
          <w:sz w:val="18"/>
          <w:szCs w:val="18"/>
          <w:b w:val="1"/>
          <w:bCs w:val="1"/>
          <w:color w:val="auto"/>
        </w:rPr>
        <w:t>2.3</w:t>
        <w:tab/>
        <w:t xml:space="preserve">“Award Period” </w:t>
      </w:r>
      <w:r>
        <w:rPr>
          <w:rFonts w:ascii="Arial" w:cs="Arial" w:eastAsia="Arial" w:hAnsi="Arial"/>
          <w:sz w:val="18"/>
          <w:szCs w:val="18"/>
          <w:color w:val="auto"/>
        </w:rPr>
        <w:t>means the performance period applicable to Long-Term Incentive Awards granted under the relevant Company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67" w:lineRule="exact"/>
        <w:rPr>
          <w:sz w:val="20"/>
          <w:szCs w:val="20"/>
          <w:color w:val="auto"/>
        </w:rPr>
      </w:pPr>
    </w:p>
    <w:p>
      <w:pPr>
        <w:ind w:left="900" w:right="160" w:hanging="445"/>
        <w:spacing w:after="0" w:line="282" w:lineRule="auto"/>
        <w:tabs>
          <w:tab w:leader="none" w:pos="880" w:val="left"/>
        </w:tabs>
        <w:rPr>
          <w:sz w:val="20"/>
          <w:szCs w:val="20"/>
          <w:color w:val="auto"/>
        </w:rPr>
      </w:pPr>
      <w:r>
        <w:rPr>
          <w:rFonts w:ascii="Arial" w:cs="Arial" w:eastAsia="Arial" w:hAnsi="Arial"/>
          <w:sz w:val="18"/>
          <w:szCs w:val="18"/>
          <w:b w:val="1"/>
          <w:bCs w:val="1"/>
          <w:color w:val="auto"/>
        </w:rPr>
        <w:t>2.4</w:t>
        <w:tab/>
        <w:t xml:space="preserve">“Base Salary” </w:t>
      </w:r>
      <w:r>
        <w:rPr>
          <w:rFonts w:ascii="Arial" w:cs="Arial" w:eastAsia="Arial" w:hAnsi="Arial"/>
          <w:sz w:val="18"/>
          <w:szCs w:val="18"/>
          <w:color w:val="auto"/>
        </w:rPr>
        <w:t>means the salary of record paid to the Executive as annual salary, pursuant to Section 5.1, excluding all other amounts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under incentive or other bonus plans, whether or not deferred.</w:t>
      </w:r>
    </w:p>
    <w:p>
      <w:pPr>
        <w:spacing w:after="0" w:line="6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the individuals or entities designated or deemed designated by the Executive pursuant to Section 11.6 herein.</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Scotts.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“Cause” </w:t>
      </w:r>
      <w:r>
        <w:rPr>
          <w:rFonts w:ascii="Arial" w:cs="Arial" w:eastAsia="Arial" w:hAnsi="Arial"/>
          <w:sz w:val="16"/>
          <w:szCs w:val="16"/>
          <w:color w:val="auto"/>
        </w:rPr>
        <w:t>means the Executive’s:</w:t>
      </w:r>
    </w:p>
    <w:p>
      <w:pPr>
        <w:spacing w:after="0" w:line="121" w:lineRule="exact"/>
        <w:rPr>
          <w:sz w:val="20"/>
          <w:szCs w:val="20"/>
          <w:color w:val="auto"/>
        </w:rPr>
      </w:pPr>
    </w:p>
    <w:p>
      <w:pPr>
        <w:ind w:left="1360" w:right="80" w:hanging="447"/>
        <w:spacing w:after="0" w:line="259"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failure to substantially perform his duties with the Company, Scotts or any of their affiliates after a written demand for substantial performance is delivered to the Executive that specifically identifies the manner in which the Company believes that the Executive has failed to substantially perform his duties, and after the Executive has failed to resume substantial performance of his duties on a continuous basis within thirty (30) calendar days of receiving such demand; or</w:t>
      </w:r>
    </w:p>
    <w:p>
      <w:pPr>
        <w:spacing w:after="0" w:line="92"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Conviction of a felony; or</w:t>
      </w:r>
    </w:p>
    <w:p>
      <w:pPr>
        <w:spacing w:after="0" w:line="130" w:lineRule="exact"/>
        <w:rPr>
          <w:rFonts w:ascii="Arial" w:cs="Arial" w:eastAsia="Arial" w:hAnsi="Arial"/>
          <w:sz w:val="18"/>
          <w:szCs w:val="18"/>
          <w:color w:val="auto"/>
        </w:rPr>
      </w:pPr>
    </w:p>
    <w:p>
      <w:pPr>
        <w:ind w:left="1360" w:right="420" w:hanging="447"/>
        <w:spacing w:after="0" w:line="308" w:lineRule="auto"/>
        <w:tabs>
          <w:tab w:leader="none" w:pos="1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Engagement in illegal conduct, an act of dishonesty, violation of Scotts’ policies or other similar conduct, that in the Company’s sole discretion, which shall be exercised in good faith, is injurious to the Company, Scotts or any of their affiliates; or</w:t>
      </w:r>
    </w:p>
    <w:p>
      <w:pPr>
        <w:spacing w:after="0" w:line="51" w:lineRule="exact"/>
        <w:rPr>
          <w:rFonts w:ascii="Arial" w:cs="Arial" w:eastAsia="Arial" w:hAnsi="Arial"/>
          <w:sz w:val="17"/>
          <w:szCs w:val="17"/>
          <w:color w:val="auto"/>
        </w:rPr>
      </w:pPr>
    </w:p>
    <w:p>
      <w:pPr>
        <w:ind w:left="1360" w:hanging="447"/>
        <w:spacing w:after="0" w:line="264"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breach of any provision of this Agreement; provided, however, that the Executive’s willful and material breach of Article 4 shall not constitute “Cause” unless the Executive has first been provided with written notice detailing such breach and a thirty (30) calendar day period to cure such breach; or</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 of Scotts’ code of business conduct or ethics as determined in good faith by the Company;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Violation of Scotts’ insider-trading policies as determined in good faith by the Company;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Material breach of his fiduciary duties to the Company, Scotts or any of their affiliates as determined in good faith by the Company.</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41" w:name="page42"/>
    <w:bookmarkEnd w:id="41"/>
    <w:p>
      <w:pPr>
        <w:jc w:val="both"/>
        <w:ind w:left="460" w:right="120"/>
        <w:spacing w:after="0" w:line="291" w:lineRule="auto"/>
        <w:rPr>
          <w:sz w:val="20"/>
          <w:szCs w:val="20"/>
          <w:color w:val="auto"/>
        </w:rPr>
      </w:pPr>
      <w:r>
        <w:rPr>
          <w:rFonts w:ascii="Arial" w:cs="Arial" w:eastAsia="Arial" w:hAnsi="Arial"/>
          <w:sz w:val="16"/>
          <w:szCs w:val="16"/>
          <w:color w:val="auto"/>
        </w:rPr>
        <w:t>For purposes of determining Cause, no act or omission by the Executive shall be considered “willful” unless it is done or omitted in bad faith or without reasonable belief that the Executive’s action or omission was in the best interests of the Company. Any act or failure to act based upon:</w:t>
      </w:r>
    </w:p>
    <w:p>
      <w:pPr>
        <w:ind w:left="460" w:right="60" w:firstLine="1"/>
        <w:spacing w:after="0" w:line="261"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authority given pursuant to a resolution duly adopted by the Board; or (ii) advice of counsel for the Company, shall be conclusively presumed to be done or omitted to be done by the Executive in good faith and in the best interests of the Company.</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events after the Effective Date of this Agreement:</w:t>
      </w:r>
    </w:p>
    <w:p>
      <w:pPr>
        <w:spacing w:after="0" w:line="121" w:lineRule="exact"/>
        <w:rPr>
          <w:sz w:val="20"/>
          <w:szCs w:val="20"/>
          <w:color w:val="auto"/>
        </w:rPr>
      </w:pPr>
    </w:p>
    <w:p>
      <w:pPr>
        <w:ind w:left="900" w:right="60" w:hanging="447"/>
        <w:spacing w:after="0" w:line="25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as amended (the “Exchange Act”)) other than Scotts, subsidiaries of Scotts, an employee benefit plan sponsored by Scotts, or Hagedorn Partnership, L.P. or its successor or any party related to Hagedorn Partnership, L.P. (as determined by the Board of Directors) becomes the “beneficial owner” (as defined in Rule 13d-3 under the Exchange Act), directly or indirectly, of more than thirty percent (30%) of the combined voting stock of Scotts;</w:t>
      </w:r>
    </w:p>
    <w:p>
      <w:pPr>
        <w:spacing w:after="0" w:line="93" w:lineRule="exact"/>
        <w:rPr>
          <w:rFonts w:ascii="Arial" w:cs="Arial" w:eastAsia="Arial" w:hAnsi="Arial"/>
          <w:sz w:val="18"/>
          <w:szCs w:val="18"/>
          <w:color w:val="auto"/>
        </w:rPr>
      </w:pPr>
    </w:p>
    <w:p>
      <w:pPr>
        <w:ind w:left="900" w:right="140" w:hanging="447"/>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shareholders of Scotts adopt or approve a definitive agreement or series of related agreements for the merger or other business consolidation with another person, the agreement(s) become effective and, immediately after giving effect to the merger or consolidation,</w:t>
      </w:r>
    </w:p>
    <w:p>
      <w:pPr>
        <w:ind w:left="900" w:right="20"/>
        <w:spacing w:after="0" w:line="290" w:lineRule="auto"/>
        <w:rPr>
          <w:rFonts w:ascii="Arial" w:cs="Arial" w:eastAsia="Arial" w:hAnsi="Arial"/>
          <w:sz w:val="16"/>
          <w:szCs w:val="16"/>
          <w:color w:val="auto"/>
        </w:rPr>
      </w:pPr>
      <w:r>
        <w:rPr>
          <w:rFonts w:ascii="Arial" w:cs="Arial" w:eastAsia="Arial" w:hAnsi="Arial"/>
          <w:sz w:val="16"/>
          <w:szCs w:val="16"/>
          <w:color w:val="auto"/>
        </w:rPr>
        <w:t>(i) less than fifty percent (50%) of the total voting power of the outstanding voting stock of the surviving or resulting person is then “beneficially owned” (within the meaning of Rule l3d-3 under the Exchange Act) in the aggregate by (x) the shareholders of Scotts immediately prior to such merger or consolidation, or (y) if a record date has been set to determine the shareholders of Scotts entitled to vote with respect to such merger or consolidation, the shareholders of Scotts as of such record date and (ii) any “person” or “group” (as defined in Section 13(d)(3) and 14(d)(2) of the Exchange Act) has become the direct or indirect “beneficial owner” (as defined in Rule l3d-3 under the Exchange Act) of more than fifty percent (50%) of the voting power of the voting stock of the surviving or resulting person;</w:t>
      </w:r>
    </w:p>
    <w:p>
      <w:pPr>
        <w:spacing w:after="0" w:line="69" w:lineRule="exact"/>
        <w:rPr>
          <w:rFonts w:ascii="Arial" w:cs="Arial" w:eastAsia="Arial" w:hAnsi="Arial"/>
          <w:sz w:val="16"/>
          <w:szCs w:val="16"/>
          <w:color w:val="auto"/>
        </w:rPr>
      </w:pPr>
    </w:p>
    <w:p>
      <w:pPr>
        <w:ind w:left="900" w:hanging="447"/>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Scotts, either individually or in conjunction with one or more of its subsidiaries, sells, assigns, conveys, transfers, leases or otherwise disposes of, or the subsidiaries sell, assign, convey, transfer, lease or otherwise dispose of, all or substantially all of the properties and assets of Scotts and the subsidiaries, taken as a whole (either in one transaction or a series of related transactions), to any person (other than Scotts or a wholly owned subsidiary);</w:t>
      </w:r>
    </w:p>
    <w:p>
      <w:pPr>
        <w:spacing w:after="0" w:line="92" w:lineRule="exact"/>
        <w:rPr>
          <w:rFonts w:ascii="Arial" w:cs="Arial" w:eastAsia="Arial" w:hAnsi="Arial"/>
          <w:sz w:val="18"/>
          <w:szCs w:val="18"/>
          <w:color w:val="auto"/>
        </w:rPr>
      </w:pPr>
    </w:p>
    <w:p>
      <w:pPr>
        <w:ind w:left="900" w:right="80" w:hanging="447"/>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any reason, Hagedorn Partnership, L.P. or its successor or any party related to Hagedorn Partnership, L.P. (as determined by the Board of Directors) becomes the beneficial owner, as defined above, directly or indirectly, of securities of Scotts representing more than forty-nine percent (49%) of the combined voting power of Scotts’ then-outstanding voting securities; or</w:t>
      </w:r>
    </w:p>
    <w:p>
      <w:pPr>
        <w:spacing w:after="0" w:line="13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1044" w:right="259" w:bottom="1440" w:gutter="0" w:footer="0" w:header="0"/>
        </w:sectPr>
      </w:pPr>
    </w:p>
    <w:bookmarkStart w:id="42" w:name="page43"/>
    <w:bookmarkEnd w:id="42"/>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or authorization by the shareholders of Scotts of a plan providing for the liquidation or dissolution of Scotts.</w:t>
      </w:r>
    </w:p>
    <w:p>
      <w:pPr>
        <w:spacing w:after="0" w:line="113" w:lineRule="exact"/>
        <w:rPr>
          <w:sz w:val="20"/>
          <w:szCs w:val="20"/>
          <w:color w:val="auto"/>
        </w:rPr>
      </w:pPr>
    </w:p>
    <w:p>
      <w:pPr>
        <w:ind w:left="440" w:right="40" w:hanging="445"/>
        <w:spacing w:after="0" w:line="347" w:lineRule="auto"/>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U.S. Internal Revenue Code of 1986, as amended from time to time. For purposes of this Agreement, references to sections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Code shall be deemed to include references to any applicable regulations thereunder and any successor or similar provision.</w:t>
      </w:r>
    </w:p>
    <w:p>
      <w:pPr>
        <w:spacing w:after="0" w:line="22" w:lineRule="exact"/>
        <w:rPr>
          <w:sz w:val="20"/>
          <w:szCs w:val="20"/>
          <w:color w:val="auto"/>
        </w:rPr>
      </w:pPr>
    </w:p>
    <w:p>
      <w:pPr>
        <w:ind w:left="440" w:right="40" w:hanging="445"/>
        <w:spacing w:after="0" w:line="261" w:lineRule="auto"/>
        <w:rPr>
          <w:sz w:val="20"/>
          <w:szCs w:val="20"/>
          <w:color w:val="auto"/>
        </w:rPr>
      </w:pPr>
      <w:r>
        <w:rPr>
          <w:rFonts w:ascii="Arial" w:cs="Arial" w:eastAsia="Arial" w:hAnsi="Arial"/>
          <w:sz w:val="18"/>
          <w:szCs w:val="18"/>
          <w:b w:val="1"/>
          <w:bCs w:val="1"/>
          <w:color w:val="auto"/>
        </w:rPr>
        <w:t xml:space="preserve">2.10 “Committee” </w:t>
      </w:r>
      <w:r>
        <w:rPr>
          <w:rFonts w:ascii="Arial" w:cs="Arial" w:eastAsia="Arial" w:hAnsi="Arial"/>
          <w:sz w:val="18"/>
          <w:szCs w:val="18"/>
          <w:color w:val="auto"/>
        </w:rPr>
        <w:t>means the Compensation and Organization Committee of the Board or a subcommittee thereof, or any other committee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to take any actions referenced in this Agreement. The members of the Committee shall be appointed from time to time by and shall serve at the discretion of the Board. If the Committee does not exist or cannot function for any reason, the Board may take any action under this Agreement that would otherwise be the responsibility of the Committee.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2.11  “Company” </w:t>
      </w:r>
      <w:r>
        <w:rPr>
          <w:rFonts w:ascii="Arial" w:cs="Arial" w:eastAsia="Arial" w:hAnsi="Arial"/>
          <w:sz w:val="17"/>
          <w:szCs w:val="17"/>
          <w:color w:val="auto"/>
        </w:rPr>
        <w:t>means The Scotts Company LLC, an Ohio corporation, or any successor company thereto as provided in Section 8.1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“Director” </w:t>
      </w:r>
      <w:r>
        <w:rPr>
          <w:rFonts w:ascii="Arial" w:cs="Arial" w:eastAsia="Arial" w:hAnsi="Arial"/>
          <w:sz w:val="18"/>
          <w:szCs w:val="18"/>
          <w:color w:val="auto"/>
        </w:rPr>
        <w:t>means any individual who is a member of the Board of Directors of Scotts.</w:t>
      </w:r>
    </w:p>
    <w:p>
      <w:pPr>
        <w:spacing w:after="0" w:line="131" w:lineRule="exact"/>
        <w:rPr>
          <w:sz w:val="20"/>
          <w:szCs w:val="20"/>
          <w:color w:val="auto"/>
        </w:rPr>
      </w:pPr>
    </w:p>
    <w:p>
      <w:pPr>
        <w:ind w:left="440" w:right="580" w:hanging="445"/>
        <w:spacing w:after="0" w:line="282" w:lineRule="auto"/>
        <w:rPr>
          <w:sz w:val="20"/>
          <w:szCs w:val="20"/>
          <w:color w:val="auto"/>
        </w:rPr>
      </w:pPr>
      <w:r>
        <w:rPr>
          <w:rFonts w:ascii="Arial" w:cs="Arial" w:eastAsia="Arial" w:hAnsi="Arial"/>
          <w:sz w:val="18"/>
          <w:szCs w:val="18"/>
          <w:b w:val="1"/>
          <w:bCs w:val="1"/>
          <w:color w:val="auto"/>
        </w:rPr>
        <w:t xml:space="preserve">2.13 “Disability”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“Disabled” </w:t>
      </w:r>
      <w:r>
        <w:rPr>
          <w:rFonts w:ascii="Arial" w:cs="Arial" w:eastAsia="Arial" w:hAnsi="Arial"/>
          <w:sz w:val="18"/>
          <w:szCs w:val="18"/>
          <w:color w:val="auto"/>
        </w:rPr>
        <w:t>means for all purposes of this Agreement, a consecutive period of ninety (90) calendar days during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unable to perform his duties.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2.14  “Effective Date” </w:t>
      </w:r>
      <w:r>
        <w:rPr>
          <w:rFonts w:ascii="Arial" w:cs="Arial" w:eastAsia="Arial" w:hAnsi="Arial"/>
          <w:sz w:val="18"/>
          <w:szCs w:val="18"/>
          <w:color w:val="auto"/>
        </w:rPr>
        <w:t>means June 1, 2008.</w:t>
      </w:r>
    </w:p>
    <w:p>
      <w:pPr>
        <w:spacing w:after="0" w:line="131" w:lineRule="exact"/>
        <w:rPr>
          <w:sz w:val="20"/>
          <w:szCs w:val="20"/>
          <w:color w:val="auto"/>
        </w:rPr>
      </w:pPr>
    </w:p>
    <w:p>
      <w:pPr>
        <w:ind w:left="440" w:hanging="445"/>
        <w:spacing w:after="0" w:line="266" w:lineRule="auto"/>
        <w:rPr>
          <w:sz w:val="20"/>
          <w:szCs w:val="20"/>
          <w:color w:val="auto"/>
        </w:rPr>
      </w:pPr>
      <w:r>
        <w:rPr>
          <w:rFonts w:ascii="Arial" w:cs="Arial" w:eastAsia="Arial" w:hAnsi="Arial"/>
          <w:sz w:val="18"/>
          <w:szCs w:val="18"/>
          <w:b w:val="1"/>
          <w:bCs w:val="1"/>
          <w:color w:val="auto"/>
        </w:rPr>
        <w:t xml:space="preserve">2.15 “Effective Date of Termination” </w:t>
      </w:r>
      <w:r>
        <w:rPr>
          <w:rFonts w:ascii="Arial" w:cs="Arial" w:eastAsia="Arial" w:hAnsi="Arial"/>
          <w:sz w:val="18"/>
          <w:szCs w:val="18"/>
          <w:color w:val="auto"/>
        </w:rPr>
        <w:t>means the date on which a termination of the Executive’s employment occurs. For purposes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a “termination of employment” or any form thereof shall mean a “separation from service” as defined under Section 409A of the Code.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“Executive” </w:t>
      </w:r>
      <w:r>
        <w:rPr>
          <w:rFonts w:ascii="Arial" w:cs="Arial" w:eastAsia="Arial" w:hAnsi="Arial"/>
          <w:sz w:val="18"/>
          <w:szCs w:val="18"/>
          <w:color w:val="auto"/>
        </w:rPr>
        <w:t>means Vincent C. Brockman.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2.17  “Good Reason” </w:t>
      </w:r>
      <w:r>
        <w:rPr>
          <w:rFonts w:ascii="Arial" w:cs="Arial" w:eastAsia="Arial" w:hAnsi="Arial"/>
          <w:sz w:val="18"/>
          <w:szCs w:val="18"/>
          <w:color w:val="auto"/>
        </w:rPr>
        <w:t>means, without the Executive’s consent, the existence of one or more of the following conditions:</w:t>
      </w:r>
    </w:p>
    <w:p>
      <w:pPr>
        <w:spacing w:after="0" w:line="121" w:lineRule="exact"/>
        <w:rPr>
          <w:sz w:val="20"/>
          <w:szCs w:val="20"/>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diminution in the authority, duties, or responsibilities of the supervisor to whom the Executive is required to report;</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diminution in the budget over which the Executive retains authority;</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services; or</w:t>
      </w:r>
    </w:p>
    <w:p>
      <w:pPr>
        <w:spacing w:after="0" w:line="1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43" w:name="page44"/>
    <w:bookmarkEnd w:id="43"/>
    <w:p>
      <w:pPr>
        <w:ind w:left="900" w:hanging="44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action or inaction that constitutes a material breach by the Company of this Agreement (including under Section 8.1).</w:t>
      </w:r>
    </w:p>
    <w:p>
      <w:pPr>
        <w:spacing w:after="0" w:line="1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Notwithstanding the foregoing, (i) an event described in this Section 2.17 shall constitute Good Reason only if the Company fails to cure such event within thirty (30) days after receipt from the Executive of written notice of the event which constitutes Good Reason and (ii) Good Reason shall cease to exist for an event on the ninetieth (90</w:t>
      </w:r>
      <w:r>
        <w:rPr>
          <w:rFonts w:ascii="Arial" w:cs="Arial" w:eastAsia="Arial" w:hAnsi="Arial"/>
          <w:sz w:val="15"/>
          <w:szCs w:val="15"/>
          <w:color w:val="auto"/>
        </w:rPr>
        <w:t>th</w:t>
      </w:r>
      <w:r>
        <w:rPr>
          <w:rFonts w:ascii="Arial" w:cs="Arial" w:eastAsia="Arial" w:hAnsi="Arial"/>
          <w:sz w:val="18"/>
          <w:szCs w:val="18"/>
          <w:color w:val="auto"/>
        </w:rPr>
        <w:t>) day following the later of its occurrence or the Executive’s knowledge thereof, unless the Executive has given the Company written notice of such event prior to such date.</w:t>
      </w:r>
    </w:p>
    <w:p>
      <w:pPr>
        <w:spacing w:after="0" w:line="75" w:lineRule="exact"/>
        <w:rPr>
          <w:sz w:val="20"/>
          <w:szCs w:val="20"/>
          <w:color w:val="auto"/>
        </w:rPr>
      </w:pPr>
    </w:p>
    <w:p>
      <w:pPr>
        <w:ind w:left="440" w:hanging="445"/>
        <w:spacing w:after="0" w:line="282" w:lineRule="auto"/>
        <w:rPr>
          <w:sz w:val="20"/>
          <w:szCs w:val="20"/>
          <w:color w:val="auto"/>
        </w:rPr>
      </w:pPr>
      <w:r>
        <w:rPr>
          <w:rFonts w:ascii="Arial" w:cs="Arial" w:eastAsia="Arial" w:hAnsi="Arial"/>
          <w:sz w:val="18"/>
          <w:szCs w:val="18"/>
          <w:b w:val="1"/>
          <w:bCs w:val="1"/>
          <w:color w:val="auto"/>
        </w:rPr>
        <w:t xml:space="preserve">2.18 “Long-Term Incentive Award” </w:t>
      </w:r>
      <w:r>
        <w:rPr>
          <w:rFonts w:ascii="Arial" w:cs="Arial" w:eastAsia="Arial" w:hAnsi="Arial"/>
          <w:sz w:val="18"/>
          <w:szCs w:val="18"/>
          <w:color w:val="auto"/>
        </w:rPr>
        <w:t>means the Long-Term Incentive Award to be paid to the Executive in accordance with the Company’s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described in Section 5.3 herein.</w:t>
      </w:r>
    </w:p>
    <w:p>
      <w:pPr>
        <w:spacing w:after="0" w:line="67" w:lineRule="exact"/>
        <w:rPr>
          <w:sz w:val="20"/>
          <w:szCs w:val="20"/>
          <w:color w:val="auto"/>
        </w:rPr>
      </w:pPr>
    </w:p>
    <w:p>
      <w:pPr>
        <w:ind w:left="440" w:right="80" w:hanging="445"/>
        <w:spacing w:after="0" w:line="266" w:lineRule="auto"/>
        <w:rPr>
          <w:sz w:val="20"/>
          <w:szCs w:val="20"/>
          <w:color w:val="auto"/>
        </w:rPr>
      </w:pPr>
      <w:r>
        <w:rPr>
          <w:rFonts w:ascii="Arial" w:cs="Arial" w:eastAsia="Arial" w:hAnsi="Arial"/>
          <w:sz w:val="18"/>
          <w:szCs w:val="18"/>
          <w:b w:val="1"/>
          <w:bCs w:val="1"/>
          <w:color w:val="auto"/>
        </w:rPr>
        <w:t xml:space="preserve">2.19 “Notice of Termination” </w:t>
      </w:r>
      <w:r>
        <w:rPr>
          <w:rFonts w:ascii="Arial" w:cs="Arial" w:eastAsia="Arial" w:hAnsi="Arial"/>
          <w:sz w:val="18"/>
          <w:szCs w:val="18"/>
          <w:color w:val="auto"/>
        </w:rPr>
        <w:t>means a written notice which shall indicate the specific termination provision in this Agreement relied upon,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reasonable detail the facts and circumstances claimed to provide a basis for termination of the Executive’s employment under the provisions so indicated.</w:t>
      </w:r>
    </w:p>
    <w:p>
      <w:pPr>
        <w:spacing w:after="0" w:line="82" w:lineRule="exact"/>
        <w:rPr>
          <w:sz w:val="20"/>
          <w:szCs w:val="20"/>
          <w:color w:val="auto"/>
        </w:rPr>
      </w:pPr>
    </w:p>
    <w:p>
      <w:pPr>
        <w:ind w:left="440" w:right="220" w:hanging="445"/>
        <w:spacing w:after="0" w:line="266" w:lineRule="auto"/>
        <w:rPr>
          <w:sz w:val="20"/>
          <w:szCs w:val="20"/>
          <w:color w:val="auto"/>
        </w:rPr>
      </w:pPr>
      <w:r>
        <w:rPr>
          <w:rFonts w:ascii="Arial" w:cs="Arial" w:eastAsia="Arial" w:hAnsi="Arial"/>
          <w:sz w:val="18"/>
          <w:szCs w:val="18"/>
          <w:b w:val="1"/>
          <w:bCs w:val="1"/>
          <w:color w:val="auto"/>
        </w:rPr>
        <w:t xml:space="preserve">2.20 “Prorated Annual Bonus Award” </w:t>
      </w:r>
      <w:r>
        <w:rPr>
          <w:rFonts w:ascii="Arial" w:cs="Arial" w:eastAsia="Arial" w:hAnsi="Arial"/>
          <w:sz w:val="18"/>
          <w:szCs w:val="18"/>
          <w:color w:val="auto"/>
        </w:rPr>
        <w:t>means, for any fiscal year, the Annual Bonus Award that the Executive would have received had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remained employed for the entire fiscal year/performance period, but prorated based on the actual Base Salary paid to the Executive during such fiscal year for services rendered through the Effective Date of Termination.</w:t>
      </w:r>
    </w:p>
    <w:p>
      <w:pPr>
        <w:spacing w:after="0" w:line="82" w:lineRule="exact"/>
        <w:rPr>
          <w:sz w:val="20"/>
          <w:szCs w:val="20"/>
          <w:color w:val="auto"/>
        </w:rPr>
      </w:pPr>
    </w:p>
    <w:p>
      <w:pPr>
        <w:ind w:left="440" w:right="40" w:hanging="445"/>
        <w:spacing w:after="0" w:line="298" w:lineRule="auto"/>
        <w:rPr>
          <w:sz w:val="20"/>
          <w:szCs w:val="20"/>
          <w:color w:val="auto"/>
        </w:rPr>
      </w:pPr>
      <w:r>
        <w:rPr>
          <w:rFonts w:ascii="Arial" w:cs="Arial" w:eastAsia="Arial" w:hAnsi="Arial"/>
          <w:sz w:val="16"/>
          <w:szCs w:val="16"/>
          <w:b w:val="1"/>
          <w:bCs w:val="1"/>
          <w:color w:val="auto"/>
        </w:rPr>
        <w:t xml:space="preserve">2.21 “Prorated Target Annual Bonus Award” </w:t>
      </w:r>
      <w:r>
        <w:rPr>
          <w:rFonts w:ascii="Arial" w:cs="Arial" w:eastAsia="Arial" w:hAnsi="Arial"/>
          <w:sz w:val="16"/>
          <w:szCs w:val="16"/>
          <w:color w:val="auto"/>
        </w:rPr>
        <w:t>means, for any fiscal year, the amount of money determined by multiplying the Executive’s bonus</w:t>
      </w:r>
      <w:r>
        <w:rPr>
          <w:rFonts w:ascii="Arial" w:cs="Arial" w:eastAsia="Arial" w:hAnsi="Arial"/>
          <w:sz w:val="16"/>
          <w:szCs w:val="16"/>
          <w:b w:val="1"/>
          <w:bCs w:val="1"/>
          <w:color w:val="auto"/>
        </w:rPr>
        <w:t xml:space="preserve"> </w:t>
      </w:r>
      <w:r>
        <w:rPr>
          <w:rFonts w:ascii="Arial" w:cs="Arial" w:eastAsia="Arial" w:hAnsi="Arial"/>
          <w:sz w:val="16"/>
          <w:szCs w:val="16"/>
          <w:color w:val="auto"/>
        </w:rPr>
        <w:t>target percentage with respect to his Annual Bonus Award by the actual Base Salary paid to the Executive during such fiscal year for services rendered through the Effective Date of Termination. For example, if the Executive’s Base Salary is $100,000.00, but only $40,000.00 of the Base Salary was earned for services rendered during the fiscal year through the Effective Date of Termination, and the Executive’s bonus target percentage with respect to his Annual Bonus Award is 25%, then the Executive’s Prorated Target Annual Bonus Award is $10,000.00.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2.22  “Scotts” </w:t>
      </w:r>
      <w:r>
        <w:rPr>
          <w:rFonts w:ascii="Arial" w:cs="Arial" w:eastAsia="Arial" w:hAnsi="Arial"/>
          <w:sz w:val="18"/>
          <w:szCs w:val="18"/>
          <w:color w:val="auto"/>
        </w:rPr>
        <w:t>means The Scotts Miracle-Gro Company, an Ohio corporation.</w:t>
      </w:r>
    </w:p>
    <w:p>
      <w:pPr>
        <w:spacing w:after="0" w:line="131" w:lineRule="exact"/>
        <w:rPr>
          <w:sz w:val="20"/>
          <w:szCs w:val="20"/>
          <w:color w:val="auto"/>
        </w:rPr>
      </w:pPr>
    </w:p>
    <w:p>
      <w:pPr>
        <w:ind w:left="440" w:right="400" w:hanging="445"/>
        <w:spacing w:after="0" w:line="282" w:lineRule="auto"/>
        <w:rPr>
          <w:sz w:val="20"/>
          <w:szCs w:val="20"/>
          <w:color w:val="auto"/>
        </w:rPr>
      </w:pPr>
      <w:r>
        <w:rPr>
          <w:rFonts w:ascii="Arial" w:cs="Arial" w:eastAsia="Arial" w:hAnsi="Arial"/>
          <w:sz w:val="18"/>
          <w:szCs w:val="18"/>
          <w:b w:val="1"/>
          <w:bCs w:val="1"/>
          <w:color w:val="auto"/>
        </w:rPr>
        <w:t xml:space="preserve">2.23 “Specified Executive” </w:t>
      </w:r>
      <w:r>
        <w:rPr>
          <w:rFonts w:ascii="Arial" w:cs="Arial" w:eastAsia="Arial" w:hAnsi="Arial"/>
          <w:sz w:val="18"/>
          <w:szCs w:val="18"/>
          <w:color w:val="auto"/>
        </w:rPr>
        <w:t>means a “specified employee” within the meaning of Treasury Regulation §1.409A-1(i) and as determined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for determining specified employees.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2.24  “Target Annual Bonus Award” </w:t>
      </w:r>
      <w:r>
        <w:rPr>
          <w:rFonts w:ascii="Arial" w:cs="Arial" w:eastAsia="Arial" w:hAnsi="Arial"/>
          <w:sz w:val="17"/>
          <w:szCs w:val="17"/>
          <w:color w:val="auto"/>
        </w:rPr>
        <w:t>means, for any fiscal year, the amount of money determined by multiplying the Executive’s bonus target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percentage with respect to his Annual Bonus Award by the Executive’s then Base Salary. For example, if the Executive’s Base Salary is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$100,000.00 and the Executive’s bonus target percentage with respect to his Annual Bonus Award is 25%, then the Executive’s Target Annual</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Bonus Award is $25,000.00.</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Article 3. Position and Responsibilities</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During the term of this Agreement, the Executive agrees to serve as Executive Vice President, General Counsel and Corporate Secretary of the Company and Scotts. In this capacity, the Executive shall report directly to the Chief Executive Officer of the Company and Scotts, and shall perform the duties and responsibilities normally associated with such positions and such other duties and responsibilities as the Chief Executive Officer may assign him during the term of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Standard of Care</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term of this Agreement, the Executive agrees to devote his full time, attention, and energies to the Company’s business and shall not be engaged in any other business activity, whether or not such business activity is pursued for gain, profit, or other pecuniary advantage unless such business activity is approved in writing by the Board or Committee, provided, however, that board positions with nonprofit or philanthropic organizations which do not interfere with the Executive’s performance of his duties and responsibilities shall not require Board or Committee approval. The Executive covenants, warrants, and represents that he shall:</w:t>
      </w:r>
    </w:p>
    <w:p>
      <w:pPr>
        <w:spacing w:after="0" w:line="80"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Devote his full and best efforts to the fulfillment of his employment obligations; and</w:t>
      </w:r>
    </w:p>
    <w:p>
      <w:pPr>
        <w:spacing w:after="0" w:line="130"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Adhere to Scotts’ code of business conduct or ethics as determined by the Board, the Committee or the Company and exercise the highest standards of conduct in the performance of his duties.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Compensation</w:t>
      </w:r>
    </w:p>
    <w:p>
      <w:pPr>
        <w:spacing w:after="0" w:line="121"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As remuneration for all services to be rendered by the Executive during the term of this Agreement, and as consideration for complying with the covenants herein, the Company shall pay and provide to the Executive the following.</w:t>
      </w:r>
    </w:p>
    <w:p>
      <w:pPr>
        <w:spacing w:after="0" w:line="58"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5.1 Base Salary</w:t>
      </w:r>
      <w:r>
        <w:rPr>
          <w:rFonts w:ascii="Arial" w:cs="Arial" w:eastAsia="Arial" w:hAnsi="Arial"/>
          <w:sz w:val="18"/>
          <w:szCs w:val="18"/>
          <w:color w:val="auto"/>
        </w:rPr>
        <w:t>. The Company shall pay the Executive a Base Salary in the amount of Three hundred and no thousand dollars ($300,000.00) per year.</w:t>
      </w:r>
      <w:r>
        <w:rPr>
          <w:rFonts w:ascii="Arial" w:cs="Arial" w:eastAsia="Arial" w:hAnsi="Arial"/>
          <w:sz w:val="18"/>
          <w:szCs w:val="18"/>
          <w:b w:val="1"/>
          <w:bCs w:val="1"/>
          <w:color w:val="auto"/>
        </w:rPr>
        <w:t xml:space="preserve"> </w:t>
      </w:r>
      <w:r>
        <w:rPr>
          <w:rFonts w:ascii="Arial" w:cs="Arial" w:eastAsia="Arial" w:hAnsi="Arial"/>
          <w:sz w:val="18"/>
          <w:szCs w:val="18"/>
          <w:color w:val="auto"/>
        </w:rPr>
        <w:t>This Base Salary shall be paid to the Executive in equal installments throughout the year, consistent with the normal payroll practices of the Company. The Base Salary shall be reviewed at least annually following the Effective Date of this Agreement, while this Agreement is in force, to ascertain whether, in the judgment of the Committee, such Base Salary should be modified. If modified, the Base Salary as stated above shall, likewise, be modified for all purposes of this Agreement.</w:t>
      </w:r>
    </w:p>
    <w:p>
      <w:pPr>
        <w:spacing w:after="0" w:line="76"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b w:val="1"/>
          <w:bCs w:val="1"/>
          <w:color w:val="auto"/>
        </w:rPr>
        <w:t>5.2 Annual Bonus</w:t>
      </w:r>
      <w:r>
        <w:rPr>
          <w:rFonts w:ascii="Arial" w:cs="Arial" w:eastAsia="Arial" w:hAnsi="Arial"/>
          <w:sz w:val="18"/>
          <w:szCs w:val="18"/>
          <w:color w:val="auto"/>
        </w:rPr>
        <w:t>. The Executive shall be eligible to receive, in addition to his Base Salary, an Annual Bonus Award. The amount of the 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any, with respect to any fiscal year shall be based upon performance targets and award levels determined by the Committee in its sole discretion, in accordance with the applicable annual bonus program(s) as in effect from time to time.</w:t>
      </w:r>
    </w:p>
    <w:p>
      <w:pPr>
        <w:spacing w:after="0" w:line="68" w:lineRule="exact"/>
        <w:rPr>
          <w:sz w:val="20"/>
          <w:szCs w:val="20"/>
          <w:color w:val="auto"/>
        </w:rPr>
      </w:pPr>
    </w:p>
    <w:p>
      <w:pPr>
        <w:jc w:val="both"/>
        <w:ind w:right="280" w:firstLine="225"/>
        <w:spacing w:after="0" w:line="281" w:lineRule="auto"/>
        <w:rPr>
          <w:sz w:val="20"/>
          <w:szCs w:val="20"/>
          <w:color w:val="auto"/>
        </w:rPr>
      </w:pPr>
      <w:r>
        <w:rPr>
          <w:rFonts w:ascii="Arial" w:cs="Arial" w:eastAsia="Arial" w:hAnsi="Arial"/>
          <w:sz w:val="17"/>
          <w:szCs w:val="17"/>
          <w:b w:val="1"/>
          <w:bCs w:val="1"/>
          <w:color w:val="auto"/>
        </w:rPr>
        <w:t>5.3 Long-Term Incentives</w:t>
      </w:r>
      <w:r>
        <w:rPr>
          <w:rFonts w:ascii="Arial" w:cs="Arial" w:eastAsia="Arial" w:hAnsi="Arial"/>
          <w:sz w:val="17"/>
          <w:szCs w:val="17"/>
          <w:color w:val="auto"/>
        </w:rPr>
        <w:t>. The Executive shall be eligible to receive, in addition to his Base Salary and Annual Bonus Award, a Long-Term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Award for services rendered during an Award Period established by the Committee. The amount of the Long-Term Incentive Award, if any, with respect to any Award Period shall be based upon award levels determined by the Committee in its sole discretion, in accordance with the Company’s or Scotts’ long-term incentive compensation plan, as the case may be, as in effect for executives from time to time.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5" w:name="page46"/>
    <w:bookmarkEnd w:id="45"/>
    <w:p>
      <w:pPr>
        <w:ind w:right="20" w:firstLine="225"/>
        <w:spacing w:after="0" w:line="289" w:lineRule="auto"/>
        <w:rPr>
          <w:sz w:val="20"/>
          <w:szCs w:val="20"/>
          <w:color w:val="auto"/>
        </w:rPr>
      </w:pPr>
      <w:r>
        <w:rPr>
          <w:rFonts w:ascii="Arial" w:cs="Arial" w:eastAsia="Arial" w:hAnsi="Arial"/>
          <w:sz w:val="17"/>
          <w:szCs w:val="17"/>
          <w:b w:val="1"/>
          <w:bCs w:val="1"/>
          <w:color w:val="auto"/>
        </w:rPr>
        <w:t>5.4 Retirement Benefits</w:t>
      </w:r>
      <w:r>
        <w:rPr>
          <w:rFonts w:ascii="Arial" w:cs="Arial" w:eastAsia="Arial" w:hAnsi="Arial"/>
          <w:sz w:val="17"/>
          <w:szCs w:val="17"/>
          <w:color w:val="auto"/>
        </w:rPr>
        <w:t>. During the term of this Agreement, and as otherwise provided within the provisions of each of the respective plans,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provide to the Executive all retirement benefits to which other executives and employees of the Company are entitled to receive, subject to the eligibility requirements and other provisions of such arrangements as applicable to executives of the Company generally.</w:t>
      </w:r>
    </w:p>
    <w:p>
      <w:pPr>
        <w:spacing w:after="0" w:line="50" w:lineRule="exact"/>
        <w:rPr>
          <w:sz w:val="20"/>
          <w:szCs w:val="20"/>
          <w:color w:val="auto"/>
        </w:rPr>
      </w:pPr>
    </w:p>
    <w:p>
      <w:pPr>
        <w:ind w:right="60" w:firstLine="225"/>
        <w:spacing w:after="0" w:line="256" w:lineRule="auto"/>
        <w:rPr>
          <w:sz w:val="20"/>
          <w:szCs w:val="20"/>
          <w:color w:val="auto"/>
        </w:rPr>
      </w:pPr>
      <w:r>
        <w:rPr>
          <w:rFonts w:ascii="Arial" w:cs="Arial" w:eastAsia="Arial" w:hAnsi="Arial"/>
          <w:sz w:val="18"/>
          <w:szCs w:val="18"/>
          <w:b w:val="1"/>
          <w:bCs w:val="1"/>
          <w:color w:val="auto"/>
        </w:rPr>
        <w:t>5.5 Employee Benefits</w:t>
      </w:r>
      <w:r>
        <w:rPr>
          <w:rFonts w:ascii="Arial" w:cs="Arial" w:eastAsia="Arial" w:hAnsi="Arial"/>
          <w:sz w:val="18"/>
          <w:szCs w:val="18"/>
          <w:color w:val="auto"/>
        </w:rPr>
        <w:t>. During the term of this Agreement, and as otherwise provided within the provisions of each of the respective plans,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to the Executive all benefits to which other executives and employees of the Company are entitled to receive, subject to the eligibility requirements and other provisions of such arrangements as applicable to executives of the Company generally. Such benefits shall include, but shall not be limited to, life insurance, comprehensive health and major medical insurance, dental insurance, prescription drug insurance, vision insurance, and short-term and long-term disability. The Executive shall likewise participate in any additional benefit as may be established during the term of this Agreement, by standard written policy of the Company.</w:t>
      </w:r>
    </w:p>
    <w:p>
      <w:pPr>
        <w:spacing w:after="0" w:line="80" w:lineRule="exact"/>
        <w:rPr>
          <w:sz w:val="20"/>
          <w:szCs w:val="20"/>
          <w:color w:val="auto"/>
        </w:rPr>
      </w:pPr>
    </w:p>
    <w:p>
      <w:pPr>
        <w:ind w:right="60" w:firstLine="225"/>
        <w:spacing w:after="0" w:line="274" w:lineRule="auto"/>
        <w:rPr>
          <w:sz w:val="20"/>
          <w:szCs w:val="20"/>
          <w:color w:val="auto"/>
        </w:rPr>
      </w:pPr>
      <w:r>
        <w:rPr>
          <w:rFonts w:ascii="Arial" w:cs="Arial" w:eastAsia="Arial" w:hAnsi="Arial"/>
          <w:sz w:val="17"/>
          <w:szCs w:val="17"/>
          <w:b w:val="1"/>
          <w:bCs w:val="1"/>
          <w:color w:val="auto"/>
        </w:rPr>
        <w:t>5.6 Perquisites</w:t>
      </w:r>
      <w:r>
        <w:rPr>
          <w:rFonts w:ascii="Arial" w:cs="Arial" w:eastAsia="Arial" w:hAnsi="Arial"/>
          <w:sz w:val="17"/>
          <w:szCs w:val="17"/>
          <w:color w:val="auto"/>
        </w:rPr>
        <w:t>. The Company shall provide to the Executive on an annual basis an automobile allowance of twelve thousand dollars ($12,000.00). This</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shall be paid to the Executive in equal installments throughout the year, consistent with the normal payroll practices of the Company. Additionally, the Company shall provide to the Executive on an annual basis either (a) a four thousand dollar ($4,000.00) amount to be used in lieu of the provision of personal financial planning, or (b) personal financial planning up to a cost or value of such amount. The value of such services or such amount will be added to the Executive’s taxable income. Some or all of such value or amount of the benefits described in this Section 5.6 may be tax deductible by the Executive, but the Company makes no tax representation relating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Expenses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Upon presentation of appropriate documentation, the Company shall pay, or reimburse the Executive, for all ordinary and necessary expenses, in a reasonable amount, which the Executive incurs in performing his duties under this Agreement including, but not limited to, travel, entertainment, professional dues and subscriptions, and all dues, fees, and expenses associated with membership in various professional, business, and civic associations and societies in which the Executive’s participation is in the best interest of the Company, in accordance with Company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Employment Terminations</w:t>
      </w:r>
    </w:p>
    <w:p>
      <w:pPr>
        <w:spacing w:after="0" w:line="117" w:lineRule="exact"/>
        <w:rPr>
          <w:sz w:val="20"/>
          <w:szCs w:val="20"/>
          <w:color w:val="auto"/>
        </w:rPr>
      </w:pPr>
    </w:p>
    <w:p>
      <w:pPr>
        <w:ind w:right="700" w:firstLine="225"/>
        <w:spacing w:after="0" w:line="282" w:lineRule="auto"/>
        <w:rPr>
          <w:sz w:val="20"/>
          <w:szCs w:val="20"/>
          <w:color w:val="auto"/>
        </w:rPr>
      </w:pPr>
      <w:r>
        <w:rPr>
          <w:rFonts w:ascii="Arial" w:cs="Arial" w:eastAsia="Arial" w:hAnsi="Arial"/>
          <w:sz w:val="18"/>
          <w:szCs w:val="18"/>
          <w:b w:val="1"/>
          <w:bCs w:val="1"/>
          <w:color w:val="auto"/>
        </w:rPr>
        <w:t>7.1 Termination Due to Death</w:t>
      </w:r>
      <w:r>
        <w:rPr>
          <w:rFonts w:ascii="Arial" w:cs="Arial" w:eastAsia="Arial" w:hAnsi="Arial"/>
          <w:sz w:val="18"/>
          <w:szCs w:val="18"/>
          <w:color w:val="auto"/>
        </w:rPr>
        <w:t>. In the event of the Executive’s death during the term of this Agreement, this Agreement shall terminate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Company’s obligations under this Agreement shall immediately expire.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1360" w:hanging="447"/>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within thirty (30) days following such Effective Date of Termination;</w:t>
      </w:r>
    </w:p>
    <w:p>
      <w:pPr>
        <w:spacing w:after="0" w:line="130" w:lineRule="exact"/>
        <w:rPr>
          <w:rFonts w:ascii="Arial" w:cs="Arial" w:eastAsia="Arial" w:hAnsi="Arial"/>
          <w:sz w:val="18"/>
          <w:szCs w:val="18"/>
          <w:color w:val="auto"/>
        </w:rPr>
      </w:pPr>
    </w:p>
    <w:p>
      <w:pPr>
        <w:ind w:left="1360" w:right="520" w:hanging="447"/>
        <w:spacing w:after="0" w:line="308"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Subject to the Executive’s estate signing and not revoking a release of claims satisfactory to the Company (a “Release”) within sixty (60) days following the Effective Date of Termination, the Prorated Target Annual Bonus Award. Such</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46" w:name="page47"/>
    <w:bookmarkEnd w:id="46"/>
    <w:p>
      <w:pPr>
        <w:ind w:left="1360"/>
        <w:spacing w:after="0"/>
        <w:rPr>
          <w:sz w:val="20"/>
          <w:szCs w:val="20"/>
          <w:color w:val="auto"/>
        </w:rPr>
      </w:pPr>
      <w:r>
        <w:rPr>
          <w:rFonts w:ascii="Arial" w:cs="Arial" w:eastAsia="Arial" w:hAnsi="Arial"/>
          <w:sz w:val="18"/>
          <w:szCs w:val="18"/>
          <w:color w:val="auto"/>
        </w:rPr>
        <w:t>amount shall be paid no later than seventy (70) days following the Effective Date of Termination; and</w:t>
      </w:r>
    </w:p>
    <w:p>
      <w:pPr>
        <w:spacing w:after="0" w:line="131" w:lineRule="exact"/>
        <w:rPr>
          <w:sz w:val="20"/>
          <w:szCs w:val="20"/>
          <w:color w:val="auto"/>
        </w:rPr>
      </w:pPr>
    </w:p>
    <w:p>
      <w:pPr>
        <w:ind w:left="1360" w:right="340" w:hanging="447"/>
        <w:spacing w:after="0" w:line="308" w:lineRule="auto"/>
        <w:tabs>
          <w:tab w:leader="none" w:pos="1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other rights and benefits the Executive is vested in, pursuant to other plans and programs of the Company. Such rights and benefits shall be paid or provided, as applicable, in accordance with the terms of the applicable plan or program.</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and the Executive thereafter shall have no further obligations under this Agreement.</w:t>
      </w:r>
    </w:p>
    <w:p>
      <w:pPr>
        <w:spacing w:after="0" w:line="113" w:lineRule="exact"/>
        <w:rPr>
          <w:sz w:val="20"/>
          <w:szCs w:val="20"/>
          <w:color w:val="auto"/>
        </w:rPr>
      </w:pPr>
    </w:p>
    <w:p>
      <w:pPr>
        <w:jc w:val="both"/>
        <w:ind w:right="80" w:firstLine="225"/>
        <w:spacing w:after="0" w:line="266" w:lineRule="auto"/>
        <w:rPr>
          <w:sz w:val="20"/>
          <w:szCs w:val="20"/>
          <w:color w:val="auto"/>
        </w:rPr>
      </w:pPr>
      <w:r>
        <w:rPr>
          <w:rFonts w:ascii="Arial" w:cs="Arial" w:eastAsia="Arial" w:hAnsi="Arial"/>
          <w:sz w:val="18"/>
          <w:szCs w:val="18"/>
          <w:b w:val="1"/>
          <w:bCs w:val="1"/>
          <w:color w:val="auto"/>
        </w:rPr>
        <w:t>7.2 Termination Due to Disability</w:t>
      </w:r>
      <w:r>
        <w:rPr>
          <w:rFonts w:ascii="Arial" w:cs="Arial" w:eastAsia="Arial" w:hAnsi="Arial"/>
          <w:sz w:val="18"/>
          <w:szCs w:val="18"/>
          <w:color w:val="auto"/>
        </w:rPr>
        <w:t>. Subject to any applicable legal requirement, in the event that the Executive becomes Disabled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shall have the right to terminate the Executive’s active employment by giving the Executive notice of such termination. Upon the Effective Date of Termination, the Company’s obligations under this Agreement shall immediately expire.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1360" w:right="120" w:hanging="447"/>
        <w:spacing w:after="0" w:line="277"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(subject to an offset for any disability payments that the Executive receives during this period) within thirty (30) days following such Effective Date of Termination;</w:t>
      </w:r>
    </w:p>
    <w:p>
      <w:pPr>
        <w:spacing w:after="0" w:line="75" w:lineRule="exact"/>
        <w:rPr>
          <w:rFonts w:ascii="Arial" w:cs="Arial" w:eastAsia="Arial" w:hAnsi="Arial"/>
          <w:sz w:val="18"/>
          <w:szCs w:val="18"/>
          <w:color w:val="auto"/>
        </w:rPr>
      </w:pPr>
    </w:p>
    <w:p>
      <w:pPr>
        <w:ind w:left="1360" w:right="560" w:hanging="447"/>
        <w:spacing w:after="0" w:line="264"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Executive signing and not revoking a Release within sixty (60) days following the Effective Date of Termination, the Prorated Target Annual Bonus Award. Such amount shall be paid no later than seventy (70) days following the Effective Date of Termination; and</w:t>
      </w:r>
    </w:p>
    <w:p>
      <w:pPr>
        <w:spacing w:after="0" w:line="86" w:lineRule="exact"/>
        <w:rPr>
          <w:rFonts w:ascii="Arial" w:cs="Arial" w:eastAsia="Arial" w:hAnsi="Arial"/>
          <w:sz w:val="18"/>
          <w:szCs w:val="18"/>
          <w:color w:val="auto"/>
        </w:rPr>
      </w:pPr>
    </w:p>
    <w:p>
      <w:pPr>
        <w:ind w:left="1360" w:right="340" w:hanging="447"/>
        <w:spacing w:after="0" w:line="308" w:lineRule="auto"/>
        <w:tabs>
          <w:tab w:leader="none" w:pos="1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other rights and benefits the Executive is vested in, pursuant to other plans and programs of the Company. Such rights and benefits shall be paid or provided, as applicable, in accordance with the terms of the applicable plan or program.</w:t>
      </w:r>
    </w:p>
    <w:p>
      <w:pPr>
        <w:spacing w:after="0" w:line="38"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58"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b w:val="1"/>
          <w:bCs w:val="1"/>
          <w:color w:val="auto"/>
        </w:rPr>
        <w:t>7.3 Voluntary Termination by the Executive</w:t>
      </w:r>
      <w:r>
        <w:rPr>
          <w:rFonts w:ascii="Arial" w:cs="Arial" w:eastAsia="Arial" w:hAnsi="Arial"/>
          <w:sz w:val="18"/>
          <w:szCs w:val="18"/>
          <w:color w:val="auto"/>
        </w:rPr>
        <w:t>. The Executive may terminate this Agreement at any time by giving the Company written notice of his</w:t>
      </w:r>
      <w:r>
        <w:rPr>
          <w:rFonts w:ascii="Arial" w:cs="Arial" w:eastAsia="Arial" w:hAnsi="Arial"/>
          <w:sz w:val="18"/>
          <w:szCs w:val="18"/>
          <w:b w:val="1"/>
          <w:bCs w:val="1"/>
          <w:color w:val="auto"/>
        </w:rPr>
        <w:t xml:space="preserve"> </w:t>
      </w:r>
      <w:r>
        <w:rPr>
          <w:rFonts w:ascii="Arial" w:cs="Arial" w:eastAsia="Arial" w:hAnsi="Arial"/>
          <w:sz w:val="18"/>
          <w:szCs w:val="18"/>
          <w:color w:val="auto"/>
        </w:rPr>
        <w:t>intent to terminate, delivered at least sixty (60) calendar days prior to the Effective Date of Termination; provided, however, that the Company may waive all or a portion of such sixty (60) day notice period. If the Company waives all or a portion of such sixty (60) day notice period, this Agreement shall not continue for the full sixty (60) day notice period but shall terminate upon the Executive’s “separation from service” as defined under Section 409A of the Code, which date shall be the Effective Date of Termination.</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Upon the Effective Date of Termination, the Company shall pay the Executive (a) his accrued and unpaid Base Salary at the rate then in effect, through the Effective Date of Termination within thirty (30) days following such Effective Date of Termination, plus (b) all other benefits to which the Executive has a vested right as of the Effective Date of Termination pursuant to the terms and conditions of the applicable plans and programs of the Company. With the exception of the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ind w:right="340"/>
        <w:spacing w:after="0" w:line="277" w:lineRule="auto"/>
        <w:rPr>
          <w:sz w:val="20"/>
          <w:szCs w:val="20"/>
          <w:color w:val="auto"/>
        </w:rPr>
      </w:pPr>
      <w:r>
        <w:rPr>
          <w:rFonts w:ascii="Arial" w:cs="Arial" w:eastAsia="Arial" w:hAnsi="Arial"/>
          <w:sz w:val="18"/>
          <w:szCs w:val="18"/>
          <w:color w:val="auto"/>
        </w:rPr>
        <w:t>covenants referenced in Article 10 (which survive the termination of the Executive’s employment), the Company and the Executive shall have no further obligations under this Agreement.</w:t>
      </w:r>
    </w:p>
    <w:p>
      <w:pPr>
        <w:spacing w:after="0" w:line="58"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 xml:space="preserve">7.4 Termination by the Company without Cause or by the Executive with Good Reason unrelated to a Change in Control. </w:t>
      </w:r>
      <w:r>
        <w:rPr>
          <w:rFonts w:ascii="Arial" w:cs="Arial" w:eastAsia="Arial" w:hAnsi="Arial"/>
          <w:sz w:val="17"/>
          <w:szCs w:val="17"/>
          <w:color w:val="auto"/>
        </w:rPr>
        <w:t>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of this Agreement, the Company may terminate the Executive’s employment for reasons other than death, Disability, or for Cause, by providing to the Executive a Notice of Termination, at least sixty (60) calendar days prior to the Effective Date of Termination. Such Notice of Termination shall be irrevocable absent express written, mutual consent of the parties. Additionally, the Executive may terminate employment with the Company for Good Reason by providing the Company with a Notice of Termination for Good Reason. The Notice of Termination must set forth in reasonable detail the facts and circumstances claimed to provide a basis for such Good Reason termination.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Effective Date of Termination, the Executive shall be entitled to:</w:t>
      </w:r>
    </w:p>
    <w:p>
      <w:pPr>
        <w:spacing w:after="0" w:line="117" w:lineRule="exact"/>
        <w:rPr>
          <w:sz w:val="20"/>
          <w:szCs w:val="20"/>
          <w:color w:val="auto"/>
        </w:rPr>
      </w:pPr>
    </w:p>
    <w:p>
      <w:pPr>
        <w:ind w:left="660" w:right="300" w:hanging="43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through the Effective Date of Termination within thirty (30) days following such Effective Date of Termination.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Executive signing and not revoking a Release within sixty (60) days following the Effective Date of Termination:</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lump sum payment equal to two (2) times the Executive’s Base Salary, at the rate in effect on the Effective Date of Termination;</w:t>
      </w:r>
    </w:p>
    <w:p>
      <w:pPr>
        <w:spacing w:after="0" w:line="142" w:lineRule="exact"/>
        <w:rPr>
          <w:rFonts w:ascii="Arial" w:cs="Arial" w:eastAsia="Arial" w:hAnsi="Arial"/>
          <w:sz w:val="17"/>
          <w:szCs w:val="17"/>
          <w:color w:val="auto"/>
        </w:rPr>
      </w:pPr>
    </w:p>
    <w:p>
      <w:pPr>
        <w:ind w:left="1360" w:hanging="447"/>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lump sum payment equal to the Prorated Annual Bonus Award; and</w:t>
      </w:r>
    </w:p>
    <w:p>
      <w:pPr>
        <w:spacing w:after="0" w:line="130" w:lineRule="exact"/>
        <w:rPr>
          <w:rFonts w:ascii="Arial" w:cs="Arial" w:eastAsia="Arial" w:hAnsi="Arial"/>
          <w:sz w:val="18"/>
          <w:szCs w:val="18"/>
          <w:color w:val="auto"/>
        </w:rPr>
      </w:pPr>
    </w:p>
    <w:p>
      <w:pPr>
        <w:ind w:left="1360" w:right="260" w:hanging="447"/>
        <w:spacing w:after="0" w:line="312"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lump sum payment equal to the product of (A) the then current cost of one (1) month’s premiums for COBRA continuation coverage under the medical and dental insurance plans in which the Executive and his dependents were participating on the Effective Date of Termination (assuming the same coverage level as in effect as of the Effective Date of Termination), and (B) twelve (12).</w:t>
      </w:r>
    </w:p>
    <w:p>
      <w:pPr>
        <w:spacing w:after="0" w:line="39"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Except as otherwise required by Section 7.7, the lump sum payments described in this Section 7.4(b)(i) and (iii) shall be made by the Company no later than seventy (70) days following the Effective Date of Termination and the lump sum payment described in this Section 7.4(b)(ii) shall be made no later than the fifteenth (15</w:t>
      </w:r>
      <w:r>
        <w:rPr>
          <w:rFonts w:ascii="Arial" w:cs="Arial" w:eastAsia="Arial" w:hAnsi="Arial"/>
          <w:sz w:val="15"/>
          <w:szCs w:val="15"/>
          <w:color w:val="auto"/>
        </w:rPr>
        <w:t>th</w:t>
      </w:r>
      <w:r>
        <w:rPr>
          <w:rFonts w:ascii="Arial" w:cs="Arial" w:eastAsia="Arial" w:hAnsi="Arial"/>
          <w:sz w:val="18"/>
          <w:szCs w:val="18"/>
          <w:color w:val="auto"/>
        </w:rPr>
        <w:t>) day of the third (3</w:t>
      </w:r>
      <w:r>
        <w:rPr>
          <w:rFonts w:ascii="Arial" w:cs="Arial" w:eastAsia="Arial" w:hAnsi="Arial"/>
          <w:sz w:val="15"/>
          <w:szCs w:val="15"/>
          <w:color w:val="auto"/>
        </w:rPr>
        <w:t>rd</w:t>
      </w:r>
      <w:r>
        <w:rPr>
          <w:rFonts w:ascii="Arial" w:cs="Arial" w:eastAsia="Arial" w:hAnsi="Arial"/>
          <w:sz w:val="18"/>
          <w:szCs w:val="18"/>
          <w:color w:val="auto"/>
        </w:rPr>
        <w:t>) month following the end of the fiscal year in which the Effective Date of Termination occurs. The Company shall provide the Release to the Executive on or shortly after the Effective Date of Termination, and the Executive shall execute the Release during the time period permitted by applicable law.</w:t>
      </w:r>
    </w:p>
    <w:p>
      <w:pPr>
        <w:spacing w:after="0" w:line="80" w:lineRule="exact"/>
        <w:rPr>
          <w:sz w:val="20"/>
          <w:szCs w:val="20"/>
          <w:color w:val="auto"/>
        </w:rPr>
      </w:pPr>
    </w:p>
    <w:p>
      <w:pPr>
        <w:ind w:left="660" w:right="200" w:hanging="436"/>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other benefits to which the Executive has a vested right as of the Effective Date of Termination, according to the provisions of the governing plan or program. Such rights and benefits shall be paid or provided, as applicable, in accordance with the terms of the applicable plan or program.</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8" w:name="page49"/>
    <w:bookmarkEnd w:id="48"/>
    <w:p>
      <w:pPr>
        <w:ind w:right="50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58"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7.5 Termination for Cause</w:t>
      </w:r>
      <w:r>
        <w:rPr>
          <w:rFonts w:ascii="Arial" w:cs="Arial" w:eastAsia="Arial" w:hAnsi="Arial"/>
          <w:sz w:val="18"/>
          <w:szCs w:val="18"/>
          <w:color w:val="auto"/>
        </w:rPr>
        <w:t>. Nothing in this Agreement shall be construed to prevent the Company from terminating the Executive’s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Cause.</w:t>
      </w:r>
    </w:p>
    <w:p>
      <w:pPr>
        <w:spacing w:after="0" w:line="5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event this Agreement is terminated by the Company for Cause, the Company shall pay the Executive his Base Salary through the Effective Date of Termination within thirty (30) days following such Effective Date of Termination, and the Executive shall immediately thereafter forfeit all rights and benefits (other than vested benefits) he would otherwise have been entitled to receive under this Agreement. With the exception of the covenants referenced in Article 10 (which survive the termination of the Executive’s employment), the Company and the Executive shall have no further obligations under this Agreement.</w:t>
      </w:r>
    </w:p>
    <w:p>
      <w:pPr>
        <w:spacing w:after="0" w:line="76"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7.6 Subsequent to a Change in Control, Termination by the Company without Cause or by the Executive with Good Reason. </w:t>
      </w:r>
      <w:r>
        <w:rPr>
          <w:rFonts w:ascii="Arial" w:cs="Arial" w:eastAsia="Arial" w:hAnsi="Arial"/>
          <w:sz w:val="18"/>
          <w:szCs w:val="18"/>
          <w:color w:val="auto"/>
        </w:rPr>
        <w:t>If within two (2) years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the Company terminates the Executive’s employment for any reason other than death, Disability, or Cause or the Executive terminates employment for Good Reason, the Company shall pay and provide to the Executive:</w:t>
      </w:r>
    </w:p>
    <w:p>
      <w:pPr>
        <w:spacing w:after="0" w:line="72" w:lineRule="exact"/>
        <w:rPr>
          <w:sz w:val="20"/>
          <w:szCs w:val="20"/>
          <w:color w:val="auto"/>
        </w:rPr>
      </w:pPr>
    </w:p>
    <w:p>
      <w:pPr>
        <w:ind w:left="660" w:right="340" w:hanging="43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through the Effective Date of Termination within thirty (30) days following such Effective Date of Termination.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Executive signing and not revoking a Release within sixty (60) days following the Effective Date of Termination:</w:t>
      </w:r>
    </w:p>
    <w:p>
      <w:pPr>
        <w:spacing w:after="0" w:line="117" w:lineRule="exact"/>
        <w:rPr>
          <w:rFonts w:ascii="Arial" w:cs="Arial" w:eastAsia="Arial" w:hAnsi="Arial"/>
          <w:sz w:val="18"/>
          <w:szCs w:val="18"/>
          <w:color w:val="auto"/>
        </w:rPr>
      </w:pPr>
    </w:p>
    <w:p>
      <w:pPr>
        <w:ind w:left="1360" w:right="120" w:hanging="447"/>
        <w:spacing w:after="0" w:line="277"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lump sum payment equal to two (2) times the Executive’s annual Base Salary, at the Base Salary amount in effect on the Effective Date of Termination;</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lump sum payment equal to two (2) times the Target Annual Bonus Award;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lump sum payment that is equal to the Prorated Target Annual Bonus Award; and</w:t>
      </w:r>
    </w:p>
    <w:p>
      <w:pPr>
        <w:spacing w:after="0" w:line="130" w:lineRule="exact"/>
        <w:rPr>
          <w:rFonts w:ascii="Arial" w:cs="Arial" w:eastAsia="Arial" w:hAnsi="Arial"/>
          <w:sz w:val="18"/>
          <w:szCs w:val="18"/>
          <w:color w:val="auto"/>
        </w:rPr>
      </w:pPr>
    </w:p>
    <w:p>
      <w:pPr>
        <w:ind w:left="1360" w:right="300" w:hanging="447"/>
        <w:spacing w:after="0" w:line="312"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lump sum payment equal to the product of (A) the then current cost of one (1) month’s premiums for COBRA continuation coverage under the medical and dental insurance plans in which the Executive and his dependents were participating on the Effective Date of Termination (assuming the same coverage level as in effect as of the Effective Date of Termination), and (B) eighteen (18).</w:t>
      </w:r>
    </w:p>
    <w:p>
      <w:pPr>
        <w:spacing w:after="0" w:line="39" w:lineRule="exact"/>
        <w:rPr>
          <w:sz w:val="20"/>
          <w:szCs w:val="20"/>
          <w:color w:val="auto"/>
        </w:rPr>
      </w:pPr>
    </w:p>
    <w:p>
      <w:pPr>
        <w:ind w:left="920" w:right="220"/>
        <w:spacing w:after="0" w:line="312" w:lineRule="auto"/>
        <w:rPr>
          <w:sz w:val="20"/>
          <w:szCs w:val="20"/>
          <w:color w:val="auto"/>
        </w:rPr>
      </w:pPr>
      <w:r>
        <w:rPr>
          <w:rFonts w:ascii="Arial" w:cs="Arial" w:eastAsia="Arial" w:hAnsi="Arial"/>
          <w:sz w:val="16"/>
          <w:szCs w:val="16"/>
          <w:color w:val="auto"/>
        </w:rPr>
        <w:t>Except as otherwise required by Section 7.7, the lump sum payments described in this Section 7.6(b) shall be made by the Company within seventy (70) days following the Effective Date of Termination. The Company shall provide the Release to the Executive on or shortly after the Effective Date of Termination, and the Executive shall execute the Release during the time period permitted by applicable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9" w:name="page50"/>
    <w:bookmarkEnd w:id="49"/>
    <w:p>
      <w:pPr>
        <w:ind w:left="660" w:right="220" w:hanging="436"/>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other benefits to which the Executive has a vested right as of the Effective Date of Termination, according to the provisions of the governing plan or program. Such rights and benefits shall be paid or provided, as applicable, in accordance with the terms of the applicable plan or program.</w:t>
      </w:r>
    </w:p>
    <w:p>
      <w:pPr>
        <w:spacing w:after="0" w:line="16"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58"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b w:val="1"/>
          <w:bCs w:val="1"/>
          <w:color w:val="auto"/>
        </w:rPr>
        <w:t>Required Postponement for Specified Executives.</w:t>
      </w:r>
      <w:r>
        <w:rPr>
          <w:rFonts w:ascii="Arial" w:cs="Arial" w:eastAsia="Arial" w:hAnsi="Arial"/>
          <w:sz w:val="16"/>
          <w:szCs w:val="16"/>
          <w:color w:val="auto"/>
        </w:rPr>
        <w:t xml:space="preserve"> If the Executive is considered a Specified Executive and payment of any amounts under this Agreement is required to be delayed for a period of six months after a separation from service pursuant to Section 409A of the Code, payment of such amounts shall be delayed as required by Section 409A of the Code, and the accumulated postponed amounts shall be paid in a lump sum payment within five</w:t>
      </w:r>
    </w:p>
    <w:p>
      <w:pPr>
        <w:spacing w:after="0" w:line="2" w:lineRule="exact"/>
        <w:rPr>
          <w:sz w:val="20"/>
          <w:szCs w:val="20"/>
          <w:color w:val="auto"/>
        </w:rPr>
      </w:pPr>
    </w:p>
    <w:p>
      <w:pPr>
        <w:ind w:right="100" w:firstLine="8"/>
        <w:spacing w:after="0" w:line="323"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days after the end of the six (6) month period. If the Executive dies during the postponement period prior to the payment of such amounts, the amounts postponed on account of Section 409A of the Code shall be paid to the Executive’s Beneficiary within sixty (60) days after the date of the Executive’s death.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Assignment</w:t>
      </w:r>
    </w:p>
    <w:p>
      <w:pPr>
        <w:spacing w:after="0" w:line="11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b w:val="1"/>
          <w:bCs w:val="1"/>
          <w:color w:val="auto"/>
        </w:rPr>
        <w:t>8.1 Assignment by the Company</w:t>
      </w:r>
      <w:r>
        <w:rPr>
          <w:rFonts w:ascii="Arial" w:cs="Arial" w:eastAsia="Arial" w:hAnsi="Arial"/>
          <w:sz w:val="18"/>
          <w:szCs w:val="18"/>
          <w:color w:val="auto"/>
        </w:rPr>
        <w:t>. This Agreement may and shall be assigned or transferred to, and shall be binding upon and shall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company. For the purposes of this Section 8.1, a “successor” shall include a purchaser of all of the equity of the Company or all or substantially all of the assets or business of the Company. Any such successor company shall be deemed substituted for all purposes of the “Company” under the terms of this Agreement.</w:t>
      </w:r>
    </w:p>
    <w:p>
      <w:pPr>
        <w:spacing w:after="0" w:line="76"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Failure of the Company to obtain the agreement of any successor company to be bound by the terms of this Agreement prior to the effectiveness of any such succession shall be a breach of this Agreement, and an event constituting Good Reason (as described in Section 2.17). Except as herein provided, this Agreement may not otherwise be assigned by the Company.</w:t>
      </w:r>
    </w:p>
    <w:p>
      <w:pPr>
        <w:spacing w:after="0" w:line="69"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8.2 Assignment by the Executive</w:t>
      </w:r>
      <w:r>
        <w:rPr>
          <w:rFonts w:ascii="Arial" w:cs="Arial" w:eastAsia="Arial" w:hAnsi="Arial"/>
          <w:sz w:val="18"/>
          <w:szCs w:val="18"/>
          <w:color w:val="auto"/>
        </w:rPr>
        <w:t>. This Agreement shall inure to the benefit of and be enforceable by the Executive’s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the Executive dies during the term of this Agreement, the Company’s obligations to make payments or provide benefits are described entirely in Sections 7.1 and 7.7 and all such amounts, unless otherwise provided herein, shall be paid in accordance with the terms of this Agreement to the Executive’s Beneficiary.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Notice</w:t>
      </w:r>
    </w:p>
    <w:p>
      <w:pPr>
        <w:spacing w:after="0" w:line="121" w:lineRule="exact"/>
        <w:rPr>
          <w:sz w:val="20"/>
          <w:szCs w:val="20"/>
          <w:color w:val="auto"/>
        </w:rPr>
      </w:pPr>
    </w:p>
    <w:p>
      <w:pPr>
        <w:ind w:right="100" w:firstLine="215"/>
        <w:spacing w:after="0" w:line="308" w:lineRule="auto"/>
        <w:rPr>
          <w:sz w:val="20"/>
          <w:szCs w:val="20"/>
          <w:color w:val="auto"/>
        </w:rPr>
      </w:pPr>
      <w:r>
        <w:rPr>
          <w:rFonts w:ascii="Arial" w:cs="Arial" w:eastAsia="Arial" w:hAnsi="Arial"/>
          <w:sz w:val="17"/>
          <w:szCs w:val="17"/>
          <w:color w:val="auto"/>
        </w:rPr>
        <w:t>Any notices, requests, demands, or other communications provided by this Agreement shall be sufficient if in writing and if sent by registered or certified mail to the Executive at the last address he has filed in writing with the Company or, in the case of the Company, at its principal offices.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Confidentiality, Noncompetition, and Nonsolicitation</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This Agreement shall not supersede or nullify in any way the Employee Confidentiality, Noncompetition, Nonsolicitation Agreement executed by the Executive on May 11, 2006 and, if applicable, on subsequent dates. The Employee Confidentiality, Noncompetition, Nonsolicitation Agreement shall remain in full force and effect and any requirements of such agreement shall be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0" w:name="page51"/>
    <w:bookmarkEnd w:id="50"/>
    <w:p>
      <w:pPr>
        <w:ind w:right="300"/>
        <w:spacing w:after="0" w:line="277" w:lineRule="auto"/>
        <w:rPr>
          <w:sz w:val="20"/>
          <w:szCs w:val="20"/>
          <w:color w:val="auto"/>
        </w:rPr>
      </w:pPr>
      <w:r>
        <w:rPr>
          <w:rFonts w:ascii="Arial" w:cs="Arial" w:eastAsia="Arial" w:hAnsi="Arial"/>
          <w:sz w:val="18"/>
          <w:szCs w:val="18"/>
          <w:color w:val="auto"/>
        </w:rPr>
        <w:t>incorporated by reference into this Agreement. The provisions of this Article 10 shall survive the termination of this Agreement and the termination of the Executive’s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117" w:lineRule="exact"/>
        <w:rPr>
          <w:sz w:val="20"/>
          <w:szCs w:val="20"/>
          <w:color w:val="auto"/>
        </w:rPr>
      </w:pPr>
    </w:p>
    <w:p>
      <w:pPr>
        <w:ind w:right="120" w:firstLine="225"/>
        <w:spacing w:after="0" w:line="303" w:lineRule="auto"/>
        <w:rPr>
          <w:sz w:val="20"/>
          <w:szCs w:val="20"/>
          <w:color w:val="auto"/>
        </w:rPr>
      </w:pPr>
      <w:r>
        <w:rPr>
          <w:rFonts w:ascii="Arial" w:cs="Arial" w:eastAsia="Arial" w:hAnsi="Arial"/>
          <w:sz w:val="16"/>
          <w:szCs w:val="16"/>
          <w:b w:val="1"/>
          <w:bCs w:val="1"/>
          <w:color w:val="auto"/>
        </w:rPr>
        <w:t>11.1 Entire Agreement</w:t>
      </w:r>
      <w:r>
        <w:rPr>
          <w:rFonts w:ascii="Arial" w:cs="Arial" w:eastAsia="Arial" w:hAnsi="Arial"/>
          <w:sz w:val="16"/>
          <w:szCs w:val="16"/>
          <w:color w:val="auto"/>
        </w:rPr>
        <w:t>. Unless otherwise specified herein, this Agreement supersedes any prior agreements or understandings, oral or written,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or between the Executive and the Company, with respect to the subject matter hereof, including the Employment Agreement between the parties dated March 1, 2006 and constitutes the entire agreement of the parties with respect thereto. Nothing in this Section 11.1 shall be construed, however, to supersede any prior award agreements between the parties under Scotts’ equity-based incentive compensation plans.</w:t>
      </w:r>
    </w:p>
    <w:p>
      <w:pPr>
        <w:spacing w:after="0" w:line="43"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11.2 Amendment or Modification</w:t>
      </w:r>
      <w:r>
        <w:rPr>
          <w:rFonts w:ascii="Arial" w:cs="Arial" w:eastAsia="Arial" w:hAnsi="Arial"/>
          <w:sz w:val="18"/>
          <w:szCs w:val="18"/>
          <w:color w:val="auto"/>
        </w:rPr>
        <w:t>. This Agreement shall not be varied, altered, modified, canceled, changed, or in any way amended except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in a written instrument executed by the parties hereto or their legal representatives. Notwithstanding the foregoing, the Company may amend the Agreement, to take effect retroactively or otherwise, as deemed necessary or advisable for the purpose of conforming the Agreement to any present or future law relating to agreements of this or similar nature (including, but not limited to, Section 409A of the Code), and to the administrative regulations and rulings promulgated thereunder. None of the Company, Scotts or any of their respective affiliates shall have any liability to the Executive for any failure to comply with Section 409A of the Code.</w:t>
      </w:r>
    </w:p>
    <w:p>
      <w:pPr>
        <w:spacing w:after="0" w:line="80"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11.3 Severability</w:t>
      </w:r>
      <w:r>
        <w:rPr>
          <w:rFonts w:ascii="Arial" w:cs="Arial" w:eastAsia="Arial" w:hAnsi="Arial"/>
          <w:sz w:val="18"/>
          <w:szCs w:val="18"/>
          <w:color w:val="auto"/>
        </w:rPr>
        <w:t>. In the event that any provision or portion of this Agreement shall be determined to be invalid or unenforceable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Agreement shall be unaffected thereby and shall remain in full force and effect.</w:t>
      </w:r>
    </w:p>
    <w:p>
      <w:pPr>
        <w:spacing w:after="0" w:line="54"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11.4 Counterparts</w:t>
      </w:r>
      <w:r>
        <w:rPr>
          <w:rFonts w:ascii="Arial" w:cs="Arial" w:eastAsia="Arial" w:hAnsi="Arial"/>
          <w:sz w:val="18"/>
          <w:szCs w:val="18"/>
          <w:color w:val="auto"/>
        </w:rPr>
        <w:t>. This Agreement may be executed in one (1)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54"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11.5 Tax Withholding</w:t>
      </w:r>
      <w:r>
        <w:rPr>
          <w:rFonts w:ascii="Arial" w:cs="Arial" w:eastAsia="Arial" w:hAnsi="Arial"/>
          <w:sz w:val="18"/>
          <w:szCs w:val="18"/>
          <w:color w:val="auto"/>
        </w:rPr>
        <w:t>. The Company may withhold from any benefits payable under this Agreement all federal, state, city, or other taxes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pursuant to any law or governmental regulation or ruling.</w:t>
      </w:r>
    </w:p>
    <w:p>
      <w:pPr>
        <w:spacing w:after="0" w:line="54"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11.6 Beneficiaries</w:t>
      </w:r>
      <w:r>
        <w:rPr>
          <w:rFonts w:ascii="Arial" w:cs="Arial" w:eastAsia="Arial" w:hAnsi="Arial"/>
          <w:sz w:val="18"/>
          <w:szCs w:val="18"/>
          <w:color w:val="auto"/>
        </w:rPr>
        <w:t>. For the purposes of any payments or benefits due under Sections 7.1 and 7.7 of this Agreement, the Executive may designate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individuals or entities as the primary and/or contingent Beneficiaries of any amounts to be received. Such designation must be in the form of a signed writing acceptable to the Company. The Executive may make or change such designation at any time. An acceptable form is attached hereto as Exhibit A. If no Beneficiary is validly designated, then the benefits payable under this Agreement shall be paid to the Executive’s surviving spouse or, if there is no surviving spouse, the Executive’s estate.</w:t>
      </w:r>
    </w:p>
    <w:p>
      <w:pPr>
        <w:spacing w:after="0" w:line="76"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b w:val="1"/>
          <w:bCs w:val="1"/>
          <w:color w:val="auto"/>
        </w:rPr>
        <w:t>11.7 Payment Obligation Absolute</w:t>
      </w:r>
      <w:r>
        <w:rPr>
          <w:rFonts w:ascii="Arial" w:cs="Arial" w:eastAsia="Arial" w:hAnsi="Arial"/>
          <w:sz w:val="18"/>
          <w:szCs w:val="18"/>
          <w:color w:val="auto"/>
        </w:rPr>
        <w:t>. All amounts payable by the Company hereunder shall be paid without notice or demand. Subject to the covenants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Article 10 and the terms of any bonus, long-term incentive or other such plan or program, each and every payment made hereunder by the Company shall be final, and the Company shall not seek to recover all or any part of such payment from the Executive or from whomsoever may be entitled thereto, for any reasons whatsoever.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right="300" w:firstLine="222"/>
        <w:spacing w:after="0" w:line="312" w:lineRule="auto"/>
        <w:rPr>
          <w:sz w:val="20"/>
          <w:szCs w:val="20"/>
          <w:color w:val="auto"/>
        </w:rPr>
      </w:pPr>
      <w:r>
        <w:rPr>
          <w:rFonts w:ascii="Arial" w:cs="Arial" w:eastAsia="Arial" w:hAnsi="Arial"/>
          <w:sz w:val="16"/>
          <w:szCs w:val="16"/>
          <w:color w:val="auto"/>
        </w:rPr>
        <w:t>The restrictive covenants referenced in Article 10 are independent of any other contractual obligations in this Agreement or otherwise owed by the Company to the Executive. Except as provided in this Section 11.7, the existence of any claim or cause of action by the Executive against the Company, whether based on this Agreement or otherwise, shall not create a defense to the enforcement by the Company of any restrictive covenant contained herein.</w:t>
      </w:r>
    </w:p>
    <w:p>
      <w:pPr>
        <w:spacing w:after="0" w:line="35"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11.8 Contractual Rights to Benefits</w:t>
      </w:r>
      <w:r>
        <w:rPr>
          <w:rFonts w:ascii="Arial" w:cs="Arial" w:eastAsia="Arial" w:hAnsi="Arial"/>
          <w:sz w:val="18"/>
          <w:szCs w:val="18"/>
          <w:color w:val="auto"/>
        </w:rPr>
        <w:t>. Subject to approval by the Company, this Agreement establishes and vests in the Executive a contractual right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which 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72"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11.9 Specific Performance</w:t>
      </w:r>
      <w:r>
        <w:rPr>
          <w:rFonts w:ascii="Arial" w:cs="Arial" w:eastAsia="Arial" w:hAnsi="Arial"/>
          <w:sz w:val="17"/>
          <w:szCs w:val="17"/>
          <w:color w:val="auto"/>
        </w:rPr>
        <w:t>. The Executive acknowledges that the obligations undertaken by him pursuant to this Agreement are unique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likely have no adequate remedy at law if the Executive shall fail to perform any of his obligations hereunder. The Executive therefore confirms that the Company’s right to specific performance of the terms of this Agreement is essential to protect the rights and interests of the Company. Accordingly, in addition to any other remedies that the Company may have at law or in equity, the Company shall have the right to have all obligations, covenants, agreements, and other provisions of this Agreement specifically performed by the Executive and the Company shall have the right to obtain preliminary injunctive relief to secure specific performance and to prevent a breach or contemplated breach of this Agreement by the Executive.</w:t>
      </w:r>
    </w:p>
    <w:p>
      <w:pPr>
        <w:spacing w:after="0" w:line="66" w:lineRule="exact"/>
        <w:rPr>
          <w:sz w:val="20"/>
          <w:szCs w:val="20"/>
          <w:color w:val="auto"/>
        </w:rPr>
      </w:pPr>
    </w:p>
    <w:p>
      <w:pPr>
        <w:ind w:right="180" w:firstLine="225"/>
        <w:spacing w:after="0" w:line="303" w:lineRule="auto"/>
        <w:rPr>
          <w:sz w:val="20"/>
          <w:szCs w:val="20"/>
          <w:color w:val="auto"/>
        </w:rPr>
      </w:pPr>
      <w:r>
        <w:rPr>
          <w:rFonts w:ascii="Arial" w:cs="Arial" w:eastAsia="Arial" w:hAnsi="Arial"/>
          <w:sz w:val="16"/>
          <w:szCs w:val="16"/>
          <w:b w:val="1"/>
          <w:bCs w:val="1"/>
          <w:color w:val="auto"/>
        </w:rPr>
        <w:t xml:space="preserve">11.10 Voiding of Agreement Provision. </w:t>
      </w:r>
      <w:r>
        <w:rPr>
          <w:rFonts w:ascii="Arial" w:cs="Arial" w:eastAsia="Arial" w:hAnsi="Arial"/>
          <w:sz w:val="16"/>
          <w:szCs w:val="16"/>
          <w:color w:val="auto"/>
        </w:rPr>
        <w:t>If any provision under this Agreement causes an amount to be considered deferred under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and as such become subject to income tax, excise tax, or penalties under the Code prior to the time such amount is paid to the Executive, such amount shall be deemed null and void with respect to such amount deferred and the Company may amend or modify this Agreement in order to accomplish the objectives of the Agreement without causing early taxation of such amounts and without the Company incurring additional cost or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Governing Law</w:t>
      </w:r>
    </w:p>
    <w:p>
      <w:pPr>
        <w:spacing w:after="0" w:line="121"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To the extent not preempted by federal law, the provisions of this Agreement shall be construed and enforced in accordance with the laws of the state of Ohio, excluding any conflicts or choice of law rule or principle that might otherwise refer construction or interpretation of the Agreement to the substantive law of another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Indemnification</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hereby covenants and agrees to indemnify and hold harmless the Executive against and in respect to any and all actions, suits, proceedings, claims, demands, judgments, costs, expenses, losses, and damages resulting from the Executive’s performance of his duties and obligations under the terms of this Agreement; provided however, the Executive acted in good faith and in a manner he reasonably believed to be in or not opposed to the best interests of the Company or its shareholders, and with respect to a criminal action or proceeding, the Executive had no reasonable cause to believe his conduct was unlawful.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left="35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 Vincent C. Brockman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14605</wp:posOffset>
            </wp:positionV>
            <wp:extent cx="25298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Vincent C. Brockman</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 6/26/08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Scotts Company LLC</w:t>
      </w:r>
    </w:p>
    <w:p>
      <w:pPr>
        <w:spacing w:after="0" w:line="24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14605</wp:posOffset>
            </wp:positionV>
            <wp:extent cx="25298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James Hagedorn, Chief Executive Officer</w:t>
      </w:r>
    </w:p>
    <w:p>
      <w:pPr>
        <w:spacing w:after="0" w:line="24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 6/27/08</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A</w:t>
      </w:r>
    </w:p>
    <w:p>
      <w:pPr>
        <w:spacing w:after="0" w:line="3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SCOTTS COMPANY LLC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BENEFICIARY DESIGNATION FORM</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RELATING TO CONTINGENT PAYMENTS UNDER THE EMPLOYMENT AGREEMENT ENTERED INTO BETWEEN BY AND BETWEEN VINCENT C. BROCKMAN AND THE SCOTTS COMPANY LLC</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INSTRUCTIONS FOR COMPLETING THIS BENEFICIARY DESIGNATION FORM</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You may use this Beneficiary Designation Form to (1) name the person you want to receive any amount due under the Employment Agreement, effective May___, 2008, by and between you and The Scotts Company LLC (“Agreement”) after your death or (2) change the person who will receive these benefits.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FIRST, if you do not elect a beneficiary, any amount due to you under the Agreement when you die will be paid to your surviving spouse or, if you have no surviving spouse, to your estate.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SECOND, your election will not be effective (and will not be implemented) unless you complete all applicable portions of this Beneficiary Designation Form and return it with a signed copy of the Agreement to the legal department.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THIRD, all elections will remain in effect until they are changed (or until all death benefits are paid).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FOURTH, this beneficiary designation supersedes and revokes all other beneficiary designations with respect to payments under the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DESIGNATION OF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 PRIMARY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designate the following person as my Primary Beneficiary to receive any amount due after my death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1216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641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2.02 CONTINGENT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my Primary Beneficiary dies before I die, I direct that any amount due after my death under the terms of the Agreement be distributed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1216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6416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Elections made on this Beneficiary Designation Form will be effective only after this Form is received by the legal department and only if it is fully and properly completed and 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VINCENT C. BROCKMAN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1993 Massachusetts Avenue NE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 Petersburg, FL 33703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Sign and attach this Beneficiary Designation Form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645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wp:posOffset>
            </wp:positionV>
            <wp:extent cx="1143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43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7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936" w:right="6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28,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Dated: August 7, 2008</w:t>
      </w:r>
      <w:r>
        <w:rPr>
          <w:sz w:val="20"/>
          <w:szCs w:val="20"/>
          <w:color w:val="auto"/>
        </w:rPr>
        <w:tab/>
      </w:r>
      <w:r>
        <w:rPr>
          <w:rFonts w:ascii="Arial" w:cs="Arial" w:eastAsia="Arial" w:hAnsi="Arial"/>
          <w:sz w:val="17"/>
          <w:szCs w:val="17"/>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President, Chief Executive Officer and Chairman of the Board</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28,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Dated: August 7, 2008</w:t>
      </w:r>
      <w:r>
        <w:rPr>
          <w:sz w:val="20"/>
          <w:szCs w:val="20"/>
          <w:color w:val="auto"/>
        </w:rPr>
        <w:tab/>
      </w:r>
      <w:r>
        <w:rPr>
          <w:rFonts w:ascii="Arial" w:cs="Arial" w:eastAsia="Arial" w:hAnsi="Arial"/>
          <w:sz w:val="17"/>
          <w:szCs w:val="17"/>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Printed Name: David C. Evans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June 28, 2008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8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James Hagedorn</w:t>
            </w:r>
          </w:p>
        </w:tc>
        <w:tc>
          <w:tcPr>
            <w:tcW w:w="8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8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8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August 7, 2008</w:t>
            </w:r>
          </w:p>
        </w:tc>
        <w:tc>
          <w:tcPr>
            <w:tcW w:w="8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August 7,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Letter"/>
      <w:start w:val="3"/>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upp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Roman"/>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5"/>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6"/>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lvl w:ilvl="1">
      <w:lvlJc w:val="left"/>
      <w:lvlText w:val="(%2)"/>
      <w:numFmt w:val="lowerRoman"/>
      <w:start w:val="1"/>
    </w:lvl>
  </w:abstractNum>
  <w:abstractNum w:abstractNumId="19">
    <w:nsid w:val="6763845E"/>
    <w:multiLevelType w:val="hybridMultilevel"/>
    <w:lvl w:ilvl="0">
      <w:lvlJc w:val="left"/>
      <w:lvlText w:val="(%1)"/>
      <w:numFmt w:val="lowerLetter"/>
      <w:start w:val="3"/>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decimal"/>
      <w:start w:val="5"/>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2019-12-20T06:09:56Z</dcterms:created>
  <dcterms:modified xsi:type="dcterms:W3CDTF">2019-12-20T06:09:56Z</dcterms:modified>
</cp:coreProperties>
</file>