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SD</w:t>
      </w:r>
    </w:p>
    <w:p>
      <w:pPr>
        <w:spacing w:after="0" w:line="6"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Specialized Disclosure Report</w:t>
      </w:r>
    </w:p>
    <w:p>
      <w:pPr>
        <w:spacing w:after="0" w:line="5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09"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Ohio</w:t>
            </w:r>
          </w:p>
        </w:tc>
        <w:tc>
          <w:tcPr>
            <w:tcW w:w="2960" w:type="dxa"/>
            <w:vAlign w:val="bottom"/>
          </w:tcPr>
          <w:p>
            <w:pPr>
              <w:jc w:val="right"/>
              <w:ind w:right="1290"/>
              <w:spacing w:after="0"/>
              <w:rPr>
                <w:sz w:val="20"/>
                <w:szCs w:val="20"/>
                <w:color w:val="auto"/>
              </w:rPr>
            </w:pPr>
            <w:r>
              <w:rPr>
                <w:rFonts w:ascii="Arial" w:cs="Arial" w:eastAsia="Arial" w:hAnsi="Arial"/>
                <w:sz w:val="18"/>
                <w:szCs w:val="18"/>
                <w:b w:val="1"/>
                <w:bCs w:val="1"/>
                <w:color w:val="auto"/>
              </w:rPr>
              <w:t>001-11593</w:t>
            </w:r>
          </w:p>
        </w:tc>
        <w:tc>
          <w:tcPr>
            <w:tcW w:w="2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31-1414921</w:t>
            </w:r>
          </w:p>
        </w:tc>
      </w:tr>
      <w:tr>
        <w:trPr>
          <w:trHeight w:val="230"/>
        </w:trPr>
        <w:tc>
          <w:tcPr>
            <w:tcW w:w="3860" w:type="dxa"/>
            <w:vAlign w:val="bottom"/>
          </w:tcPr>
          <w:p>
            <w:pPr>
              <w:jc w:val="center"/>
              <w:ind w:right="1190"/>
              <w:spacing w:after="0"/>
              <w:rPr>
                <w:sz w:val="20"/>
                <w:szCs w:val="20"/>
                <w:color w:val="auto"/>
              </w:rPr>
            </w:pPr>
            <w:r>
              <w:rPr>
                <w:rFonts w:ascii="Arial" w:cs="Arial" w:eastAsia="Arial" w:hAnsi="Arial"/>
                <w:sz w:val="18"/>
                <w:szCs w:val="18"/>
                <w:color w:val="auto"/>
                <w:w w:val="92"/>
              </w:rPr>
              <w:t>(State or other jurisdiction</w:t>
            </w:r>
          </w:p>
        </w:tc>
        <w:tc>
          <w:tcPr>
            <w:tcW w:w="2960" w:type="dxa"/>
            <w:vAlign w:val="bottom"/>
          </w:tcPr>
          <w:p>
            <w:pPr>
              <w:ind w:left="700"/>
              <w:spacing w:after="0"/>
              <w:rPr>
                <w:sz w:val="20"/>
                <w:szCs w:val="20"/>
                <w:color w:val="auto"/>
              </w:rPr>
            </w:pPr>
            <w:r>
              <w:rPr>
                <w:rFonts w:ascii="Arial" w:cs="Arial" w:eastAsia="Arial" w:hAnsi="Arial"/>
                <w:sz w:val="18"/>
                <w:szCs w:val="18"/>
                <w:color w:val="auto"/>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3860" w:type="dxa"/>
            <w:vAlign w:val="bottom"/>
          </w:tcPr>
          <w:p>
            <w:pPr>
              <w:jc w:val="center"/>
              <w:ind w:right="1170"/>
              <w:spacing w:after="0"/>
              <w:rPr>
                <w:sz w:val="20"/>
                <w:szCs w:val="20"/>
                <w:color w:val="auto"/>
              </w:rPr>
            </w:pPr>
            <w:r>
              <w:rPr>
                <w:rFonts w:ascii="Arial" w:cs="Arial" w:eastAsia="Arial" w:hAnsi="Arial"/>
                <w:sz w:val="18"/>
                <w:szCs w:val="18"/>
                <w:color w:val="auto"/>
                <w:w w:val="92"/>
              </w:rPr>
              <w:t>of incorporation or organization)</w:t>
            </w:r>
          </w:p>
        </w:tc>
        <w:tc>
          <w:tcPr>
            <w:tcW w:w="2960" w:type="dxa"/>
            <w:vAlign w:val="bottom"/>
          </w:tcPr>
          <w:p>
            <w:pPr>
              <w:ind w:left="720"/>
              <w:spacing w:after="0"/>
              <w:rPr>
                <w:sz w:val="20"/>
                <w:szCs w:val="20"/>
                <w:color w:val="auto"/>
              </w:rPr>
            </w:pPr>
            <w:r>
              <w:rPr>
                <w:rFonts w:ascii="Arial" w:cs="Arial" w:eastAsia="Arial" w:hAnsi="Arial"/>
                <w:sz w:val="18"/>
                <w:szCs w:val="18"/>
                <w:color w:val="auto"/>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782"/>
        </w:trPr>
        <w:tc>
          <w:tcPr>
            <w:tcW w:w="3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14111 Scottslawn Road, Marysville, Ohio</w:t>
            </w:r>
          </w:p>
        </w:tc>
        <w:tc>
          <w:tcPr>
            <w:tcW w:w="2960" w:type="dxa"/>
            <w:vAlign w:val="bottom"/>
          </w:tcPr>
          <w:p>
            <w:pPr>
              <w:spacing w:after="0"/>
              <w:rPr>
                <w:sz w:val="24"/>
                <w:szCs w:val="24"/>
                <w:color w:val="auto"/>
              </w:rPr>
            </w:pPr>
          </w:p>
        </w:tc>
        <w:tc>
          <w:tcPr>
            <w:tcW w:w="2620" w:type="dxa"/>
            <w:vAlign w:val="bottom"/>
          </w:tcPr>
          <w:p>
            <w:pPr>
              <w:jc w:val="right"/>
              <w:ind w:right="410"/>
              <w:spacing w:after="0"/>
              <w:rPr>
                <w:sz w:val="20"/>
                <w:szCs w:val="20"/>
                <w:color w:val="auto"/>
              </w:rPr>
            </w:pPr>
            <w:r>
              <w:rPr>
                <w:rFonts w:ascii="Arial" w:cs="Arial" w:eastAsia="Arial" w:hAnsi="Arial"/>
                <w:sz w:val="18"/>
                <w:szCs w:val="18"/>
                <w:b w:val="1"/>
                <w:bCs w:val="1"/>
                <w:color w:val="auto"/>
              </w:rPr>
              <w:t>43041</w:t>
            </w:r>
          </w:p>
        </w:tc>
      </w:tr>
      <w:tr>
        <w:trPr>
          <w:trHeight w:val="230"/>
        </w:trPr>
        <w:tc>
          <w:tcPr>
            <w:tcW w:w="386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 offices)</w:t>
            </w:r>
          </w:p>
        </w:tc>
        <w:tc>
          <w:tcPr>
            <w:tcW w:w="2960" w:type="dxa"/>
            <w:vAlign w:val="bottom"/>
          </w:tcPr>
          <w:p>
            <w:pPr>
              <w:spacing w:after="0"/>
              <w:rPr>
                <w:sz w:val="20"/>
                <w:szCs w:val="20"/>
                <w:color w:val="auto"/>
              </w:rPr>
            </w:pPr>
          </w:p>
        </w:tc>
        <w:tc>
          <w:tcPr>
            <w:tcW w:w="262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31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Ivan C. Smith</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180" w:right="3180" w:hanging="172"/>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43" w:lineRule="exact"/>
        <w:rPr>
          <w:sz w:val="20"/>
          <w:szCs w:val="20"/>
          <w:color w:val="auto"/>
        </w:rPr>
      </w:pPr>
    </w:p>
    <w:p>
      <w:pPr>
        <w:ind w:right="220" w:firstLine="405"/>
        <w:spacing w:after="0" w:line="274" w:lineRule="auto"/>
        <w:rPr>
          <w:sz w:val="20"/>
          <w:szCs w:val="20"/>
          <w:color w:val="auto"/>
        </w:rPr>
      </w:pPr>
      <w:r>
        <w:rPr>
          <w:rFonts w:ascii="Arial" w:cs="Arial" w:eastAsia="Arial" w:hAnsi="Arial"/>
          <w:sz w:val="17"/>
          <w:szCs w:val="17"/>
          <w:color w:val="auto"/>
        </w:rPr>
        <w:t>The Scotts Miracle-Gro Company (including its consolidated subsidiaries, the “Company”) is filing this Form SD pursuant to Rule 13p-1 under the Securities Exchange Act of 1934, as amended, for the reporting period from January 1, 2020 to December 31, 2020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75" w:lineRule="exact"/>
        <w:rPr>
          <w:sz w:val="20"/>
          <w:szCs w:val="20"/>
          <w:color w:val="auto"/>
        </w:rPr>
      </w:pPr>
    </w:p>
    <w:p>
      <w:pPr>
        <w:ind w:right="320" w:firstLine="441"/>
        <w:spacing w:after="0" w:line="242"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(b) cassiterite, (c) gold and (d) wolframite, or their derivatives, which are currently limited to tantalum, tin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202" w:lineRule="exact"/>
        <w:rPr>
          <w:sz w:val="20"/>
          <w:szCs w:val="20"/>
          <w:color w:val="auto"/>
        </w:rPr>
      </w:pPr>
    </w:p>
    <w:p>
      <w:pPr>
        <w:ind w:right="360" w:firstLine="441"/>
        <w:spacing w:after="0" w:line="246"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25" w:lineRule="exact"/>
        <w:rPr>
          <w:sz w:val="20"/>
          <w:szCs w:val="20"/>
          <w:color w:val="auto"/>
        </w:rPr>
      </w:pPr>
    </w:p>
    <w:p>
      <w:pPr>
        <w:ind w:firstLine="441"/>
        <w:spacing w:after="0" w:line="231"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Company’s RCOI regarding the Subject Minerals is set out below.</w:t>
      </w:r>
    </w:p>
    <w:p>
      <w:pPr>
        <w:spacing w:after="0" w:line="225" w:lineRule="exact"/>
        <w:rPr>
          <w:sz w:val="20"/>
          <w:szCs w:val="20"/>
          <w:color w:val="auto"/>
        </w:rPr>
      </w:pPr>
    </w:p>
    <w:p>
      <w:pPr>
        <w:ind w:right="40" w:firstLine="441"/>
        <w:spacing w:after="0" w:line="228"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205" w:lineRule="exact"/>
        <w:rPr>
          <w:sz w:val="20"/>
          <w:szCs w:val="20"/>
          <w:color w:val="auto"/>
        </w:rPr>
      </w:pPr>
    </w:p>
    <w:p>
      <w:pPr>
        <w:ind w:right="80" w:firstLine="441"/>
        <w:spacing w:after="0" w:line="238" w:lineRule="auto"/>
        <w:rPr>
          <w:sz w:val="20"/>
          <w:szCs w:val="20"/>
          <w:color w:val="auto"/>
        </w:rPr>
      </w:pPr>
      <w:r>
        <w:rPr>
          <w:rFonts w:ascii="Arial" w:cs="Arial" w:eastAsia="Arial" w:hAnsi="Arial"/>
          <w:sz w:val="17"/>
          <w:szCs w:val="17"/>
          <w:color w:val="auto"/>
        </w:rPr>
        <w:t>The Company’s research and development, supply chain, legal and compliance departments worked together to search the Company’s Product Life-cycle Management (“</w:t>
      </w:r>
      <w:r>
        <w:rPr>
          <w:rFonts w:ascii="Arial" w:cs="Arial" w:eastAsia="Arial" w:hAnsi="Arial"/>
          <w:sz w:val="17"/>
          <w:szCs w:val="17"/>
          <w:b w:val="1"/>
          <w:bCs w:val="1"/>
          <w:i w:val="1"/>
          <w:iCs w:val="1"/>
          <w:color w:val="auto"/>
        </w:rPr>
        <w:t>PLM</w:t>
      </w:r>
      <w:r>
        <w:rPr>
          <w:rFonts w:ascii="Arial" w:cs="Arial" w:eastAsia="Arial" w:hAnsi="Arial"/>
          <w:sz w:val="17"/>
          <w:szCs w:val="17"/>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04" w:lineRule="exact"/>
        <w:rPr>
          <w:sz w:val="20"/>
          <w:szCs w:val="20"/>
          <w:color w:val="auto"/>
        </w:rPr>
      </w:pPr>
    </w:p>
    <w:p>
      <w:pPr>
        <w:ind w:right="140" w:firstLine="441"/>
        <w:spacing w:after="0" w:line="246" w:lineRule="auto"/>
        <w:rPr>
          <w:sz w:val="20"/>
          <w:szCs w:val="20"/>
          <w:color w:val="auto"/>
        </w:rPr>
      </w:pPr>
      <w:r>
        <w:rPr>
          <w:rFonts w:ascii="Arial" w:cs="Arial" w:eastAsia="Arial" w:hAnsi="Arial"/>
          <w:sz w:val="18"/>
          <w:szCs w:val="18"/>
          <w:color w:val="auto"/>
        </w:rPr>
        <w:t>The RCOI conducted by the Company identified evidence that the Subject Minerals contained in several of its products during the Reporting Period originated in the Covered Countries.</w:t>
      </w:r>
    </w:p>
    <w:p>
      <w:pPr>
        <w:spacing w:after="0" w:line="197"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7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THE SCOTTS MIRACLE-GRO COMPANY</w:t>
      </w:r>
    </w:p>
    <w:p>
      <w:pPr>
        <w:spacing w:after="0" w:line="252" w:lineRule="exact"/>
        <w:rPr>
          <w:sz w:val="20"/>
          <w:szCs w:val="20"/>
          <w:color w:val="auto"/>
        </w:rPr>
      </w:pPr>
    </w:p>
    <w:p>
      <w:pPr>
        <w:ind w:left="1380"/>
        <w:spacing w:after="0"/>
        <w:tabs>
          <w:tab w:leader="none" w:pos="5940" w:val="left"/>
        </w:tabs>
        <w:rPr>
          <w:sz w:val="20"/>
          <w:szCs w:val="20"/>
          <w:color w:val="auto"/>
        </w:rPr>
      </w:pPr>
      <w:r>
        <w:rPr>
          <w:rFonts w:ascii="Arial" w:cs="Arial" w:eastAsia="Arial" w:hAnsi="Arial"/>
          <w:sz w:val="18"/>
          <w:szCs w:val="18"/>
          <w:color w:val="auto"/>
        </w:rPr>
        <w:t>Dated: May 27, 2021</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2529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Printed Name: Ivan C. Smith</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Executive Vice President, General Counsel,</w:t>
      </w:r>
    </w:p>
    <w:p>
      <w:pPr>
        <w:ind w:left="5920"/>
        <w:spacing w:after="0"/>
        <w:rPr>
          <w:sz w:val="20"/>
          <w:szCs w:val="20"/>
          <w:color w:val="auto"/>
        </w:rPr>
      </w:pPr>
      <w:r>
        <w:rPr>
          <w:rFonts w:ascii="Arial" w:cs="Arial" w:eastAsia="Arial" w:hAnsi="Arial"/>
          <w:sz w:val="18"/>
          <w:szCs w:val="18"/>
          <w:color w:val="auto"/>
        </w:rPr>
        <w:t>Corporate Secretary and Chief Compliance Officer</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2021-05-27T20:41:28Z</dcterms:created>
  <dcterms:modified xsi:type="dcterms:W3CDTF">2021-05-27T20:41:28Z</dcterms:modified>
</cp:coreProperties>
</file>