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205"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2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2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5180" w:space="720"/>
            <w:col w:w="2120" w:space="720"/>
            <w:col w:w="340"/>
          </w:cols>
          <w:pgMar w:left="240" w:top="23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69" w:lineRule="exact"/>
        <w:rPr>
          <w:sz w:val="24"/>
          <w:szCs w:val="24"/>
          <w:color w:val="auto"/>
        </w:rPr>
      </w:pPr>
    </w:p>
    <w:p>
      <w:pPr>
        <w:sectPr>
          <w:pgSz w:w="11900" w:h="16838" w:orient="portrait"/>
          <w:cols w:equalWidth="0" w:num="4">
            <w:col w:w="1620" w:space="720"/>
            <w:col w:w="5180" w:space="720"/>
            <w:col w:w="2120" w:space="720"/>
            <w:col w:w="34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8180" w:space="180"/>
            <w:col w:w="440" w:space="220"/>
            <w:col w:w="220" w:space="100"/>
            <w:col w:w="2080"/>
          </w:cols>
          <w:pgMar w:left="240" w:top="2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90"/>
              </w:rPr>
              <w:t>Outstanding at February 3, 2017</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89"/>
              </w:rPr>
              <w:t>59,842,187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7"/>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7"/>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420" w:type="dxa"/>
            <w:vAlign w:val="bottom"/>
            <w:tcBorders>
              <w:bottom w:val="single" w:sz="8" w:color="auto"/>
            </w:tcBorders>
            <w:gridSpan w:val="8"/>
          </w:tcPr>
          <w:p>
            <w:pPr>
              <w:spacing w:after="0"/>
              <w:rPr>
                <w:rFonts w:ascii="Arial" w:cs="Arial" w:eastAsia="Arial" w:hAnsi="Arial"/>
                <w:sz w:val="18"/>
                <w:szCs w:val="18"/>
                <w:color w:val="auto"/>
                <w:w w:val="89"/>
              </w:rPr>
            </w:pPr>
            <w:hyperlink w:anchor="page3">
              <w:r>
                <w:rPr>
                  <w:rFonts w:ascii="Arial" w:cs="Arial" w:eastAsia="Arial" w:hAnsi="Arial"/>
                  <w:sz w:val="18"/>
                  <w:szCs w:val="18"/>
                  <w:color w:val="auto"/>
                  <w:w w:val="89"/>
                </w:rPr>
                <w:t xml:space="preserve">Financial Statements </w:t>
              </w:r>
            </w:hyperlink>
            <w:r>
              <w:rPr>
                <w:rFonts w:ascii="Arial" w:cs="Arial" w:eastAsia="Arial" w:hAnsi="Arial"/>
                <w:sz w:val="18"/>
                <w:szCs w:val="18"/>
                <w:color w:val="auto"/>
                <w:w w:val="89"/>
              </w:rPr>
              <w:t>(Unaudited)</w:t>
            </w:r>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 Three months ended December 31, 2016 and January 2, 2016</w:t>
              </w:r>
            </w:hyperlink>
          </w:p>
        </w:tc>
        <w:tc>
          <w:tcPr>
            <w:tcW w:w="62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 Three months ended December 31, 2016 and</w:t>
              </w:r>
            </w:hyperlink>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January 2, 2016</w:t>
              </w:r>
            </w:hyperlink>
          </w:p>
        </w:tc>
        <w:tc>
          <w:tcPr>
            <w:tcW w:w="1140" w:type="dxa"/>
            <w:vAlign w:val="bottom"/>
            <w:gridSpan w:val="4"/>
          </w:tcPr>
          <w:p>
            <w:pPr>
              <w:jc w:val="right"/>
              <w:ind w:right="20"/>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Three months ended December 31, 2016 and January 2, 2016</w:t>
              </w:r>
            </w:hyperlink>
          </w:p>
        </w:tc>
        <w:tc>
          <w:tcPr>
            <w:tcW w:w="56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Sheets — December 31, 2016, January 2, 2016 and September 30, 2016</w:t>
              </w:r>
            </w:hyperlink>
          </w:p>
        </w:tc>
        <w:tc>
          <w:tcPr>
            <w:tcW w:w="132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5020" w:type="dxa"/>
            <w:vAlign w:val="bottom"/>
            <w:gridSpan w:val="6"/>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2.</w:t>
              </w:r>
            </w:hyperlink>
          </w:p>
        </w:tc>
        <w:tc>
          <w:tcPr>
            <w:tcW w:w="6460" w:type="dxa"/>
            <w:vAlign w:val="bottom"/>
            <w:gridSpan w:val="10"/>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9">
              <w:r>
                <w:rPr>
                  <w:rFonts w:ascii="Arial" w:cs="Arial" w:eastAsia="Arial" w:hAnsi="Arial"/>
                  <w:sz w:val="18"/>
                  <w:szCs w:val="18"/>
                  <w:color w:val="auto"/>
                </w:rPr>
                <w:t>Item 3.</w:t>
              </w:r>
            </w:hyperlink>
          </w:p>
        </w:tc>
        <w:tc>
          <w:tcPr>
            <w:tcW w:w="646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4.</w:t>
              </w:r>
            </w:hyperlink>
          </w:p>
        </w:tc>
        <w:tc>
          <w:tcPr>
            <w:tcW w:w="4300" w:type="dxa"/>
            <w:vAlign w:val="bottom"/>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7"/>
          </w:tcPr>
          <w:p>
            <w:pPr>
              <w:spacing w:after="0"/>
              <w:rPr>
                <w:rFonts w:ascii="Arial" w:cs="Arial" w:eastAsia="Arial" w:hAnsi="Arial"/>
                <w:sz w:val="18"/>
                <w:szCs w:val="18"/>
                <w:color w:val="auto"/>
              </w:rPr>
            </w:pPr>
            <w:hyperlink w:anchor="page51">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1.</w:t>
              </w:r>
            </w:hyperlink>
          </w:p>
        </w:tc>
        <w:tc>
          <w:tcPr>
            <w:tcW w:w="932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Risk Factors</w:t>
              </w:r>
            </w:hyperlink>
          </w:p>
        </w:tc>
        <w:tc>
          <w:tcPr>
            <w:tcW w:w="420" w:type="dxa"/>
            <w:vAlign w:val="bottom"/>
          </w:tcPr>
          <w:p>
            <w:pPr>
              <w:spacing w:after="0"/>
              <w:rPr>
                <w:sz w:val="21"/>
                <w:szCs w:val="21"/>
                <w:color w:val="auto"/>
              </w:rPr>
            </w:pPr>
          </w:p>
        </w:tc>
        <w:tc>
          <w:tcPr>
            <w:tcW w:w="8000" w:type="dxa"/>
            <w:vAlign w:val="bottom"/>
            <w:gridSpan w:val="10"/>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2.</w:t>
              </w:r>
            </w:hyperlink>
          </w:p>
        </w:tc>
        <w:tc>
          <w:tcPr>
            <w:tcW w:w="9320" w:type="dxa"/>
            <w:vAlign w:val="bottom"/>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Exhibits</w:t>
              </w:r>
            </w:hyperlink>
          </w:p>
        </w:tc>
        <w:tc>
          <w:tcPr>
            <w:tcW w:w="3700" w:type="dxa"/>
            <w:vAlign w:val="bottom"/>
            <w:gridSpan w:val="6"/>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Index to Exhibits</w:t>
              </w:r>
            </w:hyperlink>
          </w:p>
        </w:tc>
        <w:tc>
          <w:tcPr>
            <w:tcW w:w="9000" w:type="dxa"/>
            <w:vAlign w:val="bottom"/>
            <w:gridSpan w:val="1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5">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140" w:type="dxa"/>
            <w:vAlign w:val="bottom"/>
            <w:gridSpan w:val="9"/>
          </w:tcPr>
          <w:p>
            <w:pPr>
              <w:jc w:val="right"/>
              <w:ind w:right="166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loss of unconsolidated affiliates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controlling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Basic loss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Diluted loss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 plus dilutive potential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0.470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40" w:type="dxa"/>
            <w:vAlign w:val="bottom"/>
          </w:tcPr>
          <w:p>
            <w:pPr>
              <w:ind w:left="56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Net unrealized gain on derivative instruments, net of tax of $1.9 and $0.8, respectively</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net unrealized losses on derivatives to net income, net of tax of $0.2 and $0.5,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3"/>
              </w:rPr>
              <w:t>Reclassification of net pension and post-retirement benefit loss to net income, net of tax of $0.3 and $0.3,</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Costs related to refinancing</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(Gain) loss on sale of assets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Adjustment to gain on contribution of SLS Business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Equity in loss and distributions from unconsolidated affiliates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reserves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acquired businesses, net of cash acquired</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83"/>
        </w:trPr>
        <w:tc>
          <w:tcPr>
            <w:tcW w:w="8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5.250% Senior Notes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6.000% 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 of 6.625% Senior Notes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29"/>
        </w:trPr>
        <w:tc>
          <w:tcPr>
            <w:tcW w:w="536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50.1</w:t>
            </w:r>
          </w:p>
        </w:tc>
      </w:tr>
      <w:tr>
        <w:trPr>
          <w:trHeight w:val="27"/>
        </w:trPr>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$5.8, $5.8 and $7.2, respectively</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174.7</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448.2</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991.7</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w w:val="90"/>
              </w:rPr>
              <w:t>Property, plant and equipment, net of accumulated depreciation of $626.0</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$604.7 and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$633.3, respectively</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470.8</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750.9</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3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2,802.8</w:t>
            </w:r>
          </w:p>
        </w:tc>
      </w:tr>
      <w:tr>
        <w:trPr>
          <w:trHeight w:val="67"/>
        </w:trPr>
        <w:tc>
          <w:tcPr>
            <w:tcW w:w="6740" w:type="dxa"/>
            <w:vAlign w:val="bottom"/>
            <w:tcBorders>
              <w:bottom w:val="single" w:sz="8" w:color="CCEEFF"/>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64"/>
        </w:trPr>
        <w:tc>
          <w:tcPr>
            <w:tcW w:w="5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6920" w:type="dxa"/>
            <w:vAlign w:val="bottom"/>
            <w:gridSpan w:val="3"/>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185.0</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242.2</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593.1</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350.3</w:t>
            </w: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Contingencies (Note 12)</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6920" w:type="dxa"/>
            <w:vAlign w:val="bottom"/>
            <w:gridSpan w:val="3"/>
          </w:tcPr>
          <w:p>
            <w:pPr>
              <w:ind w:left="360"/>
              <w:spacing w:after="0"/>
              <w:rPr>
                <w:sz w:val="20"/>
                <w:szCs w:val="20"/>
                <w:color w:val="auto"/>
              </w:rPr>
            </w:pPr>
            <w:r>
              <w:rPr>
                <w:rFonts w:ascii="Arial" w:cs="Arial" w:eastAsia="Arial" w:hAnsi="Arial"/>
                <w:sz w:val="18"/>
                <w:szCs w:val="18"/>
                <w:color w:val="auto"/>
                <w:w w:val="91"/>
              </w:rPr>
              <w:t>Common shares and capital in excess of $.01 stated value per share; 59.9, 61.5 and 60.3</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401.7</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881.8</w:t>
            </w:r>
          </w:p>
        </w:tc>
      </w:tr>
      <w:tr>
        <w:trPr>
          <w:trHeight w:val="243"/>
        </w:trPr>
        <w:tc>
          <w:tcPr>
            <w:tcW w:w="5360" w:type="dxa"/>
            <w:vAlign w:val="bottom"/>
          </w:tcPr>
          <w:p>
            <w:pPr>
              <w:ind w:left="360"/>
              <w:spacing w:after="0"/>
              <w:rPr>
                <w:sz w:val="20"/>
                <w:szCs w:val="20"/>
                <w:color w:val="auto"/>
              </w:rPr>
            </w:pPr>
            <w:r>
              <w:rPr>
                <w:rFonts w:ascii="Arial" w:cs="Arial" w:eastAsia="Arial" w:hAnsi="Arial"/>
                <w:sz w:val="18"/>
                <w:szCs w:val="18"/>
                <w:color w:val="auto"/>
              </w:rPr>
              <w:t>Treasury shares, at cost; 8.3, 6.6 and 7.8 shares, respectively</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(451.4)</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equity—controlling interest</w:t>
            </w:r>
          </w:p>
        </w:tc>
        <w:tc>
          <w:tcPr>
            <w:tcW w:w="1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715.2</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734.3</w:t>
            </w: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food and drug stores, and indoor gardening and hydroponic stores. The Company’s products are sold primarily in North America and the European Union.</w:t>
      </w:r>
    </w:p>
    <w:p>
      <w:pPr>
        <w:spacing w:after="0" w:line="7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6"/>
          <w:szCs w:val="16"/>
          <w:color w:val="auto"/>
        </w:rPr>
        <w:t>Prior to April 13, 2016, the Company operated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the Company completed the contribution of the SLS Business to a newly formed subsidiary of TruGreen Holdings (the “TruGreen Joint Venture”) in exchange for a minority equity interest of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See “NOTE 2. DISCONTINUED OPERATIONS” and “NOTE 4. INVESTMENT IN UNCONSOLIDATED AFFILIATES” for further discussion. Refer to “NOTE 15. SEGMENT INFORMATION” for discussion of the Company’s new reportable segments identified effective in the second quarter of fiscal 2016.</w:t>
      </w:r>
    </w:p>
    <w:p>
      <w:pPr>
        <w:spacing w:after="0" w:line="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unaudited condensed consolidated financial statements for the three months ended December 31, 2016 and January 2, 2016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and Gavita Holdings B.V., and its subsidiaries (collectively, “Gavita”), in which the Company has controlling interests, are consolidated, with the equity owned by other shareholders shown as noncontrolling interest in the Condensed Consolidated Balance Sheets, and the other shareholders’ portion of net earnings and other comprehensive income shown as net income (loss) or comprehensive income attributable to noncontrolling interest in the Condensed Consolidated Statements of Operations and Condensed Consolidated Statements of Comprehensive Income (Loss), respectively. In the opinion of management, interim results reflect all normal and recurring adjustments and are not necessarily indicative of results for a full year.</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2016 (the “2016 Annual Report”), which includes a complete set of footnote disclosures, including the Company’s significant accounting policies.</w:t>
      </w:r>
    </w:p>
    <w:p>
      <w:pPr>
        <w:spacing w:after="0" w:line="10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2016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Loans receivable are carried at outstanding principal amount, and are recognized in the “Other assets” line in the Condensed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recorded within “Operating expenses” in the Condensed Consolidated Statements of Operations.</w:t>
      </w:r>
    </w:p>
    <w:p>
      <w:pPr>
        <w:spacing w:after="0" w:line="13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Interest income is recorded on an accrual basis, and is recognized in the “Other income, net” line in the Condensed Consolidated Statements of Operations. Interest income was $2.7 million and zero for the three months ended December 31, 2016 and January 2, 2016,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had non-cash investing activities of $2.7 million during the three months ended December 31, 2016 and January 2, 2016, representing unpaid liabilities incurred during each period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ind w:right="20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r>
      <w:tr>
        <w:trPr>
          <w:trHeight w:val="250"/>
        </w:trPr>
        <w:tc>
          <w:tcPr>
            <w:tcW w:w="8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3"/>
          </w:tcPr>
          <w:p>
            <w:pPr>
              <w:jc w:val="right"/>
              <w:ind w:right="99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Call premium on 6.625% Senior Notes</w:t>
            </w:r>
          </w:p>
        </w:tc>
        <w:tc>
          <w:tcPr>
            <w:tcW w:w="160" w:type="dxa"/>
            <w:vAlign w:val="bottom"/>
          </w:tcPr>
          <w:p>
            <w:pPr>
              <w:spacing w:after="0"/>
              <w:rPr>
                <w:sz w:val="21"/>
                <w:szCs w:val="21"/>
                <w:color w:val="auto"/>
              </w:rPr>
            </w:pPr>
          </w:p>
        </w:tc>
        <w:tc>
          <w:tcPr>
            <w:tcW w:w="138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Condensed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Condensed Consolidated Statements of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May 2014, the Financial Accounting Standards Board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 The provisions are effective for the Company’s financial statements no later than the fiscal year beginning October 1, 2018. The standard allows for either a full retrospective or a modified retrospective transition method. The Company is currently evaluating the impact of this standard on its consolidated results of operations, financial position and cash flows.</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provisions are effective for the Company’s financial statements for the fiscal year beginning October 1, 2017. and are not expected to have a significant impact on the Company’s consolidated financial position, results of operations or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April 2015, the FASB issued an accounting standard update that requires debt issuance costs related to a recognized debt liability to be presented in the balance sheet as a direct deduction from the corresponding debt liability rather than as an asset; however debt issuance costs relating to revolving credit facilities will remain in other assets. The Company adopted this guidance on a retrospective basis effective October 1, 2016. As a result, debt issuance costs totaling $6.5 million and $6.0 million have been presented as a component of the carrying amount of long-term debt in the Condensed Consolidated Balance Sheets as of January 2, 2016 and September 30, 2016, respectively. These amounts were previously reported within other assets.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September 2015, the FASB issued an accounting standard update to simplify the accounting for measurement-period adjustments by requiring an acquirer to recognize adjustments to provisional amounts that are identified during the measurement period in the reporting period in which the adjustment amounts are determined, and requiring disclosure of the portion of the amount recorded in current period earnings by line item that would have been recorded in previous reporting periods if the adjustment to the provisional amounts had been recognized as of the acquisition date. The Company adopted this guidance on a prospective basis effective October 1, 2016. The adoption of this guidance did not impact the Company’s consolidated financial position, results of operations or cash flows.</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provisions are effective for the Company’s financial statements no later than the fiscal year beginning October 1, 2017. The standard allows for either a retrospective or prospective transition method and is not expected to have a significant impact on the Company’s consolidated financial position, results of operations or cash flows. At December 31, 2016, January 2, 2016 and September 30, 2016, net current deferred tax assets classified with prepaid and other current assets were $63.2 million, $78.5 million and $62.1 million, respectively.</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or are entered into after the beginning of the earliest comparative period presented in the financial statements. The Company is currently evaluating the impact of this standard on its consolidated results of operations, financial position and cash flows.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provisions are effective for the Company’s financial statements no later than the fiscal year beginning October 1, 2017. The Company is currently evaluating the impact of this standard on its consolidated results of operations, financial position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April 13, 2016, pursuant to the terms of the Contribution Agreement, the Company completed the contribution of the SLS Business to the TruGreen Joint Venture in exchange for a minority equity interest of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Company recorded a gain on the contribution of $131.2 million, partially offset by the provision for deferred income taxes of $51.9 million, during fiscal 2016 within results from discontinued operations.</w:t>
      </w:r>
    </w:p>
    <w:p>
      <w:pPr>
        <w:spacing w:after="0" w:line="9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three months ended December 31, 2016 and January 2, 2016, the Company recognized $0.6 million and $3.0 million, respectively, in transaction related costs associated with the divestiture of the SLS Business. In addition, during the three months ended December 31, 2016, the Company recorded an adjustment to the gain on the contribution of $0.3 million related to a post closing working capital adjustment.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results of the SLS Business within discontinued operations for each of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51.5</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to gain on contribution of SLS Business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Pr>
          <w:p>
            <w:pPr>
              <w:ind w:left="380"/>
              <w:spacing w:after="0"/>
              <w:rPr>
                <w:sz w:val="20"/>
                <w:szCs w:val="20"/>
                <w:color w:val="auto"/>
              </w:rPr>
            </w:pPr>
            <w:r>
              <w:rPr>
                <w:rFonts w:ascii="Arial" w:cs="Arial" w:eastAsia="Arial" w:hAnsi="Arial"/>
                <w:sz w:val="18"/>
                <w:szCs w:val="18"/>
                <w:color w:val="auto"/>
              </w:rPr>
              <w:t>Loss from discontinued operations before income taxes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8460" w:type="dxa"/>
            <w:vAlign w:val="bottom"/>
          </w:tcPr>
          <w:p>
            <w:pPr>
              <w:ind w:left="38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major classes of assets and liabilities of the SLS Business held for sale as of January 2,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75"/>
              <w:spacing w:after="0"/>
              <w:rPr>
                <w:sz w:val="20"/>
                <w:szCs w:val="20"/>
                <w:color w:val="auto"/>
              </w:rPr>
            </w:pPr>
            <w:r>
              <w:rPr>
                <w:rFonts w:ascii="Arial" w:cs="Arial" w:eastAsia="Arial" w:hAnsi="Arial"/>
                <w:sz w:val="14"/>
                <w:szCs w:val="14"/>
                <w:b w:val="1"/>
                <w:bCs w:val="1"/>
                <w:color w:val="auto"/>
                <w:w w:val="98"/>
              </w:rPr>
              <w:t>JANUARY 2,</w:t>
            </w:r>
          </w:p>
        </w:tc>
      </w:tr>
      <w:tr>
        <w:trPr>
          <w:trHeight w:val="192"/>
        </w:trPr>
        <w:tc>
          <w:tcPr>
            <w:tcW w:w="9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9.5</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8.7</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3.9</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196.9</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portion of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jc w:val="right"/>
        <w:ind w:right="7073"/>
        <w:spacing w:after="0"/>
        <w:rPr>
          <w:sz w:val="20"/>
          <w:szCs w:val="20"/>
          <w:color w:val="auto"/>
        </w:rPr>
      </w:pPr>
      <w:r>
        <w:rPr>
          <w:rFonts w:ascii="Arial" w:cs="Arial" w:eastAsia="Arial" w:hAnsi="Arial"/>
          <w:sz w:val="18"/>
          <w:szCs w:val="18"/>
          <w:color w:val="auto"/>
        </w:rPr>
        <w:t>Liabilities held for sale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1227" w:hanging="1227"/>
        <w:spacing w:after="0"/>
        <w:tabs>
          <w:tab w:leader="none" w:pos="1227" w:val="left"/>
        </w:tabs>
        <w:numPr>
          <w:ilvl w:val="0"/>
          <w:numId w:val="3"/>
        </w:numPr>
        <w:rPr>
          <w:rFonts w:ascii="Arial" w:cs="Arial" w:eastAsia="Arial" w:hAnsi="Arial"/>
          <w:sz w:val="17"/>
          <w:szCs w:val="17"/>
          <w:color w:val="auto"/>
        </w:rPr>
      </w:pPr>
      <w:r>
        <w:rPr>
          <w:rFonts w:ascii="Arial" w:cs="Arial" w:eastAsia="Arial" w:hAnsi="Arial"/>
          <w:sz w:val="17"/>
          <w:szCs w:val="17"/>
          <w:color w:val="auto"/>
        </w:rPr>
        <w:t>1.3</w:t>
      </w:r>
    </w:p>
    <w:p>
      <w:pPr>
        <w:spacing w:after="0" w:line="74" w:lineRule="exact"/>
        <w:rPr>
          <w:rFonts w:ascii="Arial" w:cs="Arial" w:eastAsia="Arial" w:hAnsi="Arial"/>
          <w:sz w:val="17"/>
          <w:szCs w:val="17"/>
          <w:color w:val="auto"/>
        </w:rPr>
      </w:pPr>
    </w:p>
    <w:p>
      <w:pPr>
        <w:ind w:left="1227"/>
        <w:spacing w:after="0"/>
        <w:rPr>
          <w:rFonts w:ascii="Arial" w:cs="Arial" w:eastAsia="Arial" w:hAnsi="Arial"/>
          <w:sz w:val="17"/>
          <w:szCs w:val="17"/>
          <w:color w:val="auto"/>
        </w:rPr>
      </w:pPr>
      <w:r>
        <w:rPr>
          <w:rFonts w:ascii="Arial" w:cs="Arial" w:eastAsia="Arial" w:hAnsi="Arial"/>
          <w:sz w:val="17"/>
          <w:szCs w:val="17"/>
          <w:color w:val="auto"/>
        </w:rPr>
        <w:t>2.3</w:t>
      </w:r>
    </w:p>
    <w:p>
      <w:pPr>
        <w:spacing w:after="0" w:line="7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57" w:lineRule="exact"/>
        <w:rPr>
          <w:sz w:val="20"/>
          <w:szCs w:val="20"/>
          <w:color w:val="auto"/>
        </w:rPr>
      </w:pPr>
    </w:p>
    <w:p>
      <w:pPr>
        <w:ind w:left="1147" w:hanging="1147"/>
        <w:spacing w:after="0"/>
        <w:tabs>
          <w:tab w:leader="none" w:pos="1147" w:val="left"/>
        </w:tabs>
        <w:numPr>
          <w:ilvl w:val="0"/>
          <w:numId w:val="4"/>
        </w:numPr>
        <w:rPr>
          <w:rFonts w:ascii="Arial" w:cs="Arial" w:eastAsia="Arial" w:hAnsi="Arial"/>
          <w:sz w:val="16"/>
          <w:szCs w:val="16"/>
          <w:color w:val="auto"/>
        </w:rPr>
      </w:pPr>
      <w:r>
        <w:rPr>
          <w:rFonts w:ascii="Arial" w:cs="Arial" w:eastAsia="Arial" w:hAnsi="Arial"/>
          <w:sz w:val="16"/>
          <w:szCs w:val="16"/>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1012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1012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9133" w:space="720"/>
            <w:col w:w="1567"/>
          </w:cols>
          <w:pgMar w:left="240" w:top="125" w:right="239" w:bottom="1440" w:gutter="0" w:footer="0" w:header="0"/>
          <w:type w:val="continuous"/>
        </w:sectPr>
      </w:pPr>
    </w:p>
    <w:p>
      <w:pPr>
        <w:spacing w:after="0" w:line="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used in operating activities related to the SLS Business was $9.3 million for the three months ended December 31, 2016 due to the payment of a previously accrued SLS Business litigation matter. Cash provided by operating activities related to the SLS Business was $5.1 million for the three months ended January 2, 2016. Cash used in investing activities related to the SLS Business was zero for the three months ended December 31, 2016 and January 2, 2016.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2017</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3, 2016, the Company, through its wholly-owned subsidiary The Hawthorne Gardening Company, completed the acquisition of American Agritech, L.L.C., d/b/a Botanicare (“Botanicare”), an Arizona-based leading producer of plant nutrients, plant supplements and growing systems used for hydroponic gardening, for $92.6 million. The purchase price includes contingent consideration, a non-cash investing activity, with a maximum payout and estimated fair value of $15.5 million, the payment of which will depend on the performance of the business through calendar year 2016. The preliminary valuation of the acquired assets included (i) $1.2 million of cash, prepaid and other current assets, (ii) $8.4 million of inventory and accounts receivable, (iii) $1.4 million in fixed assets, (iv) $2.3 million of accounts payable and other current liabilities, (v) $53.0 million of finite-lived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identifiable intangible assets, and (vi) $30.9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Botanicare included within the Other segment for the three months ended December 31, 2016 were $9.9 million.</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December 31, 2016, the Company’s U.S. Consumer segment completed two acquisitions of companies whose products support the Company’s focus on the emerging areas of water positive landscapes and internet-enabled technology. The valuation of the acquired assets for the transactions included finite-lived identifiable intangible assets and goodwill of $3.2 million.</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14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On May 26, 2016, the Company, through its wholly-owned subsidiary The Hawthorne Gardening Company, acquired majority control and a 75% economic interest in Gavita for $136.2 million. The remaining 25% interest was retained by Gavita’s former ownership group. This transaction provides the Company’s Other segment with a presence in the lighting category of indoor and urban gardening, which is a part of the Company’s long-term growth strategy. Gavita, which is based in the Netherlands, is a leading producer and marketer of indoor lighting used in the greenhouse and hydroponic markets, predominately in the United States and Europe. The purchase price included contingent consideration with an estimated fair value of $2.5 million, the payment of which will depend on the performance of the business through calendar year 2019. The valuation of the acquired assets included (i) $6.4 million of cash, prepaid and other current assets, (ii) $38.3 million of inventory and accounts receivable, (iii) $1.5 million in fixed assets, (iv) $18.7 million of accounts payable and other current liabilities, (v) $5.5 million of short term debt, (vi) $102.6 million of finite-lived identifiable intangible assets, (vii) $82.7 million of non-deductible goodwill, and (viii) $25.7 million of deferred tax liabilities.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Gavita’s former ownership group has retained a 25% noncontrolling interest in Gavita consisting of ownership of 5% of the outstanding shares of Gavita and a loan with interest payable based on distributions by Gavita. The loan represented a non-cash financing activity and is recorded at fair value in the “Long-term debt” line in the Condensed Consolidated Balance Sheets. The initial valuation of the loan was $37.7 million. The fair value measurement was classified in Level 3 of the fair value hierarchy. Net sales for Gavita included within the Other segment for the three months ended December 31, 2016 were $26.6 million.</w:t>
      </w:r>
    </w:p>
    <w:p>
      <w:pPr>
        <w:spacing w:after="0" w:line="10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the third quarter of fiscal 2016, the Company completed an acquisition within the Other segment to expand its Canadian growing media operations for $33.9 million. The purchase price included contingent consideration with an estimated fair value of $10.8 million, of which $6.5 million was paid during the three months ended December 31, 2016. The payment of of the remaining amount will depend on the performance of the business in fiscal 2017. The valuation of the acquired assets included (i) $4.7 million of inventory and accounts receivable, (ii) $18.6 million in fixed assets, (iii) $11.4 million of finite-lived identifiable intangible assets, (iv) $1.4 million of deferred tax liabilities, (v) an investment in an unconsolidated joint venture of $0.7 million, and (vi) $2.1 million of tax-deductible goodwill. Identifiable intangible assets included peat bog lease rights,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related to this acquisition included within the Other segment for the three months ended December 31, 2016 were $3.7 million.</w:t>
      </w:r>
    </w:p>
    <w:p>
      <w:pPr>
        <w:spacing w:after="0" w:line="11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the second quarter of fiscal 2016, the Company entered into definitive agreements with Bonnie Plants, Inc. (“Bonnie”) and its sole shareholder, Alabama Farmers Cooperative, Inc. (“AFC”), providing for the Company’s participation in Bonnie’s business of planting, growing, developing, manufacturing, distributing, marketing, and selling live plants, plant food, fertilizer and potting soil (the “Bonnie Business”). The Company’s participation includes a Term Loan Agreement from the Company to AFC, with Bonnie as guarantor, in the amount of $72.0 million with a fixed coupon rate of 6.95% (the “Term Loan”) as well as a Marketing, R&amp;D and Ancillary Services Agreement (the “Services Agreement”) pursuant to which the Company provides marketing, research and development and certain ancillary services to Bonnie for a commission fee based on the profits of the Bonnie Business and the reimbursement of certain costs. During the three months ended December 31, 2016, the Company recognized cost reimbursements of $1.0 million.</w:t>
      </w:r>
    </w:p>
    <w:p>
      <w:pPr>
        <w:spacing w:after="0" w:line="9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These agreements also include options beginning in fiscal 2020 that provide for either (i) the Company to increase its economic interest in the Bonnie Business or (ii) AFC and Bonnie to repurchase the Company’s economic interest in the Bonnie Business. The Company’s option to increase its economic interest in the Bonnie Business (the “Bonnie Option”) is required to be accounted for as a derivative instrument and is recorded at fair value in the “Other assets” line in the Condensed Consolidated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Balance Sheets, with changes in fair value recognized in the “Other income (loss), net” line in the Condensed Consolidated Statement of Operations. The estimated fair value of the Bonnie Option was determined using a simulation approach, whereby the total value of the loan receivable and optional exchange for additional equity was estimated considering a distribution of possible future cash flows discounted to present value using an appropriate discount rate. The estimated fair value of the Bonnie Option was $10.9 million as of December 31, 2016, and the fair value measurement was classified in Level 3 of the fair value hierarchy.</w:t>
      </w:r>
    </w:p>
    <w:p>
      <w:pPr>
        <w:spacing w:after="0" w:line="134" w:lineRule="exact"/>
        <w:rPr>
          <w:sz w:val="20"/>
          <w:szCs w:val="20"/>
          <w:color w:val="auto"/>
        </w:rPr>
      </w:pPr>
    </w:p>
    <w:p>
      <w:pPr>
        <w:ind w:right="340" w:firstLine="405"/>
        <w:spacing w:after="0" w:line="430" w:lineRule="auto"/>
        <w:rPr>
          <w:sz w:val="20"/>
          <w:szCs w:val="20"/>
          <w:color w:val="auto"/>
        </w:rPr>
      </w:pPr>
      <w:r>
        <w:rPr>
          <w:rFonts w:ascii="Arial" w:cs="Arial" w:eastAsia="Arial" w:hAnsi="Arial"/>
          <w:sz w:val="18"/>
          <w:szCs w:val="18"/>
          <w:color w:val="auto"/>
        </w:rPr>
        <w:t xml:space="preserve">The condensed consolidated financial statements include the results of operations for these business combinations from the date of each acquisition. </w:t>
      </w:r>
      <w:r>
        <w:rPr>
          <w:rFonts w:ascii="Arial" w:cs="Arial" w:eastAsia="Arial" w:hAnsi="Arial"/>
          <w:sz w:val="18"/>
          <w:szCs w:val="18"/>
          <w:b w:val="1"/>
          <w:bCs w:val="1"/>
          <w:color w:val="auto"/>
        </w:rPr>
        <w:t>NOTE 4. INVESTMENT IN UNCONSOLIDATED AFFILIATES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2016, the Company held a minority equity interest of 30% in the TruGreen Joint Venture. This interest had an initial fair value of $294.0 million and subsequently is accounted for using the equity method of accounting, with the Company’s proportionate share of the TruGreen Joint Venture earnings reflected in the Condensed Consolidated Statements of Operations. In addition, the Company and TruGreen Holdings entered into a limited liability company agreement (the “LLC Agreement”) governing the management of the TruGreen Joint Venture, as well as certain ancillary agreements including a transition services agreement and an employee leasing agreement. The LLC Agreement provides the Company with minority representation on the board of directors of the TruGreen Joint Venture.</w:t>
      </w:r>
    </w:p>
    <w:p>
      <w:pPr>
        <w:spacing w:after="0" w:line="11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closing of the transactions contemplated by the Contribution Agreement on April 13, 2016, the TruGreen Joint Venture obtained debt financing and made an excess distribution of $196.2 million to the Company, and the Company invested $18.0 million in second lien term loan financing to the TruGreen Joint Venture. The Company was reimbursed $19.0 million during the three months ended December 31, 2016, has accounts receivable of $17.2 million at December 31, 2016 for expenses incurred pursuant to a short-term transition services agreement and an employee leasing agreement and has an indemnification asset of $9.1 million at December 31, 2016 for future payments on claims associated with insurance programs. The Company received distributions from unconsolidated affiliates intended to cover required tax payments of $2.2 million during the three months ended December 31, 2016.</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summarized financial information for the TruGreen Joint Venture for the three months ended December 31, 2016:</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9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9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(in millions)</w:t>
            </w: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252.2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1"/>
                <w:szCs w:val="21"/>
                <w:color w:val="auto"/>
              </w:rPr>
            </w:pPr>
          </w:p>
        </w:tc>
        <w:tc>
          <w:tcPr>
            <w:tcW w:w="2160" w:type="dxa"/>
            <w:vAlign w:val="bottom"/>
          </w:tcPr>
          <w:p>
            <w:pPr>
              <w:jc w:val="right"/>
              <w:ind w:right="17"/>
              <w:spacing w:after="0"/>
              <w:rPr>
                <w:sz w:val="20"/>
                <w:szCs w:val="20"/>
                <w:color w:val="auto"/>
              </w:rPr>
            </w:pPr>
            <w:r>
              <w:rPr>
                <w:rFonts w:ascii="Arial" w:cs="Arial" w:eastAsia="Arial" w:hAnsi="Arial"/>
                <w:sz w:val="18"/>
                <w:szCs w:val="18"/>
                <w:color w:val="auto"/>
              </w:rPr>
              <w:t>61.1</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2160" w:type="dxa"/>
            <w:vAlign w:val="bottom"/>
          </w:tcPr>
          <w:p>
            <w:pPr>
              <w:jc w:val="right"/>
              <w:ind w:right="17"/>
              <w:spacing w:after="0"/>
              <w:rPr>
                <w:sz w:val="20"/>
                <w:szCs w:val="20"/>
                <w:color w:val="auto"/>
              </w:rPr>
            </w:pPr>
            <w:r>
              <w:rPr>
                <w:rFonts w:ascii="Arial" w:cs="Arial" w:eastAsia="Arial" w:hAnsi="Arial"/>
                <w:sz w:val="18"/>
                <w:szCs w:val="18"/>
                <w:color w:val="auto"/>
              </w:rPr>
              <w:t>16.9</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administrative and other</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21"/>
                <w:szCs w:val="21"/>
                <w:color w:val="auto"/>
              </w:rPr>
            </w:pPr>
          </w:p>
        </w:tc>
        <w:tc>
          <w:tcPr>
            <w:tcW w:w="2160" w:type="dxa"/>
            <w:vAlign w:val="bottom"/>
          </w:tcPr>
          <w:p>
            <w:pPr>
              <w:jc w:val="right"/>
              <w:ind w:right="17"/>
              <w:spacing w:after="0"/>
              <w:rPr>
                <w:sz w:val="20"/>
                <w:szCs w:val="20"/>
                <w:color w:val="auto"/>
              </w:rPr>
            </w:pPr>
            <w:r>
              <w:rPr>
                <w:rFonts w:ascii="Arial" w:cs="Arial" w:eastAsia="Arial" w:hAnsi="Arial"/>
                <w:sz w:val="18"/>
                <w:szCs w:val="18"/>
                <w:color w:val="auto"/>
              </w:rPr>
              <w:t>26.6</w:t>
            </w:r>
          </w:p>
        </w:tc>
      </w:tr>
      <w:tr>
        <w:trPr>
          <w:trHeight w:val="27"/>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187"/>
        <w:spacing w:after="0" w:line="293" w:lineRule="auto"/>
        <w:rPr>
          <w:sz w:val="20"/>
          <w:szCs w:val="20"/>
          <w:color w:val="auto"/>
        </w:rPr>
      </w:pPr>
      <w:r>
        <w:rPr>
          <w:rFonts w:ascii="Arial" w:cs="Arial" w:eastAsia="Arial" w:hAnsi="Arial"/>
          <w:sz w:val="16"/>
          <w:szCs w:val="16"/>
          <w:color w:val="auto"/>
        </w:rPr>
        <w:t>Net loss does not include income taxes, which are recognized and paid by the partners of the TruGreen Joint Venture. The income taxes associated with the Company’s share of net loss have been recorded in the “Income tax benefit from continuing operations” line in the Condensed Consolidated Statement of Operations. The Company recognized equity in loss of unconsolidated affiliates of $13.2 million for the three months ended December 31, 2016. Included within loss of unconsolidated affiliates for the three months ended December 31, 2016 is the Company’s $9.6 million share of restructuring and other charges incurred by the TruGreen Joint Venture. These charges included $7.9 million for nonrecurring integration and separation costs and $1.7 million for a non-cash fair value write-down adjustment on deferred revenue and advertising as part of the transaction accounting.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from discontinued operations, net of tax” lines in the Condensed Consolidated Statements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charges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4"/>
          </w:tcPr>
          <w:p>
            <w:pPr>
              <w:jc w:val="right"/>
              <w:ind w:right="9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three months ended December 31, 2016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September 30, 2016</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98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December 31, 2016</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the restructuring reserves, as of December 31, 2016, is $1.5 million that is classified as long-term. Payments against the long-term reserves will be incurred as the employees covered by the restructuring plan retire or through the passage of time. The remaining amounts reserved will continue to be paid out over the course of the next twelve months.</w:t>
      </w:r>
    </w:p>
    <w:p>
      <w:pPr>
        <w:spacing w:after="0" w:line="10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the first quarter of fiscal 2016, the Company announced a series of initiatives called Project Focus designed to maximize the value of its non-core assets and focus on emerging categories of the lawn and garden industry in its core U.S. business. On April 13, 2016, as part of this project, the Company completed the contribution of the SLS Business to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Refer to “NOTE 2. DISCONTINUED OPERATIONS” for more information. During the three months ended December 31, 2016 and January 2, 2016, the Company recognized $0.6 million and $3.0 million, respectively, in transaction related costs associated with the divestiture of the SLS Business within the “Loss from discontinued operations, net of tax” line in the Condensed Consolidated Statements of Operations. In addition, during the three months ended December 31, 2016 and January 2, 2016, the Company’s Corporate function recognized costs of $1.4 million and $0.9 million, respectively, related to other transaction activity within the “Impairment, restructuring and other” line in the Condensed Consolidated Statements of Operations. Costs incurred to date since the inception of the current initiatives are $3.4 million for the U.S. Consumer segment related to termination benefits, $2.0 million for the Europe Consumer segment related to termination benefits and $6.0 million for Corporate related to transaction activity.</w:t>
      </w:r>
    </w:p>
    <w:p>
      <w:pPr>
        <w:spacing w:after="0" w:line="92"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During the third quarter of fiscal 2015, the Company’s U.S. Consumer segment began experiencing an increase in certain consumer complaints related to the reformulated Bonus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 fertilizer product sold in the southeastern United States during fiscal 2015 indicating customers were experiencing damage to their lawns after application. During the three months ended December 31, 2016 and January 2, 2016, the Company recognized zero and $5.4 million, respectively, in costs related to resolving these consumer complaints and the recognition of costs the Company expected to incur for consumer claims. Costs incurred to date since the inception of this matter were $73.8 million, partially offset by insurance reimbursement recoveries of $60.8 million. As of December 31, 2016 and January 2, 2016, insurance reimbursements in the amount of zero and $40.0 million, respectively, were recognized as an accrued liability on the Condensed Consolidated Balance Sheets pending the resolution of the insurer’s review of claim documentation.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56.9</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756.3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448.2</w:t>
            </w: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$10.6 million at December 31, 2016, $23.0 million at January 2, 2016 and $10.8 million at September 30,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14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6"/>
          <w:szCs w:val="16"/>
          <w:color w:val="auto"/>
        </w:rPr>
        <w:t>The Scotts Company LLC (“Scotts LLC”) and the Monsanto Company (“Monsanto”) are parties to the Amended and Restated Exclusive Agency and Marketing Agreement (the “Marketing Agreement”), pursuant to which the Company has served since its 1998 fiscal year, as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Marketing Agreement subject to the achievement of annual earnings thresholds. The Marketing Agreement also requires the Company to make annual payments of $20.0 million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From 1998 until May 15, 2015, the Marketing Agreement covered the United States and other specified countries, including Australia, Austria, Belgium, Canada, France, Germany, the Netherlands and the United Kingdom. On May 15, 2015, the territories were expanded to cover additional countries as outlined below.</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in 1998, the Company paid a marketing fee of $32 million to Monsanto. The Company deferred this amount on the basis that the payment will provide a future benefit through commissions that will be earned under the Marketing Agreement. The economic useful life over which the marketing fee is being amortized is twenty years, with a remaining unamortized amount of $1.4 million and remaining amortization period of less than two years as of December 31, 2016.</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15, 2015, the Company and Monsanto entered into an Amendment to the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on August 14, 2015 using borrowings under its credit facility.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Among other things, the Marketing Agreement Amendment amends the Marketing Agreement in the following significant respects:</w:t>
      </w:r>
    </w:p>
    <w:p>
      <w:pPr>
        <w:spacing w:after="0" w:line="144" w:lineRule="exact"/>
        <w:rPr>
          <w:sz w:val="20"/>
          <w:szCs w:val="20"/>
          <w:color w:val="auto"/>
        </w:rPr>
      </w:pPr>
    </w:p>
    <w:p>
      <w:pPr>
        <w:ind w:left="820" w:hanging="326"/>
        <w:spacing w:after="0" w:line="34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Expands the territories in which the Company may serve as Monsanto’s exclusive agent in the consumer lawn and garden market to include all countries other than Japan and countries subject to a comprehensive U.S. trade embargo or certain other embargoes and trade restrictions.</w:t>
      </w:r>
    </w:p>
    <w:p>
      <w:pPr>
        <w:spacing w:after="0" w:line="42" w:lineRule="exact"/>
        <w:rPr>
          <w:rFonts w:ascii="Arial" w:cs="Arial" w:eastAsia="Arial" w:hAnsi="Arial"/>
          <w:sz w:val="16"/>
          <w:szCs w:val="16"/>
          <w:color w:val="auto"/>
        </w:rPr>
      </w:pPr>
    </w:p>
    <w:p>
      <w:pPr>
        <w:jc w:val="both"/>
        <w:ind w:left="820" w:hanging="326"/>
        <w:spacing w:after="0" w:line="264" w:lineRule="auto"/>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Eliminates the initial and renewal terms that the original Marketing Agreement applied to European Union (“EU”) countries. As amended, the term of the Marketing Agreement will now continue indefinitely for all included markets, including EU countries within the included markets, unless and until otherwise terminated in accordance with the Marketing Agreement.</w:t>
      </w:r>
    </w:p>
    <w:p>
      <w:pPr>
        <w:spacing w:after="0" w:line="100" w:lineRule="exact"/>
        <w:rPr>
          <w:rFonts w:ascii="Arial" w:cs="Arial" w:eastAsia="Arial" w:hAnsi="Arial"/>
          <w:sz w:val="18"/>
          <w:szCs w:val="18"/>
          <w:i w:val="1"/>
          <w:iCs w:val="1"/>
          <w:color w:val="auto"/>
        </w:rPr>
      </w:pPr>
    </w:p>
    <w:p>
      <w:pPr>
        <w:jc w:val="both"/>
        <w:ind w:left="820" w:hanging="326"/>
        <w:spacing w:after="0" w:line="210" w:lineRule="auto"/>
        <w:tabs>
          <w:tab w:leader="none" w:pos="820"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Revises the procedures of the Marketing Agreement relating to a potential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(1) require Monsanto to negotiate exclusively with the Company with respect to any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for 60 days after the Company receives notice from Monsanto regarding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and (2) provide the Company with a right of first offer and a right of last look in connection with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to a third party. In addition, if the Company makes a bid in connection with a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the then-applicable termination fee would serve as a credit against the purchase price and the Monsanto board of directors would not be permitted to discount the value of the Company’s bid compared to a competing bid as a result of the termination fee discount.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820" w:hanging="326"/>
        <w:spacing w:after="0" w:line="277" w:lineRule="auto"/>
        <w:tabs>
          <w:tab w:leader="none" w:pos="8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Requires the Company to (1) provide notice to Monsanto of certain proposals and processes that may result in a sale of the Company and (2) conduct non-exclusive negotiations with Monsanto with respect to such a sale.</w:t>
      </w:r>
    </w:p>
    <w:p>
      <w:pPr>
        <w:spacing w:after="0" w:line="89" w:lineRule="exact"/>
        <w:rPr>
          <w:rFonts w:ascii="Arial" w:cs="Arial" w:eastAsia="Arial" w:hAnsi="Arial"/>
          <w:sz w:val="18"/>
          <w:szCs w:val="18"/>
          <w:i w:val="1"/>
          <w:iCs w:val="1"/>
          <w:color w:val="auto"/>
        </w:rPr>
      </w:pPr>
    </w:p>
    <w:p>
      <w:pPr>
        <w:jc w:val="both"/>
        <w:ind w:left="820" w:hanging="326"/>
        <w:spacing w:after="0" w:line="264" w:lineRule="auto"/>
        <w:tabs>
          <w:tab w:leader="none" w:pos="8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Increases the minimum termination fee payable under the Marketing Agreement to the greater of (1) $200.0 million or (2) four times (A) the average of the program earnings before interest or income taxes for the three trailing program years prior to the year of termination, minus (B) the 2015 program earnings before interest or income taxes.</w:t>
      </w:r>
    </w:p>
    <w:p>
      <w:pPr>
        <w:spacing w:after="0" w:line="100" w:lineRule="exact"/>
        <w:rPr>
          <w:rFonts w:ascii="Arial" w:cs="Arial" w:eastAsia="Arial" w:hAnsi="Arial"/>
          <w:sz w:val="18"/>
          <w:szCs w:val="18"/>
          <w:i w:val="1"/>
          <w:iCs w:val="1"/>
          <w:color w:val="auto"/>
        </w:rPr>
      </w:pPr>
    </w:p>
    <w:p>
      <w:pPr>
        <w:ind w:left="820" w:hanging="326"/>
        <w:spacing w:after="0"/>
        <w:tabs>
          <w:tab w:leader="none" w:pos="8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Amends Monsanto’s termination rights and provides additional rights to the Company in the event of a termination, as follows:</w:t>
      </w:r>
    </w:p>
    <w:p>
      <w:pPr>
        <w:spacing w:after="0" w:line="144" w:lineRule="exact"/>
        <w:rPr>
          <w:rFonts w:ascii="Arial" w:cs="Arial" w:eastAsia="Arial" w:hAnsi="Arial"/>
          <w:sz w:val="18"/>
          <w:szCs w:val="18"/>
          <w:i w:val="1"/>
          <w:iCs w:val="1"/>
          <w:color w:val="auto"/>
        </w:rPr>
      </w:pPr>
    </w:p>
    <w:p>
      <w:pPr>
        <w:jc w:val="both"/>
        <w:ind w:left="1300" w:hanging="320"/>
        <w:spacing w:after="0" w:line="22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delays the effectiveness of a notice of termination given by Monsanto as a result of a change of control with respect to Monsanto or a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 third party from (1) the end of the later of 12 months or the next program year to (2) the end of the fifth full program year after Monsanto gives such notice;</w:t>
      </w:r>
    </w:p>
    <w:p>
      <w:pPr>
        <w:spacing w:after="0" w:line="12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eliminates Monsanto’s termination rights for a regional performance default, a change of significant ownership of the Company or an uncured or incurable egregious injury (as each is defined in the Marketing Agreement); and</w:t>
      </w:r>
    </w:p>
    <w:p>
      <w:pPr>
        <w:spacing w:after="0" w:line="89"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eliminates Monsanto’s termination rights in connection with a change in control of the Company or Scotts Miracle-Gro as long as the Company has determined, in its reasonable commercial opinion, that the acquirer can and will fully perform the duties and obligations of the Company under the Marketing Agreement.</w:t>
      </w:r>
    </w:p>
    <w:p>
      <w:pPr>
        <w:spacing w:after="0" w:line="10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Expands the Company’s termination rights to include termination for a brand decline event (as defined in the Marketing Agreement Amendment) occurring before program year 2023.</w:t>
      </w:r>
    </w:p>
    <w:p>
      <w:pPr>
        <w:spacing w:after="0" w:line="89"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Expands the Company’s assignment rights to allow the Company to transfer its rights, interests and obligations under the Marketing Agreement with respect to (1) the North America territories and (2) one or more other included markets for up to three other assignments.</w:t>
      </w:r>
    </w:p>
    <w:p>
      <w:pPr>
        <w:spacing w:after="0" w:line="65" w:lineRule="exact"/>
        <w:rPr>
          <w:rFonts w:ascii="Arial" w:cs="Arial" w:eastAsia="Arial" w:hAnsi="Arial"/>
          <w:sz w:val="17"/>
          <w:szCs w:val="17"/>
          <w:i w:val="1"/>
          <w:iCs w:val="1"/>
          <w:color w:val="auto"/>
        </w:rPr>
      </w:pPr>
    </w:p>
    <w:p>
      <w:pPr>
        <w:jc w:val="both"/>
        <w:ind w:left="820" w:hanging="326"/>
        <w:spacing w:after="0" w:line="312" w:lineRule="auto"/>
        <w:tabs>
          <w:tab w:leader="none" w:pos="820"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Amends the commission structure by (1) eliminating the commission threshold for program years 2016, 2017 and 2018, (2) setting the commission threshold for the subsequent program years at $40 million and (3) establishing the commission payable by Monsanto to the Company for each program year at an amount equal to 50% of the program earnings before interest and income taxes for such program year.</w:t>
      </w:r>
    </w:p>
    <w:p>
      <w:pPr>
        <w:spacing w:after="0" w:line="66"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The Brand Extension Agreement provides the Company a worldwide, exclusive license to use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Brand Extension Agreement has an initial term of twenty years, which will automatically renew for additional successive twenty year terms, at the Company’s sole option, for no additional monetary consideration.</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Marketing Agreement or the Brand Extension Agreement).</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recorded the $300.0 million consideration paid by the Company to Monsanto in connection with the entry into the Marketing Agreement Amendment, the Brand Extension Agreement and the Commercialization and Technology Agreement as intangible assets and the related economic useful life of such assets is indefinite. The identifiable intangible assets include the Marketing Agreement Amendment and the Brand Extension Agreement with allocated fair value of $188.3 million and $111.7 million, respectively.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112" w:lineRule="exact"/>
        <w:rPr>
          <w:sz w:val="20"/>
          <w:szCs w:val="20"/>
          <w:color w:val="auto"/>
        </w:rPr>
      </w:pPr>
    </w:p>
    <w:p>
      <w:pPr>
        <w:jc w:val="both"/>
        <w:ind w:firstLine="405"/>
        <w:spacing w:after="0" w:line="232"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basis, recognizing such costs in the “Cost of sales” line and the reimbursement of these costs in the “Net sales” line in the Condensed Consolidated Statements of Operations, with no effect on gross profit dollars or net income.</w:t>
      </w:r>
    </w:p>
    <w:p>
      <w:pPr>
        <w:spacing w:after="0" w:line="8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gross commission earned under the Marketing Agreement, the contribution payments to Monsanto and the amortization of the initial marketing fee paid to Monsanto in 1998 are included in the calculation of net sales in the Company’s Condensed Consolidated Statements of Operations. The elements of the net commission and reimbursements earned under the Marketing Agreement and included in “Net sales”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4"/>
          </w:tcPr>
          <w:p>
            <w:pPr>
              <w:jc w:val="right"/>
              <w:ind w:right="2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7"/>
          </w:tcPr>
          <w:p>
            <w:pPr>
              <w:jc w:val="right"/>
              <w:ind w:right="99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1.4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NOTE 8. DEBT</w:t>
            </w: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tcPr>
          <w:p>
            <w:pPr>
              <w:ind w:left="420"/>
              <w:spacing w:after="0"/>
              <w:rPr>
                <w:sz w:val="20"/>
                <w:szCs w:val="20"/>
                <w:color w:val="auto"/>
              </w:rPr>
            </w:pPr>
            <w:r>
              <w:rPr>
                <w:rFonts w:ascii="Arial" w:cs="Arial" w:eastAsia="Arial" w:hAnsi="Arial"/>
                <w:sz w:val="18"/>
                <w:szCs w:val="18"/>
                <w:color w:val="auto"/>
              </w:rPr>
              <w:t>The components of long-term debt are as follows: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Senior Notes – 5.250%</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1,728.2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1,493.7</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December 20, 2013, the Company entered into the third amended and restated credit agreement, providing the Company and certain of its subsidiaries with a five-year senior secured revolving loan facility in the aggregate principal amount of up to $1.7 billion (the “former credit facility”). On October 29, 2015, the Company entered into the fourth amended and restated credit agreement (the “credit agreement”), providing the Company and certain of its subsidiaries with five-year senior secured loan facilities in the aggregate principal amount of $1.9 billion, comprised of a revolving credit facility of $1.6 billion and a term loan in the original principal amount of $300.0 million (the “credit facilities”). The credit agreement also provides the Company with the right to seek additional committed credit under the agreement in an aggregate amount of up to $500.0 million plus an unlimited additional amount, subject to certain specified financial and other conditions. Under the credit agreement, the Company has the ability to obtain letters of credit up to $100.0 million. The credit agreement replaces the former credit facility, and will terminate on October 29, 2020. Borrowings on the revolving credit facility may be made in various currencies, including U.S. dollars, euro, British pounds, Australian dollars and Canadian dollars. The terms of the credit agreement include customary representations and warranties, affirmative and negative covenants, financial covenants and events of default. The proceeds of borrowings on the credit facilities may be used: (i) to finance working capital requirements and other general corporate purposes of the Company and its subsidiaries; and (ii) to refinance the amounts outstanding under the former credit facility.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terms of the credit agreement, loans bear interest, at the Company’s election, at a rate per annum equal to either the ABR or Adjusted LIBO Rate (both as defined in the credit agreement) plus the applicable margin. The credit facilities are guaranteed by substantially all of the Company’s domestic subsidiaries, and are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December 31, 2016, the Company had letters of credit outstanding in the aggregate principal amount of $25.9 million, and $0.8 billion of availability under the credit agreement, subject to the Company’s continued compliance with the covenants discussed below. The weighted average interest rates on average borrowings under the credit agreement and the former credit facility were 3.7% and 4.4% for the three months ended December 31, 2016 and January 2, 2016, respectively.</w:t>
      </w:r>
    </w:p>
    <w:p>
      <w:pPr>
        <w:spacing w:after="0" w:line="10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credit agreement (“Adjusted EBITDA”). The maximum leverage ratio was 4.50 as of December 31, 2016. The Company’s leverage ratio was 3.10 at December 31, 2016. The credit agreement also includes an affirmative covenant regarding its interest coverage ratio. The interest coverage ratio is calculated as Adjusted EBITDA divided by interest expense, as described in the credit agreement, and excludes costs related to refinancings. The minimum interest coverage ratio was 3.00 for the twelve months ended December 31, 2016. The Company’s interest coverage ratio was 8.25 for the twelve months ended December 31, 2016. The credit agreement allows the Company to make unlimited restricted payments (as defined in the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credit agreement for such fiscal year ($175.0 million for fiscal 2017 and $200.0 million for fiscal 2018 and each fiscal year thereafter).</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- 5.250%</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December 15, 2016, Scotts Miracle-Gro issued $250.0 million aggregate principal amount of 5.250% senior notes due 2026 (the “5.250% Senior Notes”). The net proceeds of the offering were used to repay outstanding borrowings under the credit facilities. The 5.250% Senior Notes represent general unsecured senior obligations and rank equal in right of payment with the Company’s existing and future unsecured senior debt. The 5.250% Senior Notes have interest payment dates of June 15 and December 15 of each year, commencing June 15, 2017. The 5.250% Senior Notes may be redeemed, in whole or in part, on or after December 15, 2021 at applicable redemption premiums. The 5.250% Senior Notes contain customary covenants and events of default and mature on December 15, 2026. Substantially all of Scotts Miracle-Gro’s domestic subsidiaries serve as guarantors of the 5.250% Senior Notes.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- 6.625%</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December 15, 2015, Scotts Miracle-Gro redeemed all $200.0 million aggregate principal amount of its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Condensed Consolidated Statement of Operations in the first quarter of fiscal 2016. Additionally, the Company had $2.2 million in unamortized bond discount and issuance costs associated with the 6.625% Senior Notes that were written off and recognized in the “Costs related to refinancing” line on the Condensed Consolidated Statement of Operations in the first quarter of fiscal 2016.</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the former credit facility.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September 25, 2015, the Company entered into an amended and restated master accounts receivable purchase agreement (the “MARP Agreement”). The MARP Agreement provided for the discretionary sale by the Company, and the discretionary purchase by the participating banks, on a revolving basis, of accounts receivable generated by sales to three specified debtors in an aggregate amount not to exceed $400.0 million. The MARP Agreement terminated effective October 14, 2016 in accordance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its terms upon the Company’s repayment of its outstanding obligations thereunder using $133.5 million borrowed under the credit agreement. The Company expects available borrowings under the credit agreement will be sufficient to meet the Company’s funding needs on an ongoing basis. Additionally, the Company continues to consider alternative receivables-based funding sources, as the credit agreement allows for the periodic sale, discounting, factoring or securitization of accounts receivable up to a maximum at any one time outstanding of $500.0 million.</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acquisition of a controlling interest in Gavita, the Company recorded a loan to the noncontrolling ownership group of Gavita.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loan was $36.4 million at December 31, 2016.</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$1,150.0 million at December 31, 2016, $1,300.0 million at January 2, 2016 and $650.0 million at September 30, 2016. Interest payments made between the effective date and expiration date are hedged by the swap agreements, except as noted below, respectively.</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December 31, 2016 are shown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jc w:val="right"/>
              <w:ind w:right="694"/>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2"/>
          </w:tcPr>
          <w:p>
            <w:pPr>
              <w:ind w:left="1020"/>
              <w:spacing w:after="0"/>
              <w:rPr>
                <w:sz w:val="20"/>
                <w:szCs w:val="20"/>
                <w:color w:val="auto"/>
              </w:rPr>
            </w:pPr>
            <w:r>
              <w:rPr>
                <w:rFonts w:ascii="Arial" w:cs="Arial" w:eastAsia="Arial" w:hAnsi="Arial"/>
                <w:sz w:val="14"/>
                <w:szCs w:val="14"/>
                <w:b w:val="1"/>
                <w:bCs w:val="1"/>
                <w:color w:val="auto"/>
              </w:rPr>
              <w:t>Expiration</w:t>
            </w:r>
          </w:p>
        </w:tc>
        <w:tc>
          <w:tcPr>
            <w:tcW w:w="2800" w:type="dxa"/>
            <w:vAlign w:val="bottom"/>
          </w:tcPr>
          <w:p>
            <w:pPr>
              <w:jc w:val="right"/>
              <w:ind w:right="1154"/>
              <w:spacing w:after="0"/>
              <w:rPr>
                <w:sz w:val="20"/>
                <w:szCs w:val="20"/>
                <w:color w:val="auto"/>
              </w:rPr>
            </w:pPr>
            <w:r>
              <w:rPr>
                <w:rFonts w:ascii="Arial" w:cs="Arial" w:eastAsia="Arial" w:hAnsi="Arial"/>
                <w:sz w:val="14"/>
                <w:szCs w:val="14"/>
                <w:b w:val="1"/>
                <w:bCs w:val="1"/>
                <w:color w:val="auto"/>
              </w:rPr>
              <w:t>Fixed</w:t>
            </w:r>
          </w:p>
        </w:tc>
      </w:tr>
      <w:tr>
        <w:trPr>
          <w:trHeight w:val="192"/>
        </w:trPr>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w w:val="97"/>
              </w:rPr>
              <w:t>Date (a)</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right"/>
              <w:ind w:right="1134"/>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b w:val="1"/>
                <w:bCs w:val="1"/>
                <w:color w:val="auto"/>
              </w:rPr>
              <w:t>Rate</w:t>
            </w:r>
          </w:p>
        </w:tc>
      </w:tr>
      <w:tr>
        <w:trPr>
          <w:trHeight w:val="250"/>
        </w:trPr>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2/7/2014</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11/7/2017</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6/20/2018</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(e)</w:t>
            </w:r>
          </w:p>
        </w:tc>
        <w:tc>
          <w:tcPr>
            <w:tcW w:w="960" w:type="dxa"/>
            <w:vAlign w:val="bottom"/>
          </w:tcPr>
          <w:p>
            <w:pPr>
              <w:jc w:val="right"/>
              <w:spacing w:after="0"/>
              <w:rPr>
                <w:sz w:val="20"/>
                <w:szCs w:val="20"/>
                <w:color w:val="auto"/>
              </w:rPr>
            </w:pPr>
            <w:r>
              <w:rPr>
                <w:rFonts w:ascii="Arial" w:cs="Arial" w:eastAsia="Arial" w:hAnsi="Arial"/>
                <w:sz w:val="18"/>
                <w:szCs w:val="18"/>
                <w:color w:val="auto"/>
              </w:rPr>
              <w:t>11/7/2016</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8/7/2018</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 rate, prime rate or Federal Funds Effective Rate and thus the carrying value is a reasonable estimate of fair value. The fair value measurement for the credit facilities was classified in Level 2 of the fair value hierarchy.</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Based on the trading value on or around December 31, 2016, the fair value of the 5.250% Senior Notes was approximately $250.3 million. The fair value measurement for the 5.250%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Based on the trading value on or around December 31, 2016, the fair value of the 6.000% Senior Notes was approximately $426.0 million. The fair value measurement for the 6.000%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fluctuated with the applicable LIBO rate and thus the carrying value is a reasonable estimate of fair value. The fair value measurement for the MARP Agreement was classified in Level 2 of the fair value hierarchy.</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weighted average interest rates on the Company’s debt were 4.3% and 5.0% for the three months ended December 31, 2016 and January 2, 2016, respectively. The decrease in the weighted average interest rate is due to reduced rates under the credit facility and the redemption of the 6.625% Senior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AND RETIREE MEDICAL PLANS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components of net periodic benefit (income) cost for the retirement and retiree medical plans sponsored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8"/>
              </w:rPr>
              <w:t>DECEMBER 31,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JANUARY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Pension</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During the three months ended December 31, 2016, Scotts Miracle-Gro repurchased 0.5 million Common Shares for $43.4 million. From the inception of this share repurchase program in the fourth quarter of fiscal 2014 through December 31, 2016, Scotts Miracle-Gro repurchased approximately 2.6 million Common Shares for $189.1 million.</w:t>
      </w:r>
    </w:p>
    <w:p>
      <w:pPr>
        <w:spacing w:after="0" w:line="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shareholders’ equity attributable to controlling interest, and equity attributable to noncontrolling interests for the three months ended December 31, 2016 and January 2, 2016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280" w:type="dxa"/>
            <w:vAlign w:val="bottom"/>
            <w:gridSpan w:val="3"/>
          </w:tcPr>
          <w:p>
            <w:pPr>
              <w:ind w:left="8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Treasury 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5"/>
                <w:szCs w:val="15"/>
                <w:color w:val="auto"/>
              </w:rPr>
            </w:pPr>
          </w:p>
        </w:tc>
        <w:tc>
          <w:tcPr>
            <w:tcW w:w="960" w:type="dxa"/>
            <w:vAlign w:val="bottom"/>
          </w:tcPr>
          <w:p>
            <w:pPr>
              <w:jc w:val="right"/>
              <w:ind w:right="149"/>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17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2015</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400.4</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684.2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(357.1)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620.7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633.1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49"/>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($0.47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January 2, 2016</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402.3</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573.7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(355.2)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513.8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526.7</w:t>
            </w:r>
          </w:p>
        </w:tc>
        <w:tc>
          <w:tcPr>
            <w:tcW w:w="0" w:type="dxa"/>
            <w:vAlign w:val="bottom"/>
          </w:tcPr>
          <w:p>
            <w:pPr>
              <w:spacing w:after="0"/>
              <w:rPr>
                <w:sz w:val="1"/>
                <w:szCs w:val="1"/>
                <w:color w:val="auto"/>
              </w:rPr>
            </w:pPr>
          </w:p>
        </w:tc>
      </w:tr>
      <w:tr>
        <w:trPr>
          <w:trHeight w:val="60"/>
        </w:trPr>
        <w:tc>
          <w:tcPr>
            <w:tcW w:w="27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September 30, 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401.7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715.2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734.3</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($0.50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9"/>
              </w:rPr>
              <w:t>Adjustment to noncontrolling interest due to</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ownership change</w:t>
            </w:r>
          </w:p>
        </w:tc>
        <w:tc>
          <w:tcPr>
            <w:tcW w:w="12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declared by AeroGrow</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at December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402.4</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786.4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(491.9)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579.8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592.2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November 29, 2016, the Company’s wholly-owned subsidiary SMG Growing Media, Inc. fully exercised its outstanding warrants to acquire additional shares of common stock of AeroGrow for an aggregate warrant exercise price of $47.8 million in exchange for the issuance of 21.6 million shares of common stock of AeroGrow, which increased the Company’s percentage ownership of AeroGrow’s outstanding shares of common stock (on a fully diluted basis) from 45% to 80%. The financial results of AeroGrow have been consolidated into the Company’s consolidated financial statements since the fourth quarter of fiscal 2014, when the Company obtained control of AeroGrow’s operations through increased involvement, influence and a working capital loan provided to AeroGrow. Following the exercise of the warrants, the Board of Directors of AeroGrow declared a $41 million distribution ($1.21 per share) payable on January 3, 2017 to shareholders of record on December 20, 2016. At December 31, 2016, the Company recorded a distribution payable of $8.1 million in the “Other liabilities” line in the Condensed Consolidated Balance Sheets representing the distribution payable to the noncontrolling interest holders of AeroGrow.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8"/>
              </w:rPr>
              <w:t>JANUARY 2,</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1,503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2,807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0.2</w:t>
            </w:r>
          </w:p>
        </w:tc>
      </w:tr>
      <w:tr>
        <w:trPr>
          <w:trHeight w:val="351"/>
        </w:trPr>
        <w:tc>
          <w:tcPr>
            <w:tcW w:w="8340" w:type="dxa"/>
            <w:vAlign w:val="bottom"/>
          </w:tcPr>
          <w:p>
            <w:pPr>
              <w:ind w:left="420"/>
              <w:spacing w:after="0"/>
              <w:rPr>
                <w:sz w:val="20"/>
                <w:szCs w:val="20"/>
                <w:color w:val="auto"/>
              </w:rPr>
            </w:pPr>
            <w:r>
              <w:rPr>
                <w:rFonts w:ascii="Arial" w:cs="Arial" w:eastAsia="Arial" w:hAnsi="Arial"/>
                <w:sz w:val="18"/>
                <w:szCs w:val="18"/>
                <w:color w:val="auto"/>
              </w:rPr>
              <w:t>Total share-based compensation was as follows for the periods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8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8"/>
              </w:rPr>
              <w:t>JANUARY 2,</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0.8</w:t>
            </w:r>
          </w:p>
        </w:tc>
      </w:tr>
    </w:tbl>
    <w:p>
      <w:pPr>
        <w:spacing w:after="0" w:line="14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Subsequent to December 31, 2016, Scotts Miracle-Gro awarded performance share units, restricted stock units and deferred stock units representing 0.6 million Common Shares to employees and members of the Board of Directors with an estimated fair value of $57.1 million on the date of the grant.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effective tax rate related to continuing operations for the three months ended December 31, 2016 was 35.5%, compared to 35.4% for the three months ended January 2, 2016. The effective tax rate used for interim reporting purposes is based on management’s best estimate of factors impacting the effective tax rate for the full fiscal year. There can be no assurance that the effective tax rate estimated for interim financial reporting purposes will approximate the effective tax rate determined at fiscal year end. Final Treasury Regulations under Internal Revenue Code §987 were enacted on December 7, 2016, governing the methodology to be used in calculating deferred translation gain or loss for certain entities treated as U.S. branches for U.S. tax purposes. The Company has determined that the impact of adopting these regulations is immaterial to the Company's deferred tax balances and financial statements.</w:t>
      </w:r>
    </w:p>
    <w:p>
      <w:pPr>
        <w:spacing w:after="0" w:line="8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2013. The Company is currently under examination by the Internal Revenue Service and certain foreign and U.S. state and local tax authorities. The U.S. federal examination is limited to fiscal years 2011 and 2012. With respect to foreign jurisdictions, a German audit is currently ongoing covering fiscal years 2009 through 2012. In regard to the multiple U.S. state and local audits, the tax periods under examination are limited to fiscal years 2008 through 2015. In addition to the aforementioned audits, certain other tax deficiency notices and refund claims for previous years remain unresolved.</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December 31, 2016, $4.9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8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and restitution), punitive and treble damages; injunctive and declaratory relief; pre-judgment and post-judgment interest; and costs and attorneys’ fees. The Company disputes the plaintiffs’ assertions and intends to vigorously defend the consolidated action. At this point in the proceedings, it is not currently possible to reasonably estimate a probable loss, if any, associated with the action and, accordingly, no reserves have been recorded in the Company’s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December 31, 2016, the notional amount of outstanding currency forward contracts was $238.1 million, with a fair value of $2.9 million. At January 2, 2016, the notional amount of outstanding currency forward contracts was $58.7 million, with a negative fair value of $0.8 million. At September 30, 2016, the notional amount of outstanding currency forward contracts was $165.8 million, with a fair value of $0.4 million. The fair value of currency forward contracts is determined using forward rates in commonly quoted intervals for the full term of the contracts. The outstanding contracts will mature over the next fiscal year.</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outstanding interest rate swap agreements with major financial institutions that effectively convert a portion of the Company’s variable-rate debt to a fixed rate. The swap agreements had a total U.S. dollar equivalent notional amount of $1,150.0 million at December 31, 2016, $1,300.0 million at January 2, 2016 and $650.0 million at September 30, 2016. Refer to “NOTE 8. DEBT” for the terms of the swap agreements outstanding at December 31, 2016. Included in the AOCI balance at December 31, 2016 was a loss of $1.6 million related to interest rate swap agreements that is expected to be reclassified to earnings during the next twelve months, consistent with the timing of the underlying hedged transactions.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December 31, 2016 was a gain of $0.7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uses derivatives to partially mitigate the effect of fluctuating diesel costs on operating results. These financial instruments are carried at fair value within the Condensed Consolidated Balance Sheets. Changes in the fair value of derivative contracts that qualify for hedge accounting are recorded in AOCI except for any ineffective portion of the change in fair value, which is immediately recorded in earnings.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December 31, 2016, there were no amounts included within AOCI.</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404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16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31,</w:t>
            </w:r>
          </w:p>
        </w:tc>
        <w:tc>
          <w:tcPr>
            <w:tcW w:w="2160" w:type="dxa"/>
            <w:vAlign w:val="bottom"/>
            <w:gridSpan w:val="2"/>
          </w:tcPr>
          <w:p>
            <w:pPr>
              <w:ind w:left="600"/>
              <w:spacing w:after="0"/>
              <w:rPr>
                <w:sz w:val="20"/>
                <w:szCs w:val="20"/>
                <w:color w:val="auto"/>
              </w:rPr>
            </w:pPr>
            <w:r>
              <w:rPr>
                <w:rFonts w:ascii="Arial" w:cs="Arial" w:eastAsia="Arial" w:hAnsi="Arial"/>
                <w:sz w:val="14"/>
                <w:szCs w:val="14"/>
                <w:b w:val="1"/>
                <w:bCs w:val="1"/>
                <w:color w:val="auto"/>
              </w:rPr>
              <w:t>JANUARY 2,</w:t>
            </w:r>
          </w:p>
        </w:tc>
        <w:tc>
          <w:tcPr>
            <w:tcW w:w="2060" w:type="dxa"/>
            <w:vAlign w:val="bottom"/>
          </w:tcPr>
          <w:p>
            <w:pPr>
              <w:jc w:val="right"/>
              <w:ind w:right="41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19,500 tons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 tons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Diesel</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5,292,000 gallons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5,796,000 gallons</w:t>
            </w:r>
          </w:p>
        </w:tc>
        <w:tc>
          <w:tcPr>
            <w:tcW w:w="2060" w:type="dxa"/>
            <w:vAlign w:val="bottom"/>
          </w:tcPr>
          <w:p>
            <w:pPr>
              <w:jc w:val="right"/>
              <w:spacing w:after="0"/>
              <w:rPr>
                <w:sz w:val="20"/>
                <w:szCs w:val="20"/>
                <w:color w:val="auto"/>
              </w:rPr>
            </w:pPr>
            <w:r>
              <w:rPr>
                <w:rFonts w:ascii="Arial" w:cs="Arial" w:eastAsia="Arial" w:hAnsi="Arial"/>
                <w:sz w:val="18"/>
                <w:szCs w:val="18"/>
                <w:color w:val="auto"/>
              </w:rPr>
              <w:t>6,384,000 gallons</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1,680,000 gallons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2,520,000 gallons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1,722,000 gallons</w:t>
            </w: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21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8"/>
              </w:rPr>
              <w:t>JANUARY 2,</w:t>
            </w:r>
          </w:p>
        </w:tc>
        <w:tc>
          <w:tcPr>
            <w:tcW w:w="140" w:type="dxa"/>
            <w:vAlign w:val="bottom"/>
          </w:tcPr>
          <w:p>
            <w:pPr>
              <w:spacing w:after="0"/>
              <w:rPr>
                <w:sz w:val="13"/>
                <w:szCs w:val="13"/>
                <w:color w:val="auto"/>
              </w:rPr>
            </w:pPr>
          </w:p>
        </w:tc>
        <w:tc>
          <w:tcPr>
            <w:tcW w:w="134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58"/>
        </w:trPr>
        <w:tc>
          <w:tcPr>
            <w:tcW w:w="3660" w:type="dxa"/>
            <w:vAlign w:val="bottom"/>
            <w:gridSpan w:val="2"/>
            <w:vMerge w:val="continue"/>
          </w:tcPr>
          <w:p>
            <w:pPr>
              <w:spacing w:after="0"/>
              <w:rPr>
                <w:sz w:val="5"/>
                <w:szCs w:val="5"/>
                <w:color w:val="auto"/>
              </w:rPr>
            </w:pPr>
          </w:p>
        </w:tc>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66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9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shd w:val="clear" w:color="auto" w:fill="CCEEFF"/>
          </w:tcPr>
          <w:p>
            <w:pPr>
              <w:spacing w:after="0"/>
              <w:rPr>
                <w:sz w:val="16"/>
                <w:szCs w:val="16"/>
                <w:color w:val="auto"/>
              </w:rPr>
            </w:pPr>
          </w:p>
        </w:tc>
        <w:tc>
          <w:tcPr>
            <w:tcW w:w="29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Currency forward contracts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760" w:type="dxa"/>
            <w:vAlign w:val="bottom"/>
            <w:gridSpan w:val="4"/>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2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176"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AMOUNT OF GAIN / (LOSS) RECOGNIZED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13335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8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8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0" w:type="dxa"/>
            <w:vAlign w:val="bottom"/>
            <w:tcBorders>
              <w:top w:val="single" w:sz="8" w:color="auto"/>
            </w:tcBorders>
            <w:gridSpan w:val="4"/>
          </w:tcPr>
          <w:p>
            <w:pPr>
              <w:jc w:val="right"/>
              <w:ind w:right="99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16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RECLASSIFIED FROM AOCI INTO STATEMENT OF</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6"/>
                <w:szCs w:val="16"/>
                <w:color w:val="auto"/>
              </w:rPr>
            </w:pPr>
          </w:p>
        </w:tc>
        <w:tc>
          <w:tcPr>
            <w:tcW w:w="1300" w:type="dxa"/>
            <w:vAlign w:val="bottom"/>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4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78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477"/>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RECOGNIZED IN</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6"/>
                <w:szCs w:val="16"/>
                <w:color w:val="auto"/>
              </w:rPr>
            </w:pPr>
          </w:p>
        </w:tc>
        <w:tc>
          <w:tcPr>
            <w:tcW w:w="1300" w:type="dxa"/>
            <w:vAlign w:val="bottom"/>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4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78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consists of investment securities in non-qualified retirement plan assets and the Bonnie Option.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Long-term debt consists of a loan provided to the noncontrolling ownership group of Gavita. The estimated fair value of the loan was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future business results and discount rates. The fair value measurement is based on significant inputs unobservable in the market and thus represents a Level 3 measurement.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31,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January 2,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divides its business into three reportable segments: U.S. Consumer, Europe Consumer and Other. U.S. Consumer consists of the Company’s consumer lawn and garden business located in the geographic United States. Europe Consumer consists of the Company’s consumer lawn and garden business located in geographic Europe. Other consists of the Company’s consumer lawn and garden businesses in geographies other than the U.S. and Europe, the Company’s indoor, urban and hydroponic gardening business, and revenues and expenses associated with the Company’s supply agreements with Israel Chemicals, Ltd. Corporate consists of general and administrative expenses and certain other income/expense items not allocated to the business segments. This division of reportable segments is consistent with how the segments report to and are managed by the chief operating decision maker of the Company.</w:t>
      </w:r>
    </w:p>
    <w:p>
      <w:pPr>
        <w:spacing w:after="0" w:line="10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Segment performance is evaluated based on several factors, including segment income (loss) from continuing operations before income taxes, amortization, impairment, restructuring and other charges. Senior management uses this measure of operating profit (loss) to evaluate segment performance because the Company believes this measure is indicative of performance trends and the overall earnings potential of each segment.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right="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5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6"/>
          </w:tcPr>
          <w:p>
            <w:pPr>
              <w:jc w:val="center"/>
              <w:ind w:right="12"/>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Europe Consumer</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1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1"/>
              </w:rPr>
              <w:t>Segment income (loss) from continuing operations before income taxes, amortization, impairment, restructuring</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other charges:</w:t>
            </w: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Europe Consumer</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Segment total</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loss of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5560" w:type="dxa"/>
            <w:vAlign w:val="bottom"/>
          </w:tcPr>
          <w:p>
            <w:pPr>
              <w:ind w:left="720"/>
              <w:spacing w:after="0"/>
              <w:rPr>
                <w:sz w:val="20"/>
                <w:szCs w:val="20"/>
                <w:color w:val="auto"/>
              </w:rPr>
            </w:pPr>
            <w:r>
              <w:rPr>
                <w:rFonts w:ascii="Arial" w:cs="Arial" w:eastAsia="Arial" w:hAnsi="Arial"/>
                <w:sz w:val="18"/>
                <w:szCs w:val="18"/>
                <w:color w:val="auto"/>
                <w:w w:val="91"/>
              </w:rPr>
              <w:t>Consolidated loss from continuing operations before income taxes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JANUARY 2,</w:t>
            </w:r>
          </w:p>
        </w:tc>
        <w:tc>
          <w:tcPr>
            <w:tcW w:w="100" w:type="dxa"/>
            <w:vAlign w:val="bottom"/>
          </w:tcPr>
          <w:p>
            <w:pPr>
              <w:spacing w:after="0"/>
              <w:rPr>
                <w:sz w:val="24"/>
                <w:szCs w:val="24"/>
                <w:color w:val="auto"/>
              </w:rPr>
            </w:pPr>
          </w:p>
        </w:tc>
        <w:tc>
          <w:tcPr>
            <w:tcW w:w="14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1,927.2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1,791.5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1,770.7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Consumer</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686.9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2,720.9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On December 15, 2015, Scotts Miracle-Gro redeemed all of its outstanding $200.0 million aggregate principal amount of 6.625% Senior Notes, which were previously guaranteed by certain of its domestic subsidiaries.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and 5.250% Senior Notes pursuant to the indentures governing the 6.000% and 5.250% Senior Notes. SLS Holdings, Inc. was added as a guarantor effective in the three-month period ending July 2, 2016, and HGCI, Inc. and GenSource, Inc. were added as guarantors effective in the three-month period ending January 2, 2016, and have been classified as Guarantors for all periods presented.</w:t>
      </w:r>
    </w:p>
    <w:p>
      <w:pPr>
        <w:spacing w:after="0" w:line="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following 100% directly or indirectly owned subsidiaries fully and unconditionally guarantee at December 31, 2016 the 6.000% and 5.250%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and SLS Holdings, Inc. (collectively, the “Guarantors”). Effective in the three-month period ending July 2, 2016, the SLS Business was contributed to the TruGreen Joint Venture and the Company classified its results of operations for all periods presented to reflect the SLS Business as a discontinued operation and classified the assets and liabilities as held for sale within the financial information of the Guarantors. Subsequent to their contribution to the TruGreen Joint Venture, EG Systems, LLC (formerly known as EG Systems, Inc.) and SLS Franchise Systems LLC are no longer guarantors of the 6.000% Senior Notes.</w:t>
      </w:r>
    </w:p>
    <w:p>
      <w:pPr>
        <w:spacing w:after="0" w:line="10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following information presents Condensed Consolidating Statements of Operations for the three months ended December 31, 2016 and January 2, 2016, Condensed Consolidating Statements of Comprehensive Income (Loss) for the three months ended December 31, 2016 and January 2, 2016, Condensed Consolidating Statements of Cash Flows for the three months ended December 31, 2016 and January 2, 2016, and Condensed Consolidating Balance Sheets as of December 31, 2016, January 2, 2016 and September 30, 2016.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three months ended December 31, 2016 are $222.6 million of dividends paid by the Guarantors and Non-Guarantors to the Parent representing return of investments and as such are classified within cash flows used in investing activities. Included in the Parent Condensed Consolidating Statement of Cash Flows for the three months ended January 2, 2016 are $242.2 million of dividends paid by the Guarantors and Non-Guarantors to the Parent representing return on investments and as such are classified within cash flows from operating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 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Distributions from (investments in) unconsolidated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affiliates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5.250%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$222.6 million represent return of investments and are included in cash flows from investing activities.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1,205.1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2,299.1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3,060.4</w:t>
            </w:r>
          </w:p>
        </w:tc>
        <w:tc>
          <w:tcPr>
            <w:tcW w:w="0" w:type="dxa"/>
            <w:vAlign w:val="bottom"/>
          </w:tcPr>
          <w:p>
            <w:pPr>
              <w:spacing w:after="0"/>
              <w:rPr>
                <w:sz w:val="1"/>
                <w:szCs w:val="1"/>
                <w:color w:val="auto"/>
              </w:rPr>
            </w:pPr>
          </w:p>
        </w:tc>
      </w:tr>
      <w:tr>
        <w:trPr>
          <w:trHeight w:val="67"/>
        </w:trPr>
        <w:tc>
          <w:tcPr>
            <w:tcW w:w="370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7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3740" w:type="dxa"/>
            <w:vAlign w:val="bottom"/>
            <w:gridSpan w:val="7"/>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1,677.2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2,468.2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2,299.1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3,060.4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from (investments in) unconsolidated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924.3</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6.000%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 of 6.625% Senior Notes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$242.2 million represent return on investments and are included in cash flows from operating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2,283.6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2,720.9</w:t>
            </w:r>
          </w:p>
        </w:tc>
        <w:tc>
          <w:tcPr>
            <w:tcW w:w="0" w:type="dxa"/>
            <w:vAlign w:val="bottom"/>
          </w:tcPr>
          <w:p>
            <w:pPr>
              <w:spacing w:after="0"/>
              <w:rPr>
                <w:sz w:val="1"/>
                <w:szCs w:val="1"/>
                <w:color w:val="auto"/>
              </w:rPr>
            </w:pPr>
          </w:p>
        </w:tc>
      </w:tr>
      <w:tr>
        <w:trPr>
          <w:trHeight w:val="67"/>
        </w:trPr>
        <w:tc>
          <w:tcPr>
            <w:tcW w:w="362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3820" w:type="dxa"/>
            <w:vAlign w:val="bottom"/>
            <w:gridSpan w:val="7"/>
          </w:tcPr>
          <w:p>
            <w:pPr>
              <w:ind w:left="9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2,194.2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equity—controlling interest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7"/>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This discussion and analysis should be read in conjunction with “Management’s Discussion and Analysis of Financial Condition and Results of Operations” included in Scotts Miracle-Gro’s Annual Report on Form 10-K for the fiscal year ended September 30, 2016 (the “2016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We are dedicated to delivering strong, long-term financial results and outstanding shareholder returns by providing products of superior quality and value to enhance consumers’ lawn and garden environments. We are a leading manufacturer and marketer of branded consumer lawn and garden products in North America and Europe. We are the exclusive agent of the Monsanto Company (“Monsanto”)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product categories in Australia, the Far East and Latin America. In addition, with our recent acquisitions of General Hydroponics, Vermicrop, Gavita, Botanicare and our control of AeroGrow, we are a leading producer of liquid plant food products, growing media, advanced indoor garden and lighting systems and accessories for hydroponic gardening. Our operations are divided into three reportable segments: U.S. Consumer, Europe Consumer and Other.</w:t>
      </w:r>
    </w:p>
    <w:p>
      <w:pPr>
        <w:spacing w:after="0" w:line="126"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6"/>
          <w:szCs w:val="16"/>
          <w:color w:val="auto"/>
        </w:rPr>
        <w:t>In the first quarter of fiscal 2016, we announced a series of initiatives called Project Focus designed to maximize the value of our non-core assets and focus on emerging categories of the lawn and garden industry in our core U.S. business. On April 13, 2016, as part of this project, pursuant to the terms of the Contribution and Distribution Agreement (the “Contribution Agreement”) between the Company and TruGreen Holding Corporation (“TruGreen Holdings”), we completed the contribution of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“SLS Business”) to a newly formed subsidiary of TruGreen Holdings (the “TruGreen Joint Venture”) in exchange for a minority equity interest of 30% in the TruGreen Joint Venture. The fair value of this interest was estimated to be $294.0 million, resulting in a pre-tax gain of $131.2 million during fiscal 2016. As a result of this transaction, effective in our second quarter of fiscal 2016, we classified our results of operations for all periods presented to reflect the SLS Business as a discontinued operation and classified the assets and liabilities of the SLS Business as held for sale. Prior to being reported as a discontinued operation, the SLS Business was referred to as our former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 For additional information, see “NOTE 2. DISCONTINUED OPERATIONS” of the Notes to Condensed Consolidated Financial Statements included in this Quarterly Report on Form 10-Q. We now participate in the residential and commercial lawn care, tree and shrub care and pest control services segment in the United States and Canada through our interest in the TruGreen Joint Venture.</w:t>
      </w:r>
    </w:p>
    <w:p>
      <w:pPr>
        <w:spacing w:after="0" w:line="5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continually increasing brand and product awareness to inspire consumers and to create retail demand. We have implemented this model for a number of years by focusing on research and development and investing approximately 4-5% of our annual net sales in advertising to support and promote our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our provision of certain services. We believe that our diversified product line and our broad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2016</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2014</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(starting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$1.0 billion through September 30, 2019. During the three months ended December 31, 2016, Scotts Miracle-Gro repurchased 0.5 million Common Shares for $43.4 million. From the inception of this share repurchase program in the fourth quarter of fiscal 2014 through December 31, 2016, Scotts Miracle-Gro repurchased approximately 2.6 million Common Shares for $189.1 million.</w:t>
      </w:r>
    </w:p>
    <w:p>
      <w:pPr>
        <w:spacing w:after="0" w:line="9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August 3, 2016, we announced that the Scotts Miracle-Gro Board of Directors approved an increase in our quarterly cash dividend from $0.47 to $0.50 per Common Share.</w:t>
      </w:r>
    </w:p>
    <w:p>
      <w:pPr>
        <w:spacing w:after="0" w:line="8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Subsequent to December 31, 2016, Scotts Miracle-Gro awarded performance share units, restricted stock units and deferred stock units representing 0.6 million Common Shares to employees and members of the Board of Directors with an estimated fair value of $57.1 million on the date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Effective in our second quarter of fiscal 2016, we classified our results of operations for all periods presented to reflect the SLS Business as a discontinued operation. As a result, and unless specifically stated, all discussions regarding results for the three months ended December 31, 2016 and January 2, 2016 reflect results from our continuing operations. The following table sets forth the components of income and expense as a percentage of net sales: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00" w:type="dxa"/>
            <w:vAlign w:val="bottom"/>
          </w:tcPr>
          <w:p>
            <w:pPr>
              <w:spacing w:after="0"/>
              <w:rPr>
                <w:sz w:val="13"/>
                <w:szCs w:val="13"/>
                <w:color w:val="auto"/>
              </w:rPr>
            </w:pPr>
          </w:p>
        </w:tc>
        <w:tc>
          <w:tcPr>
            <w:tcW w:w="17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DECEMBER 31,</w:t>
            </w:r>
          </w:p>
        </w:tc>
        <w:tc>
          <w:tcPr>
            <w:tcW w:w="158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8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88.8</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r>
      <w:tr>
        <w:trPr>
          <w:trHeight w:val="237"/>
        </w:trPr>
        <w:tc>
          <w:tcPr>
            <w:tcW w:w="810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6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8.6</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58.3</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(50.2)</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Equity in loss of unconsolidated affiliates</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1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8.4</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continuing operations before income taxes</w:t>
            </w: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(22.4)</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continuing operations</w:t>
            </w: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(0.8)</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0"/>
        </w:trPr>
        <w:tc>
          <w:tcPr>
            <w:tcW w:w="810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-98425</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sales for the three months ended December 31, 2016 were $246.8 million, an increase of 26.9% from net sales of $194.5 million for the three months ended January 2, 2016. The change in net sales was attributable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020" w:type="dxa"/>
            <w:vAlign w:val="bottom"/>
          </w:tcPr>
          <w:p>
            <w:pPr>
              <w:spacing w:after="0"/>
              <w:rPr>
                <w:sz w:val="13"/>
                <w:szCs w:val="13"/>
                <w:color w:val="auto"/>
              </w:rPr>
            </w:pPr>
          </w:p>
        </w:tc>
        <w:tc>
          <w:tcPr>
            <w:tcW w:w="2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902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Volume</w:t>
            </w:r>
          </w:p>
        </w:tc>
        <w:tc>
          <w:tcPr>
            <w:tcW w:w="2380" w:type="dxa"/>
            <w:vAlign w:val="bottom"/>
          </w:tcPr>
          <w:p>
            <w:pPr>
              <w:jc w:val="right"/>
              <w:ind w:right="137"/>
              <w:spacing w:after="0"/>
              <w:rPr>
                <w:sz w:val="20"/>
                <w:szCs w:val="20"/>
                <w:color w:val="auto"/>
              </w:rPr>
            </w:pPr>
            <w:r>
              <w:rPr>
                <w:rFonts w:ascii="Arial" w:cs="Arial" w:eastAsia="Arial" w:hAnsi="Arial"/>
                <w:sz w:val="18"/>
                <w:szCs w:val="18"/>
                <w:color w:val="auto"/>
              </w:rPr>
              <w:t>7.0</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(0.3)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80" w:type="dxa"/>
            <w:vAlign w:val="bottom"/>
          </w:tcPr>
          <w:p>
            <w:pPr>
              <w:jc w:val="right"/>
              <w:ind w:right="77"/>
              <w:spacing w:after="0"/>
              <w:rPr>
                <w:sz w:val="20"/>
                <w:szCs w:val="20"/>
                <w:color w:val="auto"/>
              </w:rPr>
            </w:pPr>
            <w:r>
              <w:rPr>
                <w:rFonts w:ascii="Arial" w:cs="Arial" w:eastAsia="Arial" w:hAnsi="Arial"/>
                <w:sz w:val="18"/>
                <w:szCs w:val="18"/>
                <w:color w:val="auto"/>
              </w:rPr>
              <w:t>(1.0)</w:t>
            </w:r>
          </w:p>
        </w:tc>
      </w:tr>
      <w:tr>
        <w:trPr>
          <w:trHeight w:val="27"/>
        </w:trPr>
        <w:tc>
          <w:tcPr>
            <w:tcW w:w="90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26.9 %</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months ended December 31, 2016 was primarily driven by:</w:t>
      </w:r>
    </w:p>
    <w:p>
      <w:pPr>
        <w:spacing w:after="0" w:line="117"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addition of net sales from acquisitions within our Other segment, primarily from Gavita, Botanicare and a Canadian growing media operation; and</w:t>
      </w:r>
    </w:p>
    <w:p>
      <w:pPr>
        <w:spacing w:after="0" w:line="62" w:lineRule="exact"/>
        <w:rPr>
          <w:rFonts w:ascii="Arial" w:cs="Arial" w:eastAsia="Arial" w:hAnsi="Arial"/>
          <w:sz w:val="18"/>
          <w:szCs w:val="18"/>
          <w:color w:val="auto"/>
        </w:rPr>
      </w:pPr>
    </w:p>
    <w:p>
      <w:pPr>
        <w:ind w:left="980" w:hanging="324"/>
        <w:spacing w:after="0" w:line="21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sales volume in our U.S. Consumer segment, driven by increased sales of grass seed and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Lawns products, and in our Other segment, driven by increased sales of hydroponic gardening products;</w:t>
      </w:r>
    </w:p>
    <w:p>
      <w:pPr>
        <w:spacing w:after="0" w:line="9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an unfavorable impact of decreased pricing in our Europe Consumer segment; and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strengthening of the U.S. dollar relative to other currencies including euro and British pound.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62"/>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250"/>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140" w:type="dxa"/>
            <w:vAlign w:val="bottom"/>
            <w:tcBorders>
              <w:bottom w:val="single" w:sz="8" w:color="CCEEFF"/>
            </w:tcBorders>
            <w:gridSpan w:val="3"/>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1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140" w:type="dxa"/>
            <w:vAlign w:val="bottom"/>
            <w:tcBorders>
              <w:bottom w:val="single" w:sz="8" w:color="CCEEFF"/>
            </w:tcBorders>
            <w:gridSpan w:val="3"/>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177.8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months ended December 31, 2016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sales from acquisitions within our Other segment of $30.3 million, primarily from Gavita, Botanicare and a Canadian growing media operation;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increased sales in our U.S. Consumer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line="27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lower distribution costs within our U.S. Consumer segment due to a $4.2 million favorable change in mark-to-market adjustments associated with our fuel hedges;</w:t>
      </w:r>
    </w:p>
    <w:p>
      <w:pPr>
        <w:spacing w:after="0" w:line="6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lower commodity costs primarily related to fertilizer inputs and resin;</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the strengthening of the U.S. dollar relative to other currencies including euro and British pound; and</w:t>
      </w:r>
    </w:p>
    <w:p>
      <w:pPr>
        <w:spacing w:after="0" w:line="62"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other charges of $5.0 million related to costs incurred during the three months ended January 2, 2016 to address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a percentage of net sales, our gross profit rate was 17.9% and 8.6% for the three months ended December 31, 2016 and January 2, 2016, respectively. Factors contributing to the change in gross profit rate are outlined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020" w:type="dxa"/>
            <w:vAlign w:val="bottom"/>
          </w:tcPr>
          <w:p>
            <w:pPr>
              <w:spacing w:after="0"/>
              <w:rPr>
                <w:sz w:val="13"/>
                <w:szCs w:val="13"/>
                <w:color w:val="auto"/>
              </w:rPr>
            </w:pPr>
          </w:p>
        </w:tc>
        <w:tc>
          <w:tcPr>
            <w:tcW w:w="2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902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380" w:type="dxa"/>
            <w:vAlign w:val="bottom"/>
          </w:tcPr>
          <w:p>
            <w:pPr>
              <w:jc w:val="right"/>
              <w:ind w:right="135"/>
              <w:spacing w:after="0"/>
              <w:rPr>
                <w:sz w:val="20"/>
                <w:szCs w:val="20"/>
                <w:color w:val="auto"/>
              </w:rPr>
            </w:pPr>
            <w:r>
              <w:rPr>
                <w:rFonts w:ascii="Arial" w:cs="Arial" w:eastAsia="Arial" w:hAnsi="Arial"/>
                <w:sz w:val="18"/>
                <w:szCs w:val="18"/>
                <w:color w:val="auto"/>
              </w:rPr>
              <w:t>1.8</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0.5</w:t>
            </w: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80" w:type="dxa"/>
            <w:vAlign w:val="bottom"/>
          </w:tcPr>
          <w:p>
            <w:pPr>
              <w:jc w:val="right"/>
              <w:ind w:right="135"/>
              <w:spacing w:after="0"/>
              <w:rPr>
                <w:sz w:val="20"/>
                <w:szCs w:val="20"/>
                <w:color w:val="auto"/>
              </w:rPr>
            </w:pPr>
            <w:r>
              <w:rPr>
                <w:rFonts w:ascii="Arial" w:cs="Arial" w:eastAsia="Arial" w:hAnsi="Arial"/>
                <w:sz w:val="18"/>
                <w:szCs w:val="18"/>
                <w:color w:val="auto"/>
              </w:rPr>
              <w:t>0.4</w:t>
            </w: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(0.3)</w:t>
            </w:r>
          </w:p>
        </w:tc>
      </w:tr>
      <w:tr>
        <w:trPr>
          <w:trHeight w:val="237"/>
        </w:trPr>
        <w:tc>
          <w:tcPr>
            <w:tcW w:w="9020" w:type="dxa"/>
            <w:vAlign w:val="bottom"/>
          </w:tcPr>
          <w:p>
            <w:pPr>
              <w:spacing w:after="0"/>
              <w:rPr>
                <w:sz w:val="20"/>
                <w:szCs w:val="20"/>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3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2.6</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90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 for the three months ended December 31, 2016 was primarily driven by:</w:t>
      </w:r>
    </w:p>
    <w:p>
      <w:pPr>
        <w:spacing w:after="0" w:line="131" w:lineRule="exact"/>
        <w:rPr>
          <w:sz w:val="20"/>
          <w:szCs w:val="20"/>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distribution costs within our U.S. Consumer segment due to a $4.2 million favorable change in mark-to-market adjustments associated with our fuel hedges;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favorable product mix and increased net sales volume driving improved leverage of fixed costs such as warehousing;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favorable net impact from acquisitions within our Other segment, primarily from Gavita, Botanicare and a Canadian growing media operation;</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lower commodity costs primarily related to fertilizer inputs and resin;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net sales attributable to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other charges of $5.0 million related to costs incurred during the three months ended January 2, 2016 to address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an unfavorable impact of decreased pricing in our Europe Consumer segment.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113.3</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SG&amp;A increased $5.8 million during the three months ended December 31, 2016 compared to the three months ended January 2, 2016. Advertising expense decreased $0.2 million, or 1.9%, during the three months ended December 31, 2016 compared to the three months ended January 2, 2016, driven by the timing of media spending. Amortization expense increased $2.2 million, or 62.9%, during the three months ended December 31, 2016 compared to the three months ended January 2, 2016, due to the impact of recent acquisitions. The increase in other SG&amp;A expenses of $3.7 million was due to the impact of recent acquisitions of $6.1 million, partially offset by lower variable incentive compensation expense and the favorable impact of foreign exchange rates as the U.S. dollar has strengthened relative to other currencies including euro and British pound.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components of impairment, restructuring and other charges recorded within the “Cost of sales—impairment, restructuring and other,” “Impairment, restructuring and other” and “Income from discontinued operations, net of tax” lines in the Condensed Consolidated Statements of Operations: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4"/>
          </w:tcPr>
          <w:p>
            <w:pPr>
              <w:jc w:val="right"/>
              <w:ind w:right="10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Restructuring and other charges from discontinued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On April 13, 2016, as part of this project, we completed the contribution of the SLS Business to the TruGreen Joint Venture. As a result, effective in our second quarter of fiscal 2016, we classified our results of operations for all periods presented to reflect the SLS Business as a discontinued operation and classified the assets and liabilities of the SLS Business as held for sale. Refer to “NOTE 2. DISCONTINUED OPERATIONS” for more information. During the three months ended December 31, 2016 and January 2, 2016, we recognized $0.6 million and $3.0 million, respectively, in transaction related costs associated with the divestiture of the SLS Business within the “Loss from discontinued operations, net of tax” line in the Condensed Consolidated Statements of Operations. In addition, during the three months ended December 31, 2016 and January 2, 2016, our Corporate function recognized costs of $1.4 million and $0.9 million, respectively, related to other transaction activity within the “Impairment, restructuring and other” line in the Condensed Consolidated Statements of Operations. Costs incurred to date since the inception of the current initiatives are $3.4 million for our U.S. Consumer segment related to termination benefits, $2.0 million for our Europe Consumer segment related to termination benefits and $6.0 million for Corporate related to transaction activity.</w:t>
      </w:r>
    </w:p>
    <w:p>
      <w:pPr>
        <w:spacing w:after="0" w:line="1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During the third quarter of fiscal 2015, our U.S. Consumer segment began experiencing an increase in certain consumer complaints related to our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indicating customers were experiencing damage to their lawns after application. During the three months ended December 31, 2016 and January 2, 2016, we recognized zero and $5.4 million, respectively, in costs related to resolving these consumer complaints and the recognition of costs we expected to incur for consumer claims. For the three months ended January 2, 2016, $0.4 million of these costs were recorded within the “Impairment, restructuring and other” line and $5.0 million were recorded within the “Cost of sales </w:t>
      </w:r>
      <w:r>
        <w:rPr>
          <w:rFonts w:ascii="Arial" w:cs="Arial" w:eastAsia="Arial" w:hAnsi="Arial"/>
          <w:sz w:val="14"/>
          <w:szCs w:val="14"/>
          <w:color w:val="auto"/>
        </w:rPr>
        <w:t>—i</w:t>
      </w:r>
      <w:r>
        <w:rPr>
          <w:rFonts w:ascii="Arial" w:cs="Arial" w:eastAsia="Arial" w:hAnsi="Arial"/>
          <w:sz w:val="17"/>
          <w:szCs w:val="17"/>
          <w:color w:val="auto"/>
        </w:rPr>
        <w:t>mpairment, restructuring and other” line in the Condensed Consolidated Statements of Operations. Costs incurred to date since the inception of this matter</w:t>
      </w:r>
      <w:r>
        <w:rPr>
          <w:rFonts w:ascii="Arial" w:cs="Arial" w:eastAsia="Arial" w:hAnsi="Arial"/>
          <w:sz w:val="14"/>
          <w:szCs w:val="14"/>
          <w:color w:val="auto"/>
        </w:rPr>
        <w:t xml:space="preserve"> </w:t>
      </w:r>
      <w:r>
        <w:rPr>
          <w:rFonts w:ascii="Arial" w:cs="Arial" w:eastAsia="Arial" w:hAnsi="Arial"/>
          <w:sz w:val="17"/>
          <w:szCs w:val="17"/>
          <w:color w:val="auto"/>
        </w:rPr>
        <w:t>were $73.8 million, partially offset by insurance reimbursement recoveries of $60.8 million. As of December 31, 2016 and January 2, 2016, insurance reimbursements in the amount of zero and $40.0 million, respectively, were recognized as an accrued liability on the Condensed Consolidated Balance Sheets pending the resolution of the insurer’s review of claim documentation.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income earned from loans receivable, foreign exchange gains/losses and gains/losses from the sale of non-inventory assets. Other income, net, was $5.4 million for the three months ended December 31, 2016 compared to $0.2 million for the three months ended January 2, 2016. The increase in other income for the three months ended December 31, 2016 was due to an increase in income on loans receivable and royalty income earned from the TruGreen Joint Venture related to its use of our brand names.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Loss from operations was $70.9 million for the three months ended December 31, 2016 compared to $97.7 million for the three months ended January 2, 2016, a decrease of $26.8 million, or 27.4%. The improvement was driven by an increase in net sales, gross profit rate and other income, as well as lower impairment, restructuring and other charges, partially offset by an increase in SG&amp;A.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Loss of Unconsolidated Affiliates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hold a minority equity interest of 30% in the TruGreen Joint Venture. This interest is accounted for using the equity method of accounting, with our proportionate share of TruGreen Joint Venture earnings reflected in the Condensed Consolidated Statements of Operations. Equity in loss of unconsolidated affiliates was $13.2 million for the three months ended December 31, 2016. Included within loss of unconsolidated affiliates for the three months ended December 31, 2016 is our $9.6 million share of restructuring and other charges incurred by the TruGreen Joint Venture. These charges included $7.9 million for nonrecurring integration and separation costs and $1.7 million for a non-cash fair value write-down adjustment on deferred revenue and advertising as part of the transaction accounting.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Costs related to refinancing were $8.8 million for the three months ended January 2, 2016. The costs incurred were associated with the redemption of our 6.625% Senior Notes on December 15, 2015, and are comprised of $6.6 million of call premium and $2.2 million of unamortized bond discount and issuance costs that were written off.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expense was $15.6 million for the three months ended December 31, 2016 compared to $16.3 million for the three months ended January 2, 2016. The decrease in interest expense of $0.7 million was driven by a decrease in our weighted average interest rate of 71 basis points primarily due to reduced rates under our credit facility and the redemption of the 6.625% Senior Notes, partially offset by an increase in average borrowings of $146.1 million, which is net of a decrease of $14.6 million due to the impact of foreign exchange rates. The increase in average borrowings was driven by recent acquisition and investment activity, primarily related to Botanicare, Gavita, Bonnie, a Canadian growing media operation and an increase in repurchases of our Common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 related to continuing operations for the three months ended December 31, 2016 was 35.5%, compared to 35.4% for the three months ended January 2, 2016.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4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Loss from continuing operations was $64.3 million, or $1.08 per diluted share, for the three months ended December 31, 2016 compared to $79.3 million, or $1.30 per diluted share, for the three months ended January 2, 2016. We anticipated a net loss in our first quarter due to the seasonal nature of our business, in which sales are heavily weighted to the spring and summer selling periods during our second and third fiscal quarters. The improvement was driven by an increase in net sales, gross profit rate and other income, as well as lower impairment, restructuring and other charges, and lower interest expense and cost related to refinancing, partially offset by higher equity in loss of unconsolidated affiliates and an increase in SG&amp;A.</w:t>
      </w:r>
    </w:p>
    <w:p>
      <w:pPr>
        <w:spacing w:after="0" w:line="9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Diluted average common shares used in the diluted income per common share calculation were 60.1 million for the three months ended December 31, 2016 compared to 61.5 million for the three months ended January 2, 2016. The decrease was primarily the result of Common Share repurchase activity, partially offset by the exercise and issuance of share-based compensation awards.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 net of tax</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Loss from discontinued operations, net of tax, was $0.6 million and $1.5 million for the three months ended December 31, 2016 and January 2, 2016, respectively. During the three months ended December 31, 2016 and January 2, 2016, we recognized $0.6 million and $3.0 million, respectively, in transaction related costs associated with the divestiture of the SLS Business.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divide our business into three reportable segments: U.S. Consumer, Europe Consumer and Other. U.S. Consumer consists of the Company’s consumer lawn and garden business located in the geographic United States. Europe Consumer consists of the Company’s consumer lawn and garden business located in geographic Europe. Other consists of the Company’s consumer lawn and garden business in geographies other than the U.S. and Europe, the Company’s indoor, urban and hydroponic gardening business, and revenues and expenses associated with the Company’s supply agreements with Israel Chemicals, Ltd. Corporate consists of general and administrative expenses and certain other income/expense items not allocated to the business segments. This division of reportable segments is consistent with how the segments report to and are managed by the chief operating decision maker of the Company.</w:t>
      </w:r>
    </w:p>
    <w:p>
      <w:pPr>
        <w:spacing w:after="0" w:line="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Segment performance is evaluated based on several factors, including segment income (loss) from continuing operations before income taxes, amortization, impairment, restructuring and other charges. Senior management uses this measure of operating profit (loss) to evaluate segment performance because the Company believes this measure is indicative of performance trends and the overall earnings potential of each segment.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Europe Consumer</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25.7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55.6</w:t>
            </w: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194.5</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sets forth segment income (loss) from continuing operations before income taxes, amortization, impairment, restructuring and other charges: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Europe Consumer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Segment total</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loss of unconsolidated affiliates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loss from continuing operations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7"/>
          <w:szCs w:val="17"/>
          <w:color w:val="auto"/>
        </w:rPr>
        <w:t>U.S. Consumer segment net sales were $125.5 million in the first quarter of fiscal 2017, an increase of 10.9% from the first quarter of fiscal 2016 net sales of $113.2 million. For the three months ended December 31, 2016, the increase was driven by the favorable impacts of volume, acquisitions and pricing of 9.3%, 0.9% and 0.6%, respectively. Increased sales volume for the three months ended December 31, 2016 was driven by increased sales of grass seed and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Lawns products as well as the impact of the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w:t>
      </w:r>
    </w:p>
    <w:p>
      <w:pPr>
        <w:jc w:val="both"/>
        <w:ind w:firstLine="432"/>
        <w:spacing w:after="0" w:line="259" w:lineRule="auto"/>
        <w:rPr>
          <w:sz w:val="20"/>
          <w:szCs w:val="20"/>
          <w:color w:val="auto"/>
        </w:rPr>
      </w:pPr>
      <w:r>
        <w:rPr>
          <w:rFonts w:ascii="Arial" w:cs="Arial" w:eastAsia="Arial" w:hAnsi="Arial"/>
          <w:sz w:val="18"/>
          <w:szCs w:val="18"/>
          <w:color w:val="auto"/>
        </w:rPr>
        <w:t>U.S. Consumer segment operating loss decreased by $16.2 million, or 29.9%, in the first quarter of fiscal 2017 as compared to the first quarter of fiscal 2016. The improvement for the three months ended December 31, 2016 was primarily due to increased net sales, lower distribution costs due to a favorable change in mark-to-market adjustments associated with our fuel hedges, favorable product mix and improved leverage of fixed costs such as warehousing, lower material costs driven by commodities and lower SG&amp;A.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Consumer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Europe Consumer segment net sales were $24.4 million in the first quarter of fiscal 2017, a decrease of 5.1% from the first quarter of fiscal 2016 net sales of $25.7 million. For the three months ended December 31, 2016, the decrease was driven by the prior year exit from the U.K. Solus business of $0.9 million, or 3.6%, and the unfavorable impacts of changes in foreign exchange rates and decreased pricing of 7.5% and 4.9%, respectively, partially offset by the favorable impact of volume of 11.1%.</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Europe Consumer segment operating loss decreased by 8.7%, to $8.4 million, in the first quarter of fiscal 2017 as compared to the first quarter of fiscal 2016. The improvement for the three months ended December 31, 2016 was primarily driven by lower SG&amp;A resulting from decreased selling and variable incentive compensation expense and the favorable impacts of changes in foreign exchange rates.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segment net sales were $96.9 million in the first quarter of fiscal 2017, an increase of 74.3% from the first quarter of fiscal 2016 net sales of $55.6 million. For the three months ended December 31, 2016, the favorable impacts of acquisitions and volume of 72.4% and 2.3%, respectively, were partially offset by the unfavorable impacts of decreased pricing and changes in foreign exchange rates of 0.4% and 0.2%, respectively.</w:t>
      </w:r>
    </w:p>
    <w:p>
      <w:pPr>
        <w:spacing w:after="0" w:line="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segment operating income increased to $5.6 million in the first quarter of fiscal 2017 as compared to $0.5 million in the first quarter of fiscal 2016. The increase for the three months ended December 31, 2016 was primarily driven by increased net sales and gross profit, partially offset by higher SG&amp;A from acquired businesses and costs related to transaction activity.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Corporate operating loss was $22.8 million in the first quarter of fiscal 2017 as compared to $24.4 million in the first quarter of fiscal 2016. The decrease was primarily due to lower variable incentive compensation expense and an increase in income on loans receivable and royalty income earned from the TruGreen Joint Venture related to its use of our brand names.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Cash used in operating activities totaled $209.8 million for the three months ended December 31, 2016 as compared to $338.6 million for the three months ended January 2, 2016. Cash used in operating activities related to the SLS Business was $9.3 million for the three months ended December 31, 2016 due to the payment of a previously accrued SLS Business litigation matter. Cash provided by operating activities related to the SLS Business was $5.1 million for the three months ended January 2, 2016.</w:t>
      </w:r>
    </w:p>
    <w:p>
      <w:pPr>
        <w:spacing w:after="0" w:line="10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used in operating activities decreased $128.8 million for the first three months of fiscal 2017 as compared to the first three months of fiscal 2016, primarily driven by a decrease in cash used for working capital as well as a decrease in the seasonal net loss. The decrease in cash used for working capital was due to less growth in inventory driven by increased sales and Company wide efforts to improve inventory management and reduce inventory levels, as well as increased accounts payable as a result of timing of payments to vendors.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Cash used in investing activities totaled $94.0 million and $16.8 million for the three months ended December 31, 2016 and January 2, 2016, respectively. Cash used in investing activities related to the SLS Business was zero for the three months ended December 31, 2016 and January 2, 2016.</w:t>
      </w:r>
    </w:p>
    <w:p>
      <w:pPr>
        <w:spacing w:after="0" w:line="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used for investments in property, plant and equipment during the first three months of fiscal 2017 and fiscal 2016 was $16.1 million. During the three months ended December 31, 2016, we also completed the acquisition of Botanicare and two other small acquisitions which included cash payments of $77.9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Financing activities provided cash of $345.2 million and $334.2 million for the three months ended December 31, 2016 and January 2, 2016, respectively. The increase in cash provided by financing activities of $11.0 million was the result of the issuance of $250.0 million aggregate principal amount of 5.250% Senior Notes during the first three months of fiscal 2017 as compared to a net issuance of $200.0 million aggregate principal amount of Senior Notes during the first three months of fiscal 2016, an increase in net borrowings under our credit facilities of $3.6 million, and a decrease in financing and issuance fees paid of $7.0 million, partially offset by an increase in repurchases of our Common Shares of $43.6 million and an increase in payments on seller notes of $5.7 million.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$88.7 million, $49.0 million and $50.1 million as of December 31, 2016, January 2, 2016 and September 30, 2016, respectively, included $31.0 million, $39.6 million and $39.9 million, respectively,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 sale or liquidation.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December 20, 2013, we entered into the third amended and restated credit agreement, providing us with a five-year senior secured revolving loan facility in the aggregate principal amount of up to $1.7 billion (the “former credit facility”). On October 29, 2015, we entered into the fourth amended and restated credit agreement (the “credit agreement”), providing us with five-year senior secured loan facilities in the aggregate principal amount of $1.9 billion, comprised of a revolving credit facility of $1.6 billion and a term loan in the original principal amount of $300.0 million (the “credit facilities”).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$100.0 million. Borrowings on the revolving credit facility may be made in various currencies, including U.S. dollars, euro, British pounds, Australian dollars and Canadian dollars.</w:t>
      </w:r>
    </w:p>
    <w:p>
      <w:pPr>
        <w:spacing w:after="0" w:line="10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At December 31, 2016, we had letters of credit outstanding in the aggregate principal amount of $25.9 million, and $0.8 billion of availability under the credit agreement, subject to our continued compliance with the covenants discussed below. The weighted average interest rates on average borrowings under the credit agreement and the former credit facility were 3.7% and 4.4% for the three months ended December 31, 2016 and January 2, 2016, respectively.</w:t>
      </w:r>
    </w:p>
    <w:p>
      <w:pPr>
        <w:spacing w:after="0" w:line="6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maintained a Master Accounts Receivable Purchase Agreement (as amended, “MARP Agreement”), which provided for the discretionary sale by us,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our repayment of its outstanding obligations thereunder using $133.5 million borrowed under the credit agreement. We expect available borrowings under the credit agreement will be sufficient to meet our funding needs on an ongoing basis. Additionally, we continue to consider alternative receivables-based funding sources, as our credit agreement allows for the periodic sale, discounting, factoring or securitization of accounts receivable up to a maximum at any one time outstanding of $500 million. There were no borrowings or receivables pledged as collateral under the MARP Agreement as of December 31, 2016 and January 2, 2016.</w:t>
      </w:r>
    </w:p>
    <w:p>
      <w:pPr>
        <w:spacing w:after="0" w:line="1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15, 2016, we issued $250.0 million aggregate principal amount of 5.250% senior notes due 2026 (the “5.250% Senior Notes”). The net proceeds of the offering were used to repay outstanding borrowings under our credit facilities. The 5.250% Senior Notes represent general unsecured senior obligations and rank equal in right of payment with our existing and future unsecured senior debt. The 5.250% Senior Notes have interest payment dates of June 15 and December 15 of each year, commencing June 15, 2017. The 5.250% Senior Notes may be redeemed, in whole or in part, on or after December 15, 2021 at applicable redemption premiums. The 5.250% Senior Notes contain customary covenants and events of default and mature on December 15, 2026. Substantially all of our domestic subsidiaries serve as guarantors of the 5.250% Senior Notes.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15, 2015, we used a portion of our available credit facility borrowings to redeem all $200.0 million aggregate principal amount of our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Condensed Consolidated Statement of Operations in the first quarter of fiscal 2016. Additionally, we had $2.2 million in unamortized bond discount and issuance costs associated with the 6.625% Senior Notes that were written off and recognized in the “Costs related to refinancing” line on the Condensed Consolidated Statement of Operations in the first quarter of fiscal 2016.</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October 13, 2015, we issued $400.0 million aggregate principal amount of 6.000% senior notes due 2023 (the “6.000% Senior Notes”). The net proceeds of the offering were used to repay outstanding borrowings under our former credit facility. The 6.000% Senior Notes represent general unsecured senior obligations and rank equal in right of payment with our existing and future unsecured senior debt. The 6.000% Senior Notes have interest payment dates of April 15 and October 15 of each year, commencing April 15, 2016. The 6.000% Senior Notes may be redeemed, in whole or in part, on or after October 15, 2018 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applicable redemption premiums. The 6.000% Senior Notes contain customary covenants and events of default and mature on October 15, 2023. Substantially all of our domestic subsidiaries serve as guarantors of the 6.000% Senior Notes.</w:t>
      </w:r>
    </w:p>
    <w:p>
      <w:pPr>
        <w:spacing w:after="0" w:line="8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were in compliance with all debt covenants as of December 31, 2016. Our credit agreement contains, among other obligations, an affirmative covenant regarding our leverage ratio on the last day of each quarter, calculated as our net indebtedness divided by adjusted earnings before interest, taxes, depreciation and amortization. The maximum leverage ratio was 4.50 as of December 31, 2016. Our leverage ratio was 3.10 at December 31, 2016. Our credit agreement also includes an affirmative covenant regarding our interest coverage. The minimum interest coverage ratio was 3.00 for the twelve months ended December 31, 2016. Our interest coverage ratio was 8.25 for the twelve months ended December 31, 2016. The credit agreement allows us to make unlimited restricted payments (as defined in the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credit agreement for such fiscal year ($175.0 million for fiscal 2017 and $200.0 million for fiscal 2018 and each fiscal year thereafter).</w:t>
      </w:r>
    </w:p>
    <w:p>
      <w:pPr>
        <w:spacing w:after="0" w:line="10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agreement and, based upon our current operating assumptions, we expect to remain in compliance with the permissible leverage ratio and interest coverage ratio throughout fiscal 2017.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these proceedings, whether as a result of adverse outcomes or as a result of significant defense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Other than the changes to our borrowing agreements and acquisition activity during our first quarter of fiscal 2017, there have been no material changes outside of the ordinary course of business in our outstanding contractual obligations since the end of fiscal 2016 and through December 31, 2016. As part of the fiscal 2017 acquisitions, we acquired operating leases with total future minimum leases payments for non-cancelable operating leases of $3.6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2016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2016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jc w:val="right"/>
        <w:ind w:right="4240"/>
        <w:spacing w:after="0" w:line="478" w:lineRule="auto"/>
        <w:rPr>
          <w:sz w:val="20"/>
          <w:szCs w:val="20"/>
          <w:color w:val="auto"/>
        </w:rPr>
      </w:pPr>
      <w:r>
        <w:rPr>
          <w:rFonts w:ascii="Arial" w:cs="Arial" w:eastAsia="Arial" w:hAnsi="Arial"/>
          <w:sz w:val="17"/>
          <w:szCs w:val="17"/>
          <w:b w:val="1"/>
          <w:bCs w:val="1"/>
          <w:color w:val="auto"/>
        </w:rPr>
        <w:t xml:space="preserve">ITEM 3. QUANTITATIVE AND QUALITATIVE DISCLOSURES ABOUT MARKET RISK </w:t>
      </w:r>
      <w:r>
        <w:rPr>
          <w:rFonts w:ascii="Arial" w:cs="Arial" w:eastAsia="Arial" w:hAnsi="Arial"/>
          <w:sz w:val="17"/>
          <w:szCs w:val="17"/>
          <w:color w:val="auto"/>
        </w:rPr>
        <w:t>Market risks have not changed significantly from those disclosed in the 2016 Annual Report.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December 31, 2016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have been no material changes to the pending legal proceedings disclosed in the 2016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Company's risk factors as of December 31, 2016 have not changed materially from those described in “ITEM IA. RISK FACTORS” in the 2016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2016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terms of the credit agreement allow the Company to make unlimited restricted payments (as defined in the credit agreement), including increased or one-time dividend payments and Common Share repurchases, so long as the leverage ratio resulting from the making of such restricted payments is 4.00 or less. Otherwise the Company may only make restricted payments in an aggregate amount for each fiscal year not to exceed the amount set forth in the credit agreement for such fiscal year ($175.0 million for fiscal 2017 and $200.0 million for fiscal 2018 and each fiscal year thereafter). Our leverage ratio was 3.10 at December 31, 2016.</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December 31, 2016: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 Paid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per Common Share(2)</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through October 29</w:t>
            </w:r>
          </w:p>
        </w:tc>
        <w:tc>
          <w:tcPr>
            <w:tcW w:w="1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141,438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86.77</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140,238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842,176,002</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October 30 through November 26</w:t>
            </w:r>
          </w:p>
        </w:tc>
        <w:tc>
          <w:tcPr>
            <w:tcW w:w="1840" w:type="dxa"/>
            <w:vAlign w:val="bottom"/>
          </w:tcPr>
          <w:p>
            <w:pPr>
              <w:jc w:val="right"/>
              <w:ind w:right="43"/>
              <w:spacing w:after="0"/>
              <w:rPr>
                <w:sz w:val="20"/>
                <w:szCs w:val="20"/>
                <w:color w:val="auto"/>
              </w:rPr>
            </w:pPr>
            <w:r>
              <w:rPr>
                <w:rFonts w:ascii="Arial" w:cs="Arial" w:eastAsia="Arial" w:hAnsi="Arial"/>
                <w:sz w:val="16"/>
                <w:szCs w:val="16"/>
                <w:color w:val="auto"/>
              </w:rPr>
              <w:t>166,655</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2"/>
              <w:spacing w:after="0"/>
              <w:rPr>
                <w:sz w:val="20"/>
                <w:szCs w:val="20"/>
                <w:color w:val="auto"/>
              </w:rPr>
            </w:pPr>
            <w:r>
              <w:rPr>
                <w:rFonts w:ascii="Arial" w:cs="Arial" w:eastAsia="Arial" w:hAnsi="Arial"/>
                <w:sz w:val="16"/>
                <w:szCs w:val="16"/>
                <w:color w:val="auto"/>
              </w:rPr>
              <w:t>88.00</w:t>
            </w:r>
          </w:p>
        </w:tc>
        <w:tc>
          <w:tcPr>
            <w:tcW w:w="120" w:type="dxa"/>
            <w:vAlign w:val="bottom"/>
          </w:tcPr>
          <w:p>
            <w:pPr>
              <w:spacing w:after="0"/>
              <w:rPr>
                <w:sz w:val="20"/>
                <w:szCs w:val="20"/>
                <w:color w:val="auto"/>
              </w:rPr>
            </w:pPr>
          </w:p>
        </w:tc>
        <w:tc>
          <w:tcPr>
            <w:tcW w:w="2040" w:type="dxa"/>
            <w:vAlign w:val="bottom"/>
          </w:tcPr>
          <w:p>
            <w:pPr>
              <w:jc w:val="right"/>
              <w:ind w:right="44"/>
              <w:spacing w:after="0"/>
              <w:rPr>
                <w:sz w:val="20"/>
                <w:szCs w:val="20"/>
                <w:color w:val="auto"/>
              </w:rPr>
            </w:pPr>
            <w:r>
              <w:rPr>
                <w:rFonts w:ascii="Arial" w:cs="Arial" w:eastAsia="Arial" w:hAnsi="Arial"/>
                <w:sz w:val="16"/>
                <w:szCs w:val="16"/>
                <w:color w:val="auto"/>
              </w:rPr>
              <w:t>166,655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827,510,162</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27 through December 31</w:t>
            </w:r>
          </w:p>
        </w:tc>
        <w:tc>
          <w:tcPr>
            <w:tcW w:w="1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179,838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175,936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810,976,073</w:t>
            </w:r>
          </w:p>
        </w:tc>
        <w:tc>
          <w:tcPr>
            <w:tcW w:w="0" w:type="dxa"/>
            <w:vAlign w:val="bottom"/>
          </w:tcPr>
          <w:p>
            <w:pPr>
              <w:spacing w:after="0"/>
              <w:rPr>
                <w:sz w:val="1"/>
                <w:szCs w:val="1"/>
                <w:color w:val="auto"/>
              </w:rPr>
            </w:pPr>
          </w:p>
        </w:tc>
      </w:tr>
      <w:tr>
        <w:trPr>
          <w:trHeight w:val="244"/>
        </w:trPr>
        <w:tc>
          <w:tcPr>
            <w:tcW w:w="32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487,931</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2"/>
              <w:spacing w:after="0"/>
              <w:rPr>
                <w:sz w:val="20"/>
                <w:szCs w:val="20"/>
                <w:color w:val="auto"/>
              </w:rPr>
            </w:pPr>
            <w:r>
              <w:rPr>
                <w:rFonts w:ascii="Arial" w:cs="Arial" w:eastAsia="Arial" w:hAnsi="Arial"/>
                <w:sz w:val="16"/>
                <w:szCs w:val="16"/>
                <w:color w:val="auto"/>
              </w:rPr>
              <w:t>89.85</w:t>
            </w:r>
          </w:p>
        </w:tc>
        <w:tc>
          <w:tcPr>
            <w:tcW w:w="120" w:type="dxa"/>
            <w:vAlign w:val="bottom"/>
          </w:tcPr>
          <w:p>
            <w:pPr>
              <w:spacing w:after="0"/>
              <w:rPr>
                <w:sz w:val="21"/>
                <w:szCs w:val="21"/>
                <w:color w:val="auto"/>
              </w:rPr>
            </w:pPr>
          </w:p>
        </w:tc>
        <w:tc>
          <w:tcPr>
            <w:tcW w:w="20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482,829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5,102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73"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August 11, 2014, Scotts Miracle-Gro announced that its Board of Directors authorized the repurchase of up to $500 million of Common Shares over a five-year period (effective November 1, 2014 through September 30, 2019). On August 3, 2016, Scotts Miracle-Gro announced that its Board of Directors increased the then outstanding authorization by an additional $500 million. The amended authorization allows for repurchases of Common Shares of $1.0 billion through September 30, 2019. The dollar amounts in the “Approximate Dollar Value of Common Shares That May Yet be Purchased Under the Plans or Programs” column reflect the remaining amounts that were available for repurchase under the original$500 million and incremental $500 million authorized repurchase programs.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55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125" w:right="1440"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9, 2017</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jc w:val="center"/>
              <w:ind w:left="1153"/>
              <w:spacing w:after="0"/>
              <w:rPr>
                <w:sz w:val="20"/>
                <w:szCs w:val="20"/>
                <w:color w:val="auto"/>
              </w:rPr>
            </w:pPr>
            <w:r>
              <w:rPr>
                <w:rFonts w:ascii="Arial" w:cs="Arial" w:eastAsia="Arial" w:hAnsi="Arial"/>
                <w:sz w:val="18"/>
                <w:szCs w:val="18"/>
                <w:color w:val="auto"/>
                <w:w w:val="96"/>
              </w:rPr>
              <w:t>THE SCOTTS MIRACLE-GRO COMPANY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jc w:val="center"/>
              <w:ind w:left="1153"/>
              <w:spacing w:after="0"/>
              <w:rPr>
                <w:sz w:val="20"/>
                <w:szCs w:val="20"/>
                <w:color w:val="auto"/>
              </w:rPr>
            </w:pPr>
            <w:r>
              <w:rPr>
                <w:rFonts w:ascii="Arial" w:cs="Arial" w:eastAsia="Arial" w:hAnsi="Arial"/>
                <w:sz w:val="18"/>
                <w:szCs w:val="18"/>
                <w:color w:val="auto"/>
                <w:w w:val="94"/>
              </w:rPr>
              <w:t>QUARTERLY REPORT ON FORM 10-Q</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jc w:val="center"/>
              <w:ind w:left="1153"/>
              <w:spacing w:after="0"/>
              <w:rPr>
                <w:sz w:val="20"/>
                <w:szCs w:val="20"/>
                <w:color w:val="auto"/>
              </w:rPr>
            </w:pPr>
            <w:r>
              <w:rPr>
                <w:rFonts w:ascii="Arial" w:cs="Arial" w:eastAsia="Arial" w:hAnsi="Arial"/>
                <w:sz w:val="18"/>
                <w:szCs w:val="18"/>
                <w:color w:val="auto"/>
                <w:w w:val="94"/>
              </w:rPr>
              <w:t>FOR THE QUARTERLY PERIOD ENDED DECEMBER 31, 2016</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tcPr>
          <w:p>
            <w:pPr>
              <w:jc w:val="center"/>
              <w:ind w:left="1113"/>
              <w:spacing w:after="0"/>
              <w:rPr>
                <w:sz w:val="20"/>
                <w:szCs w:val="20"/>
                <w:color w:val="auto"/>
              </w:rPr>
            </w:pPr>
            <w:r>
              <w:rPr>
                <w:rFonts w:ascii="Arial" w:cs="Arial" w:eastAsia="Arial" w:hAnsi="Arial"/>
                <w:sz w:val="18"/>
                <w:szCs w:val="18"/>
                <w:color w:val="auto"/>
                <w:w w:val="98"/>
              </w:rPr>
              <w:t>INDEX TO EXHIBITS</w:t>
            </w:r>
          </w:p>
        </w:tc>
        <w:tc>
          <w:tcPr>
            <w:tcW w:w="0" w:type="dxa"/>
            <w:vAlign w:val="bottom"/>
          </w:tcPr>
          <w:p>
            <w:pPr>
              <w:spacing w:after="0"/>
              <w:rPr>
                <w:sz w:val="1"/>
                <w:szCs w:val="1"/>
                <w:color w:val="auto"/>
              </w:rPr>
            </w:pPr>
          </w:p>
        </w:tc>
      </w:tr>
      <w:tr>
        <w:trPr>
          <w:trHeight w:val="301"/>
        </w:trPr>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762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w:t>
            </w:r>
          </w:p>
        </w:tc>
        <w:tc>
          <w:tcPr>
            <w:tcW w:w="7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8"/>
              </w:rPr>
              <w:t>Indenture, dated as of December 15, 2016, by and among The Scotts Miracle-Gro Company,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Guarantors (as defined therein) and U.S. Bank National Association, as 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5.250% Senior Notes due 2026 (included in 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4.3</w:t>
            </w:r>
          </w:p>
        </w:tc>
        <w:tc>
          <w:tcPr>
            <w:tcW w:w="7740" w:type="dxa"/>
            <w:vAlign w:val="bottom"/>
          </w:tcPr>
          <w:p>
            <w:pPr>
              <w:ind w:left="300"/>
              <w:spacing w:after="0"/>
              <w:rPr>
                <w:sz w:val="20"/>
                <w:szCs w:val="20"/>
                <w:color w:val="auto"/>
              </w:rPr>
            </w:pPr>
            <w:r>
              <w:rPr>
                <w:rFonts w:ascii="Arial" w:cs="Arial" w:eastAsia="Arial" w:hAnsi="Arial"/>
                <w:sz w:val="18"/>
                <w:szCs w:val="18"/>
                <w:color w:val="auto"/>
                <w:w w:val="90"/>
              </w:rPr>
              <w:t>Registration Rights Agreement, dated as of December 15, 2016, by and among The Scotts Miracle-Gro</w:t>
            </w:r>
          </w:p>
        </w:tc>
      </w:tr>
      <w:tr>
        <w:trPr>
          <w:trHeight w:val="216"/>
        </w:trPr>
        <w:tc>
          <w:tcPr>
            <w:tcW w:w="540" w:type="dxa"/>
            <w:vAlign w:val="bottom"/>
          </w:tcPr>
          <w:p>
            <w:pPr>
              <w:spacing w:after="0"/>
              <w:rPr>
                <w:sz w:val="18"/>
                <w:szCs w:val="18"/>
                <w:color w:val="auto"/>
              </w:rPr>
            </w:pPr>
          </w:p>
        </w:tc>
        <w:tc>
          <w:tcPr>
            <w:tcW w:w="7740" w:type="dxa"/>
            <w:vAlign w:val="bottom"/>
          </w:tcPr>
          <w:p>
            <w:pPr>
              <w:ind w:left="300"/>
              <w:spacing w:after="0"/>
              <w:rPr>
                <w:sz w:val="20"/>
                <w:szCs w:val="20"/>
                <w:color w:val="auto"/>
              </w:rPr>
            </w:pPr>
            <w:r>
              <w:rPr>
                <w:rFonts w:ascii="Arial" w:cs="Arial" w:eastAsia="Arial" w:hAnsi="Arial"/>
                <w:sz w:val="18"/>
                <w:szCs w:val="18"/>
                <w:color w:val="auto"/>
                <w:w w:val="93"/>
              </w:rPr>
              <w:t>Company, the guarantors named therein and Merrill Lynch, Pierce, Fenner &amp; Smith Incorporated, as</w:t>
            </w:r>
          </w:p>
        </w:tc>
      </w:tr>
      <w:tr>
        <w:trPr>
          <w:trHeight w:val="230"/>
        </w:trPr>
        <w:tc>
          <w:tcPr>
            <w:tcW w:w="540" w:type="dxa"/>
            <w:vAlign w:val="bottom"/>
          </w:tcPr>
          <w:p>
            <w:pPr>
              <w:spacing w:after="0"/>
              <w:rPr>
                <w:sz w:val="20"/>
                <w:szCs w:val="20"/>
                <w:color w:val="auto"/>
              </w:rPr>
            </w:pPr>
          </w:p>
        </w:tc>
        <w:tc>
          <w:tcPr>
            <w:tcW w:w="7740" w:type="dxa"/>
            <w:vAlign w:val="bottom"/>
          </w:tcPr>
          <w:p>
            <w:pPr>
              <w:ind w:left="300"/>
              <w:spacing w:after="0"/>
              <w:rPr>
                <w:sz w:val="20"/>
                <w:szCs w:val="20"/>
                <w:color w:val="auto"/>
              </w:rPr>
            </w:pPr>
            <w:r>
              <w:rPr>
                <w:rFonts w:ascii="Arial" w:cs="Arial" w:eastAsia="Arial" w:hAnsi="Arial"/>
                <w:sz w:val="18"/>
                <w:szCs w:val="18"/>
                <w:color w:val="auto"/>
              </w:rPr>
              <w:t>representative of the several initial purchasers named therein</w:t>
            </w:r>
          </w:p>
        </w:tc>
      </w:tr>
    </w:tbl>
    <w:p>
      <w:pPr>
        <w:spacing w:after="0" w:line="200" w:lineRule="exact"/>
        <w:rPr>
          <w:sz w:val="20"/>
          <w:szCs w:val="20"/>
          <w:color w:val="auto"/>
        </w:rPr>
      </w:pPr>
    </w:p>
    <w:p>
      <w:pPr>
        <w:spacing w:after="0" w:line="393" w:lineRule="exact"/>
        <w:rPr>
          <w:sz w:val="20"/>
          <w:szCs w:val="20"/>
          <w:color w:val="auto"/>
        </w:rPr>
      </w:pPr>
    </w:p>
    <w:p>
      <w:pPr>
        <w:ind w:left="1300" w:right="640" w:hanging="879"/>
        <w:spacing w:after="0" w:line="264"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Purchase Agreement, dated December 12, 2016, among The Scotts Miracle-Gro Company, the subsidiary guarantors named therein and Merrill Lynch, Pierce, Fenner &amp; Smith Incorporated, as representative of the several initial purchasers named therein</w:t>
      </w:r>
    </w:p>
    <w:p>
      <w:pPr>
        <w:spacing w:after="0" w:line="200" w:lineRule="exact"/>
        <w:rPr>
          <w:sz w:val="20"/>
          <w:szCs w:val="20"/>
          <w:color w:val="auto"/>
        </w:rPr>
      </w:pPr>
    </w:p>
    <w:p>
      <w:pPr>
        <w:spacing w:after="0" w:line="373"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Scotts Miracle-Gro Company Long-Term Incentive Plan (Effective as of January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right="340" w:hanging="879"/>
        <w:spacing w:after="0" w:line="277"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333333"/>
        </w:rPr>
        <w:t>Form of Project Focus Performance Unit Award Agreement under The Scotts Miracle-Gro Company Long-Term Incentive Plan (Effective as of January 30, 2017)</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00" w:right="200" w:hanging="879"/>
        <w:spacing w:after="0" w:line="277"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Standard Performance Unit Award Agreement under The Scotts Miracle-Gro Company Long-Term Incentive Plan (Effective as of January 30, 2017)</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10.5</w:t>
            </w:r>
          </w:p>
        </w:tc>
        <w:tc>
          <w:tcPr>
            <w:tcW w:w="7460" w:type="dxa"/>
            <w:vAlign w:val="bottom"/>
          </w:tcPr>
          <w:p>
            <w:pPr>
              <w:ind w:left="280"/>
              <w:spacing w:after="0"/>
              <w:rPr>
                <w:sz w:val="20"/>
                <w:szCs w:val="20"/>
                <w:color w:val="auto"/>
              </w:rPr>
            </w:pPr>
            <w:r>
              <w:rPr>
                <w:rFonts w:ascii="Arial" w:cs="Arial" w:eastAsia="Arial" w:hAnsi="Arial"/>
                <w:sz w:val="18"/>
                <w:szCs w:val="18"/>
                <w:color w:val="333333"/>
                <w:w w:val="91"/>
              </w:rPr>
              <w:t>Form of Standard Restricted Stock Unit Award Agreement under The Scotts Miracle-Gro Company</w:t>
            </w:r>
          </w:p>
        </w:tc>
      </w:tr>
      <w:tr>
        <w:trPr>
          <w:trHeight w:val="230"/>
        </w:trPr>
        <w:tc>
          <w:tcPr>
            <w:tcW w:w="600" w:type="dxa"/>
            <w:vAlign w:val="bottom"/>
          </w:tcPr>
          <w:p>
            <w:pPr>
              <w:spacing w:after="0"/>
              <w:rPr>
                <w:sz w:val="20"/>
                <w:szCs w:val="20"/>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333333"/>
              </w:rPr>
              <w:t>Long-Term Incentive Plan (Effective as of January 30, 2017)</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10.6</w:t>
            </w:r>
          </w:p>
        </w:tc>
        <w:tc>
          <w:tcPr>
            <w:tcW w:w="7220" w:type="dxa"/>
            <w:vAlign w:val="bottom"/>
          </w:tcPr>
          <w:p>
            <w:pPr>
              <w:ind w:left="280"/>
              <w:spacing w:after="0"/>
              <w:rPr>
                <w:sz w:val="20"/>
                <w:szCs w:val="20"/>
                <w:color w:val="auto"/>
              </w:rPr>
            </w:pPr>
            <w:r>
              <w:rPr>
                <w:rFonts w:ascii="Arial" w:cs="Arial" w:eastAsia="Arial" w:hAnsi="Arial"/>
                <w:sz w:val="18"/>
                <w:szCs w:val="18"/>
                <w:color w:val="333333"/>
                <w:w w:val="91"/>
              </w:rPr>
              <w:t>Form of Standard Non-Qualified Stock Option Award Agreement under The Scotts Miracle-Gro</w:t>
            </w:r>
          </w:p>
        </w:tc>
      </w:tr>
      <w:tr>
        <w:trPr>
          <w:trHeight w:val="230"/>
        </w:trPr>
        <w:tc>
          <w:tcPr>
            <w:tcW w:w="600" w:type="dxa"/>
            <w:vAlign w:val="bottom"/>
          </w:tcPr>
          <w:p>
            <w:pPr>
              <w:spacing w:after="0"/>
              <w:rPr>
                <w:sz w:val="20"/>
                <w:szCs w:val="20"/>
                <w:color w:val="auto"/>
              </w:rPr>
            </w:pPr>
          </w:p>
        </w:tc>
        <w:tc>
          <w:tcPr>
            <w:tcW w:w="7220" w:type="dxa"/>
            <w:vAlign w:val="bottom"/>
          </w:tcPr>
          <w:p>
            <w:pPr>
              <w:ind w:left="280"/>
              <w:spacing w:after="0"/>
              <w:rPr>
                <w:sz w:val="20"/>
                <w:szCs w:val="20"/>
                <w:color w:val="auto"/>
              </w:rPr>
            </w:pPr>
            <w:r>
              <w:rPr>
                <w:rFonts w:ascii="Arial" w:cs="Arial" w:eastAsia="Arial" w:hAnsi="Arial"/>
                <w:sz w:val="18"/>
                <w:szCs w:val="18"/>
                <w:color w:val="333333"/>
              </w:rPr>
              <w:t>Company Long-Term Incentive Plan (Effective as of January 30, 2017)</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The Scotts Miracle-Gro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23495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ind w:left="100"/>
        <w:spacing w:after="0" w:line="295" w:lineRule="auto"/>
        <w:rPr>
          <w:sz w:val="20"/>
          <w:szCs w:val="20"/>
          <w:color w:val="auto"/>
        </w:rPr>
      </w:pPr>
      <w:r>
        <w:rPr>
          <w:rFonts w:ascii="Arial" w:cs="Arial" w:eastAsia="Arial" w:hAnsi="Arial"/>
          <w:sz w:val="16"/>
          <w:szCs w:val="16"/>
          <w:color w:val="auto"/>
        </w:rPr>
        <w:t>reference to the Registrant’s Current Report on Form 8-K filed December 16, 2016 [Exhibit 4.1]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ind w:left="100"/>
        <w:spacing w:after="0" w:line="295" w:lineRule="auto"/>
        <w:rPr>
          <w:sz w:val="20"/>
          <w:szCs w:val="20"/>
          <w:color w:val="auto"/>
        </w:rPr>
      </w:pPr>
      <w:r>
        <w:rPr>
          <w:rFonts w:ascii="Arial" w:cs="Arial" w:eastAsia="Arial" w:hAnsi="Arial"/>
          <w:sz w:val="16"/>
          <w:szCs w:val="16"/>
          <w:color w:val="auto"/>
        </w:rPr>
        <w:t>reference to the Registrant’s Current Report on Form 8-K filed December 16, 2016 [Exhibit 4.2]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ind w:left="100"/>
        <w:spacing w:after="0" w:line="295" w:lineRule="auto"/>
        <w:rPr>
          <w:sz w:val="20"/>
          <w:szCs w:val="20"/>
          <w:color w:val="auto"/>
        </w:rPr>
      </w:pPr>
      <w:r>
        <w:rPr>
          <w:rFonts w:ascii="Arial" w:cs="Arial" w:eastAsia="Arial" w:hAnsi="Arial"/>
          <w:sz w:val="16"/>
          <w:szCs w:val="16"/>
          <w:color w:val="auto"/>
        </w:rPr>
        <w:t>reference to the Registrant’s Current Report on Form 8-K filed December 16, 2016 [Exhibit 4.3]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ind w:left="100"/>
        <w:spacing w:after="0" w:line="295" w:lineRule="auto"/>
        <w:rPr>
          <w:sz w:val="20"/>
          <w:szCs w:val="20"/>
          <w:color w:val="auto"/>
        </w:rPr>
      </w:pPr>
      <w:r>
        <w:rPr>
          <w:rFonts w:ascii="Arial" w:cs="Arial" w:eastAsia="Arial" w:hAnsi="Arial"/>
          <w:sz w:val="16"/>
          <w:szCs w:val="16"/>
          <w:color w:val="auto"/>
        </w:rPr>
        <w:t>reference to the Registrant’s Current Report on Form 8-K filed December 16, 2016 [Exhibit 10.1]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reference to the Registrant’s Current Report on Form 8-K filed January 30, 2017 [Exhibit 10.1]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reference to the Registrant’s Current Report on Form 8-K filed January 30, 2017 [Exhibit 10.2]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reference to the Registrant’s Current Report on Form 8-K filed January 30, 2017 [Exhibit 10.3]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reference to the Registrant’s Current Report on Form 8-K filed January 30, 2017 [Exhibit 10.4]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reference to the Registrant’s Current Report on Form 8-K filed January 30, 2017 [Exhibit 10.5]</w:t>
      </w:r>
    </w:p>
    <w:p>
      <w:pPr>
        <w:spacing w:after="0" w:line="14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900" w:space="180"/>
            <w:col w:w="2260"/>
          </w:cols>
          <w:pgMar w:left="240" w:top="125" w:right="319" w:bottom="1440" w:gutter="0" w:footer="0" w:header="0"/>
        </w:sect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40"/>
          </w:cols>
          <w:pgMar w:left="240" w:top="125" w:right="31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rFonts w:ascii="Arial" w:cs="Arial" w:eastAsia="Arial" w:hAnsi="Arial"/>
                <w:sz w:val="18"/>
                <w:szCs w:val="18"/>
                <w:color w:val="FFFFFF"/>
                <w:w w:val="90"/>
              </w:rPr>
            </w:pPr>
            <w:hyperlink w:anchor="page2">
              <w:r>
                <w:rPr>
                  <w:rFonts w:ascii="Arial" w:cs="Arial" w:eastAsia="Arial" w:hAnsi="Arial"/>
                  <w:sz w:val="18"/>
                  <w:szCs w:val="18"/>
                  <w:color w:val="FFFFFF"/>
                  <w:w w:val="90"/>
                </w:rPr>
                <w:t>Table of Contents</w:t>
              </w:r>
            </w:hyperlink>
          </w:p>
        </w:tc>
        <w:tc>
          <w:tcPr>
            <w:tcW w:w="76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21"/>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1"/>
              </w:rPr>
              <w:t>31.1</w:t>
            </w:r>
          </w:p>
        </w:tc>
        <w:tc>
          <w:tcPr>
            <w:tcW w:w="7620" w:type="dxa"/>
            <w:vAlign w:val="bottom"/>
          </w:tcPr>
          <w:p>
            <w:pPr>
              <w:spacing w:after="0"/>
              <w:rPr>
                <w:sz w:val="20"/>
                <w:szCs w:val="20"/>
                <w:color w:val="auto"/>
              </w:rPr>
            </w:pPr>
            <w:r>
              <w:rPr>
                <w:rFonts w:ascii="Arial" w:cs="Arial" w:eastAsia="Arial" w:hAnsi="Arial"/>
                <w:sz w:val="18"/>
                <w:szCs w:val="18"/>
                <w:color w:val="auto"/>
              </w:rPr>
              <w:t>Rule 13a-14(a)/15d-14(a) Certifications (Principal Executive Officer)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1"/>
              </w:rPr>
              <w:t>31.2</w:t>
            </w:r>
          </w:p>
        </w:tc>
        <w:tc>
          <w:tcPr>
            <w:tcW w:w="7620" w:type="dxa"/>
            <w:vAlign w:val="bottom"/>
          </w:tcPr>
          <w:p>
            <w:pPr>
              <w:spacing w:after="0"/>
              <w:rPr>
                <w:sz w:val="20"/>
                <w:szCs w:val="20"/>
                <w:color w:val="auto"/>
              </w:rPr>
            </w:pPr>
            <w:r>
              <w:rPr>
                <w:rFonts w:ascii="Arial" w:cs="Arial" w:eastAsia="Arial" w:hAnsi="Arial"/>
                <w:sz w:val="18"/>
                <w:szCs w:val="18"/>
                <w:color w:val="auto"/>
              </w:rPr>
              <w:t>Rule 13a-14(a)/15d-14(a) Certifications (Principal Financial Officer)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32</w:t>
            </w:r>
          </w:p>
        </w:tc>
        <w:tc>
          <w:tcPr>
            <w:tcW w:w="7620" w:type="dxa"/>
            <w:vAlign w:val="bottom"/>
          </w:tcPr>
          <w:p>
            <w:pPr>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7620" w:type="dxa"/>
            <w:vAlign w:val="bottom"/>
          </w:tcPr>
          <w:p>
            <w:pPr>
              <w:spacing w:after="0"/>
              <w:rPr>
                <w:sz w:val="20"/>
                <w:szCs w:val="20"/>
                <w:color w:val="auto"/>
              </w:rPr>
            </w:pPr>
            <w:r>
              <w:rPr>
                <w:rFonts w:ascii="Arial" w:cs="Arial" w:eastAsia="Arial" w:hAnsi="Arial"/>
                <w:sz w:val="18"/>
                <w:szCs w:val="18"/>
                <w:color w:val="auto"/>
              </w:rPr>
              <w:t>XBRL Instance Document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3"/>
              </w:rPr>
              <w:t>101.SCH</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0"/>
              </w:rPr>
              <w:t>101.DEF</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700" w:hanging="665"/>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60"/>
          </w:cols>
          <w:pgMar w:left="240" w:top="125" w:right="13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Directly owned subsidiaries, as of December 31, 2016,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American Agritech, L.L.C.</w:t>
            </w:r>
          </w:p>
        </w:tc>
        <w:tc>
          <w:tcPr>
            <w:tcW w:w="2500" w:type="dxa"/>
            <w:vAlign w:val="bottom"/>
          </w:tcPr>
          <w:p>
            <w:pPr>
              <w:ind w:left="20"/>
              <w:spacing w:after="0"/>
              <w:rPr>
                <w:sz w:val="20"/>
                <w:szCs w:val="20"/>
                <w:color w:val="auto"/>
              </w:rPr>
            </w:pPr>
            <w:r>
              <w:rPr>
                <w:rFonts w:ascii="Arial" w:cs="Arial" w:eastAsia="Arial" w:hAnsi="Arial"/>
                <w:sz w:val="18"/>
                <w:szCs w:val="18"/>
                <w:color w:val="auto"/>
              </w:rPr>
              <w:t>Arizona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Holland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Holland 2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Worldwide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Nederland 2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Canada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AS</w:t>
            </w:r>
          </w:p>
        </w:tc>
        <w:tc>
          <w:tcPr>
            <w:tcW w:w="250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405"/>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81.3%.</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Hawthorne Gardening B.V.'s ownership is 95%.</w:t>
      </w:r>
    </w:p>
    <w:p>
      <w:pPr>
        <w:sectPr>
          <w:pgSz w:w="11900" w:h="16838" w:orient="portrait"/>
          <w:cols w:equalWidth="0" w:num="1">
            <w:col w:w="11420"/>
          </w:cols>
          <w:pgMar w:left="240" w:top="337" w:right="239" w:bottom="1440" w:gutter="0" w:footer="0" w:header="0"/>
        </w:sectPr>
      </w:pPr>
    </w:p>
    <w:bookmarkStart w:id="57" w:name="page58"/>
    <w:bookmarkEnd w:id="57"/>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Asia,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Australia Pty Limited</w:t>
      </w:r>
    </w:p>
    <w:p>
      <w:pPr>
        <w:spacing w:after="0" w:line="63" w:lineRule="exact"/>
        <w:rPr>
          <w:sz w:val="20"/>
          <w:szCs w:val="20"/>
          <w:color w:val="auto"/>
        </w:rPr>
      </w:pPr>
    </w:p>
    <w:p>
      <w:pPr>
        <w:ind w:left="38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Czech s.r.o.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7</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Celaflor GmbH</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Celaflor HGmbH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The Scotts Company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Poland Sp.z.o.o.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9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41" w:lineRule="exact"/>
        <w:rPr>
          <w:sz w:val="20"/>
          <w:szCs w:val="20"/>
          <w:color w:val="auto"/>
        </w:rPr>
      </w:pPr>
    </w:p>
    <w:p>
      <w:pPr>
        <w:ind w:left="105" w:hanging="105"/>
        <w:spacing w:after="0"/>
        <w:tabs>
          <w:tab w:leader="none" w:pos="105"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OMS Investments, Inc. owns 0.1% and Scotts-Sierra Investments LLC owns the remaining 99.9%.</w:t>
      </w:r>
    </w:p>
    <w:p>
      <w:pPr>
        <w:spacing w:after="0" w:line="1" w:lineRule="exact"/>
        <w:rPr>
          <w:rFonts w:ascii="Arial" w:cs="Arial" w:eastAsia="Arial" w:hAnsi="Arial"/>
          <w:sz w:val="22"/>
          <w:szCs w:val="22"/>
          <w:color w:val="auto"/>
          <w:vertAlign w:val="superscript"/>
        </w:rPr>
      </w:pPr>
    </w:p>
    <w:p>
      <w:pPr>
        <w:ind w:left="5"/>
        <w:spacing w:after="0" w:line="180"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Scotts Canada Ltd.'s ownership is 50.0%.</w:t>
      </w:r>
    </w:p>
    <w:p>
      <w:pPr>
        <w:ind w:left="5"/>
        <w:spacing w:after="0"/>
        <w:rPr>
          <w:rFonts w:ascii="Arial" w:cs="Arial" w:eastAsia="Arial" w:hAnsi="Arial"/>
          <w:sz w:val="22"/>
          <w:szCs w:val="22"/>
          <w:color w:val="auto"/>
          <w:vertAlign w:val="superscript"/>
        </w:rPr>
      </w:pPr>
      <w:r>
        <w:rPr>
          <w:rFonts w:ascii="Arial" w:cs="Arial" w:eastAsia="Arial" w:hAnsi="Arial"/>
          <w:sz w:val="22"/>
          <w:szCs w:val="22"/>
          <w:color w:val="auto"/>
          <w:vertAlign w:val="superscript"/>
        </w:rPr>
        <w:t>7</w:t>
      </w:r>
      <w:r>
        <w:rPr>
          <w:rFonts w:ascii="Arial" w:cs="Arial" w:eastAsia="Arial" w:hAnsi="Arial"/>
          <w:sz w:val="16"/>
          <w:szCs w:val="16"/>
          <w:color w:val="auto"/>
        </w:rPr>
        <w:t xml:space="preserve"> The Scotts Company LLC owns 0.5% and Scotts-Sierra Investments LLC owns the remaining 99.5%.</w:t>
      </w:r>
    </w:p>
    <w:p>
      <w:pPr>
        <w:sectPr>
          <w:pgSz w:w="11900" w:h="16838" w:orient="portrait"/>
          <w:cols w:equalWidth="0" w:num="1">
            <w:col w:w="10184"/>
          </w:cols>
          <w:pgMar w:left="275" w:top="963" w:right="1440"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31, 2016;</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February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31, 2016;</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February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December 31, 2016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February 9, 2017</w:t>
            </w:r>
          </w:p>
        </w:tc>
        <w:tc>
          <w:tcPr>
            <w:tcW w:w="5580" w:type="dxa"/>
            <w:vAlign w:val="bottom"/>
          </w:tcPr>
          <w:p>
            <w:pPr>
              <w:ind w:left="360"/>
              <w:spacing w:after="0"/>
              <w:rPr>
                <w:sz w:val="20"/>
                <w:szCs w:val="20"/>
                <w:color w:val="auto"/>
              </w:rPr>
            </w:pPr>
            <w:r>
              <w:rPr>
                <w:rFonts w:ascii="Arial" w:cs="Arial" w:eastAsia="Arial" w:hAnsi="Arial"/>
                <w:sz w:val="18"/>
                <w:szCs w:val="18"/>
                <w:color w:val="auto"/>
              </w:rPr>
              <w:t>February 9, 2017</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bullet"/>
      <w:start w:val="1"/>
    </w:lvl>
  </w:abstractNum>
  <w:abstractNum w:abstractNumId="16">
    <w:nsid w:val="7C83E458"/>
    <w:multiLevelType w:val="hybridMultilevel"/>
    <w:lvl w:ilvl="0">
      <w:lvlJc w:val="left"/>
      <w:lvlText w:val="5"/>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2019-12-29T08:36:07Z</dcterms:created>
  <dcterms:modified xsi:type="dcterms:W3CDTF">2019-12-29T08:36:07Z</dcterms:modified>
</cp:coreProperties>
</file>