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 C. 20549</w:t>
      </w:r>
    </w:p>
    <w:p>
      <w:pPr>
        <w:spacing w:after="0" w:line="202" w:lineRule="exact"/>
        <w:rPr>
          <w:sz w:val="24"/>
          <w:szCs w:val="24"/>
          <w:color w:val="auto"/>
        </w:rPr>
      </w:pPr>
    </w:p>
    <w:p>
      <w:pPr>
        <w:ind w:left="1800" w:hanging="423"/>
        <w:spacing w:after="0"/>
        <w:tabs>
          <w:tab w:leader="none" w:pos="1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For the quarterly period ended December 30, 1995</w:t>
      </w:r>
    </w:p>
    <w:p>
      <w:pPr>
        <w:spacing w:after="0" w:line="20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4"/>
          <w:szCs w:val="24"/>
          <w:color w:val="auto"/>
        </w:rPr>
      </w:pPr>
    </w:p>
    <w:p>
      <w:pPr>
        <w:ind w:left="1580" w:hanging="203"/>
        <w:spacing w:after="0"/>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EXCHANGE ACT OF 1934</w:t>
      </w:r>
    </w:p>
    <w:p>
      <w:pPr>
        <w:spacing w:after="0" w:line="207"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For the transition period from ____________ to ____________</w:t>
      </w:r>
    </w:p>
    <w:p>
      <w:pPr>
        <w:spacing w:after="0" w:line="218"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Commission file number 1-11593</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THE SCOTTS COMPANY</w:t>
      </w:r>
    </w:p>
    <w:p>
      <w:pPr>
        <w:jc w:val="center"/>
        <w:ind w:right="19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0" w:gutter="0" w:footer="0" w:header="0"/>
        </w:sectPr>
      </w:pPr>
    </w:p>
    <w:p>
      <w:pPr>
        <w:spacing w:after="0" w:line="20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OHIO</w:t>
      </w:r>
    </w:p>
    <w:p>
      <w:pPr>
        <w:spacing w:after="0" w:line="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31-1199481</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(I.R.S. Employer Identification No.)</w:t>
      </w:r>
    </w:p>
    <w:p>
      <w:pPr>
        <w:spacing w:after="0" w:line="402" w:lineRule="exact"/>
        <w:rPr>
          <w:sz w:val="24"/>
          <w:szCs w:val="24"/>
          <w:color w:val="auto"/>
        </w:rPr>
      </w:pPr>
    </w:p>
    <w:p>
      <w:pPr>
        <w:sectPr>
          <w:pgSz w:w="11900" w:h="16838" w:orient="portrait"/>
          <w:cols w:equalWidth="0" w:num="2">
            <w:col w:w="3820" w:space="720"/>
            <w:col w:w="5679"/>
          </w:cols>
          <w:pgMar w:left="240" w:top="244" w:right="1440" w:bottom="0" w:gutter="0" w:footer="0" w:header="0"/>
          <w:type w:val="continuous"/>
        </w:sectPr>
      </w:pPr>
    </w:p>
    <w:p>
      <w:pPr>
        <w:spacing w:after="0" w:line="18"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14111 Scottslawn Road</w:t>
      </w:r>
    </w:p>
    <w:p>
      <w:pPr>
        <w:ind w:left="2960"/>
        <w:spacing w:after="0" w:line="238" w:lineRule="auto"/>
        <w:rPr>
          <w:sz w:val="20"/>
          <w:szCs w:val="20"/>
          <w:color w:val="auto"/>
        </w:rPr>
      </w:pPr>
      <w:r>
        <w:rPr>
          <w:rFonts w:ascii="Courier New" w:cs="Courier New" w:eastAsia="Courier New" w:hAnsi="Courier New"/>
          <w:sz w:val="18"/>
          <w:szCs w:val="18"/>
          <w:color w:val="auto"/>
        </w:rPr>
        <w:t>MARYSVILLE, OHIO 43041</w:t>
      </w:r>
    </w:p>
    <w:p>
      <w:pPr>
        <w:ind w:left="2000"/>
        <w:spacing w:after="0"/>
        <w:rPr>
          <w:sz w:val="20"/>
          <w:szCs w:val="20"/>
          <w:color w:val="auto"/>
        </w:rPr>
      </w:pPr>
      <w:r>
        <w:rPr>
          <w:rFonts w:ascii="Courier New" w:cs="Courier New" w:eastAsia="Courier New" w:hAnsi="Courier New"/>
          <w:sz w:val="18"/>
          <w:szCs w:val="18"/>
          <w:color w:val="auto"/>
        </w:rPr>
        <w:t>(Address of principal executive offices)</w:t>
      </w:r>
    </w:p>
    <w:p>
      <w:pPr>
        <w:ind w:left="3580"/>
        <w:spacing w:after="0" w:line="237" w:lineRule="auto"/>
        <w:rPr>
          <w:sz w:val="20"/>
          <w:szCs w:val="20"/>
          <w:color w:val="auto"/>
        </w:rPr>
      </w:pPr>
      <w:r>
        <w:rPr>
          <w:rFonts w:ascii="Courier New" w:cs="Courier New" w:eastAsia="Courier New" w:hAnsi="Courier New"/>
          <w:sz w:val="18"/>
          <w:szCs w:val="18"/>
          <w:color w:val="auto"/>
        </w:rPr>
        <w:t>(Zip Code)</w:t>
      </w:r>
    </w:p>
    <w:p>
      <w:pPr>
        <w:spacing w:after="0" w:line="202"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(513)</w:t>
            </w:r>
          </w:p>
        </w:tc>
        <w:tc>
          <w:tcPr>
            <w:tcW w:w="38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644-0011</w:t>
            </w:r>
          </w:p>
        </w:tc>
      </w:tr>
      <w:tr>
        <w:trPr>
          <w:trHeight w:val="203"/>
        </w:trPr>
        <w:tc>
          <w:tcPr>
            <w:tcW w:w="41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8"/>
              </w:rPr>
              <w:t>(Registrant's telephone number,</w:t>
            </w:r>
          </w:p>
        </w:tc>
        <w:tc>
          <w:tcPr>
            <w:tcW w:w="3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including area code)</w:t>
            </w:r>
          </w:p>
        </w:tc>
      </w:tr>
      <w:tr>
        <w:trPr>
          <w:trHeight w:val="405"/>
        </w:trPr>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NO</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CHANGE</w:t>
            </w:r>
          </w:p>
        </w:tc>
        <w:tc>
          <w:tcPr>
            <w:tcW w:w="3100" w:type="dxa"/>
            <w:vAlign w:val="bottom"/>
          </w:tcPr>
          <w:p>
            <w:pPr>
              <w:spacing w:after="0"/>
              <w:rPr>
                <w:sz w:val="24"/>
                <w:szCs w:val="24"/>
                <w:color w:val="auto"/>
              </w:rPr>
            </w:pPr>
          </w:p>
        </w:tc>
      </w:tr>
      <w:tr>
        <w:trPr>
          <w:trHeight w:val="203"/>
        </w:trPr>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(Former name, former address and</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former</w:t>
            </w:r>
          </w:p>
        </w:tc>
        <w:tc>
          <w:tcPr>
            <w:tcW w:w="3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fiscal year, if changed since</w:t>
            </w:r>
          </w:p>
        </w:tc>
      </w:tr>
      <w:tr>
        <w:trPr>
          <w:trHeight w:val="203"/>
        </w:trPr>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last</w:t>
            </w:r>
          </w:p>
        </w:tc>
        <w:tc>
          <w:tcPr>
            <w:tcW w:w="3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report.)</w:t>
            </w:r>
          </w:p>
        </w:tc>
      </w:tr>
    </w:tbl>
    <w:p>
      <w:pPr>
        <w:spacing w:after="0" w:line="207" w:lineRule="exact"/>
        <w:rPr>
          <w:sz w:val="24"/>
          <w:szCs w:val="24"/>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3" w:lineRule="exact"/>
        <w:rPr>
          <w:sz w:val="24"/>
          <w:szCs w:val="24"/>
          <w:color w:val="auto"/>
        </w:rPr>
      </w:pPr>
    </w:p>
    <w:p>
      <w:pPr>
        <w:ind w:left="4440"/>
        <w:spacing w:after="0"/>
        <w:tabs>
          <w:tab w:leader="none" w:pos="5040" w:val="left"/>
          <w:tab w:leader="none" w:pos="568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No</w:t>
      </w:r>
    </w:p>
    <w:p>
      <w:pPr>
        <w:spacing w:after="0" w:line="200" w:lineRule="exact"/>
        <w:rPr>
          <w:sz w:val="24"/>
          <w:szCs w:val="24"/>
          <w:color w:val="auto"/>
        </w:rPr>
      </w:pPr>
    </w:p>
    <w:p>
      <w:pPr>
        <w:spacing w:after="0" w:line="209" w:lineRule="exact"/>
        <w:rPr>
          <w:sz w:val="24"/>
          <w:szCs w:val="24"/>
          <w:color w:val="auto"/>
        </w:rPr>
      </w:pPr>
    </w:p>
    <w:p>
      <w:pPr>
        <w:jc w:val="both"/>
        <w:ind w:right="199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344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18,883,994</w:t>
            </w:r>
          </w:p>
        </w:tc>
        <w:tc>
          <w:tcPr>
            <w:tcW w:w="3780" w:type="dxa"/>
            <w:vAlign w:val="bottom"/>
            <w:gridSpan w:val="2"/>
          </w:tcPr>
          <w:p>
            <w:pPr>
              <w:spacing w:after="0"/>
              <w:rPr>
                <w:sz w:val="20"/>
                <w:szCs w:val="20"/>
                <w:color w:val="auto"/>
              </w:rPr>
            </w:pPr>
            <w:r>
              <w:rPr>
                <w:rFonts w:ascii="Courier New" w:cs="Courier New" w:eastAsia="Courier New" w:hAnsi="Courier New"/>
                <w:sz w:val="18"/>
                <w:szCs w:val="18"/>
                <w:color w:val="auto"/>
              </w:rPr>
              <w:t>Outstanding at February 9, 1996</w:t>
            </w:r>
          </w:p>
        </w:tc>
      </w:tr>
      <w:tr>
        <w:trPr>
          <w:trHeight w:val="203"/>
        </w:trPr>
        <w:tc>
          <w:tcPr>
            <w:tcW w:w="4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w:t>
            </w:r>
          </w:p>
        </w:tc>
        <w:tc>
          <w:tcPr>
            <w:tcW w:w="37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44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Common Shares, voting, no par value</w:t>
            </w:r>
          </w:p>
        </w:tc>
        <w:tc>
          <w:tcPr>
            <w:tcW w:w="24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608"/>
        </w:trPr>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00" w:type="dxa"/>
            <w:vAlign w:val="bottom"/>
          </w:tcPr>
          <w:p>
            <w:pPr>
              <w:jc w:val="right"/>
              <w:spacing w:after="0"/>
              <w:rPr>
                <w:sz w:val="20"/>
                <w:szCs w:val="20"/>
                <w:color w:val="auto"/>
              </w:rPr>
            </w:pPr>
            <w:r>
              <w:rPr>
                <w:rFonts w:ascii="Courier New" w:cs="Courier New" w:eastAsia="Courier New" w:hAnsi="Courier New"/>
                <w:sz w:val="18"/>
                <w:szCs w:val="18"/>
                <w:color w:val="auto"/>
              </w:rPr>
              <w:t>Page 1 of 18</w:t>
            </w:r>
          </w:p>
        </w:tc>
        <w:tc>
          <w:tcPr>
            <w:tcW w:w="2420" w:type="dxa"/>
            <w:vAlign w:val="bottom"/>
          </w:tcPr>
          <w:p>
            <w:pPr>
              <w:ind w:left="100"/>
              <w:spacing w:after="0"/>
              <w:rPr>
                <w:sz w:val="20"/>
                <w:szCs w:val="20"/>
                <w:color w:val="auto"/>
              </w:rPr>
            </w:pPr>
            <w:r>
              <w:rPr>
                <w:rFonts w:ascii="Courier New" w:cs="Courier New" w:eastAsia="Courier New" w:hAnsi="Courier New"/>
                <w:sz w:val="18"/>
                <w:szCs w:val="18"/>
                <w:color w:val="auto"/>
              </w:rPr>
              <w:t>pages</w:t>
            </w:r>
          </w:p>
        </w:tc>
        <w:tc>
          <w:tcPr>
            <w:tcW w:w="1360" w:type="dxa"/>
            <w:vAlign w:val="bottom"/>
          </w:tcPr>
          <w:p>
            <w:pPr>
              <w:spacing w:after="0"/>
              <w:rPr>
                <w:sz w:val="24"/>
                <w:szCs w:val="24"/>
                <w:color w:val="auto"/>
              </w:rPr>
            </w:pPr>
          </w:p>
        </w:tc>
      </w:tr>
      <w:tr>
        <w:trPr>
          <w:trHeight w:val="203"/>
        </w:trPr>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320" w:type="dxa"/>
            <w:vAlign w:val="bottom"/>
            <w:gridSpan w:val="2"/>
          </w:tcPr>
          <w:p>
            <w:pPr>
              <w:jc w:val="right"/>
              <w:ind w:right="1392"/>
              <w:spacing w:after="0" w:line="203" w:lineRule="exact"/>
              <w:rPr>
                <w:sz w:val="20"/>
                <w:szCs w:val="20"/>
                <w:color w:val="auto"/>
              </w:rPr>
            </w:pPr>
            <w:r>
              <w:rPr>
                <w:rFonts w:ascii="Courier New" w:cs="Courier New" w:eastAsia="Courier New" w:hAnsi="Courier New"/>
                <w:sz w:val="18"/>
                <w:szCs w:val="18"/>
                <w:color w:val="auto"/>
              </w:rPr>
              <w:t>Exhibit Index at page 16</w:t>
            </w:r>
          </w:p>
        </w:tc>
        <w:tc>
          <w:tcPr>
            <w:tcW w:w="1360" w:type="dxa"/>
            <w:vAlign w:val="bottom"/>
          </w:tcPr>
          <w:p>
            <w:pPr>
              <w:spacing w:after="0"/>
              <w:rPr>
                <w:sz w:val="17"/>
                <w:szCs w:val="17"/>
                <w:color w:val="auto"/>
              </w:rPr>
            </w:pPr>
          </w:p>
        </w:tc>
      </w:tr>
      <w:tr>
        <w:trPr>
          <w:trHeight w:val="783"/>
        </w:trPr>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THE SCOTTS COMPANY AND SUBSIDIARIES</w:t>
            </w:r>
          </w:p>
        </w:tc>
        <w:tc>
          <w:tcPr>
            <w:tcW w:w="1360" w:type="dxa"/>
            <w:vAlign w:val="bottom"/>
          </w:tcPr>
          <w:p>
            <w:pPr>
              <w:spacing w:after="0"/>
              <w:rPr>
                <w:sz w:val="24"/>
                <w:szCs w:val="24"/>
                <w:color w:val="auto"/>
              </w:rPr>
            </w:pPr>
          </w:p>
        </w:tc>
      </w:tr>
      <w:tr>
        <w:trPr>
          <w:trHeight w:val="405"/>
        </w:trPr>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00" w:type="dxa"/>
            <w:vAlign w:val="bottom"/>
          </w:tcPr>
          <w:p>
            <w:pPr>
              <w:jc w:val="right"/>
              <w:spacing w:after="0"/>
              <w:rPr>
                <w:sz w:val="20"/>
                <w:szCs w:val="20"/>
                <w:color w:val="auto"/>
              </w:rPr>
            </w:pPr>
            <w:r>
              <w:rPr>
                <w:rFonts w:ascii="Courier New" w:cs="Courier New" w:eastAsia="Courier New" w:hAnsi="Courier New"/>
                <w:sz w:val="18"/>
                <w:szCs w:val="18"/>
                <w:color w:val="auto"/>
              </w:rPr>
              <w:t>INDEX</w:t>
            </w:r>
          </w:p>
        </w:tc>
        <w:tc>
          <w:tcPr>
            <w:tcW w:w="2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608"/>
        </w:trPr>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PAGE NO.</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34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Financial Information:</w:t>
            </w:r>
          </w:p>
        </w:tc>
        <w:tc>
          <w:tcPr>
            <w:tcW w:w="2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05"/>
        </w:trPr>
        <w:tc>
          <w:tcPr>
            <w:tcW w:w="1000" w:type="dxa"/>
            <w:vAlign w:val="bottom"/>
          </w:tcPr>
          <w:p>
            <w:pPr>
              <w:ind w:left="220"/>
              <w:spacing w:after="0"/>
              <w:rPr>
                <w:sz w:val="20"/>
                <w:szCs w:val="20"/>
                <w:color w:val="auto"/>
              </w:rPr>
            </w:pPr>
            <w:r>
              <w:rPr>
                <w:rFonts w:ascii="Courier New" w:cs="Courier New" w:eastAsia="Courier New" w:hAnsi="Courier New"/>
                <w:sz w:val="18"/>
                <w:szCs w:val="18"/>
                <w:color w:val="auto"/>
              </w:rPr>
              <w:t>Item 1.</w:t>
            </w:r>
          </w:p>
        </w:tc>
        <w:tc>
          <w:tcPr>
            <w:tcW w:w="34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Financial Statements</w:t>
            </w:r>
          </w:p>
        </w:tc>
        <w:tc>
          <w:tcPr>
            <w:tcW w:w="2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1000" w:type="dxa"/>
            <w:vAlign w:val="bottom"/>
          </w:tcPr>
          <w:p>
            <w:pPr>
              <w:spacing w:after="0"/>
              <w:rPr>
                <w:sz w:val="17"/>
                <w:szCs w:val="17"/>
                <w:color w:val="auto"/>
              </w:rPr>
            </w:pPr>
          </w:p>
        </w:tc>
        <w:tc>
          <w:tcPr>
            <w:tcW w:w="58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Consolidated Statements of Income - Three month</w:t>
            </w:r>
          </w:p>
        </w:tc>
        <w:tc>
          <w:tcPr>
            <w:tcW w:w="136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34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periods ended December 31, 1994</w:t>
            </w:r>
          </w:p>
        </w:tc>
        <w:tc>
          <w:tcPr>
            <w:tcW w:w="2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December 30, 1995</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 3</w:t>
            </w:r>
          </w:p>
        </w:tc>
      </w:tr>
      <w:tr>
        <w:trPr>
          <w:trHeight w:val="405"/>
        </w:trPr>
        <w:tc>
          <w:tcPr>
            <w:tcW w:w="1000" w:type="dxa"/>
            <w:vAlign w:val="bottom"/>
          </w:tcPr>
          <w:p>
            <w:pPr>
              <w:spacing w:after="0"/>
              <w:rPr>
                <w:sz w:val="24"/>
                <w:szCs w:val="24"/>
                <w:color w:val="auto"/>
              </w:rPr>
            </w:pPr>
          </w:p>
        </w:tc>
        <w:tc>
          <w:tcPr>
            <w:tcW w:w="344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7"/>
              </w:rPr>
              <w:t>Consolidated Statements of Cash</w:t>
            </w:r>
          </w:p>
        </w:tc>
        <w:tc>
          <w:tcPr>
            <w:tcW w:w="2420" w:type="dxa"/>
            <w:vAlign w:val="bottom"/>
          </w:tcPr>
          <w:p>
            <w:pPr>
              <w:ind w:left="100"/>
              <w:spacing w:after="0"/>
              <w:rPr>
                <w:sz w:val="20"/>
                <w:szCs w:val="20"/>
                <w:color w:val="auto"/>
              </w:rPr>
            </w:pPr>
            <w:r>
              <w:rPr>
                <w:rFonts w:ascii="Courier New" w:cs="Courier New" w:eastAsia="Courier New" w:hAnsi="Courier New"/>
                <w:sz w:val="18"/>
                <w:szCs w:val="18"/>
                <w:color w:val="auto"/>
              </w:rPr>
              <w:t>Flows - Three month</w:t>
            </w:r>
          </w:p>
        </w:tc>
        <w:tc>
          <w:tcPr>
            <w:tcW w:w="1360" w:type="dxa"/>
            <w:vAlign w:val="bottom"/>
          </w:tcPr>
          <w:p>
            <w:pPr>
              <w:spacing w:after="0"/>
              <w:rPr>
                <w:sz w:val="24"/>
                <w:szCs w:val="24"/>
                <w:color w:val="auto"/>
              </w:rPr>
            </w:pPr>
          </w:p>
        </w:tc>
      </w:tr>
      <w:tr>
        <w:trPr>
          <w:trHeight w:val="203"/>
        </w:trPr>
        <w:tc>
          <w:tcPr>
            <w:tcW w:w="1000" w:type="dxa"/>
            <w:vAlign w:val="bottom"/>
          </w:tcPr>
          <w:p>
            <w:pPr>
              <w:spacing w:after="0"/>
              <w:rPr>
                <w:sz w:val="17"/>
                <w:szCs w:val="17"/>
                <w:color w:val="auto"/>
              </w:rPr>
            </w:pPr>
          </w:p>
        </w:tc>
        <w:tc>
          <w:tcPr>
            <w:tcW w:w="34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periods ended December 31, 1994</w:t>
            </w:r>
          </w:p>
        </w:tc>
        <w:tc>
          <w:tcPr>
            <w:tcW w:w="2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December 30, 1995</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 4</w:t>
            </w:r>
          </w:p>
        </w:tc>
      </w:tr>
      <w:tr>
        <w:trPr>
          <w:trHeight w:val="405"/>
        </w:trPr>
        <w:tc>
          <w:tcPr>
            <w:tcW w:w="1000" w:type="dxa"/>
            <w:vAlign w:val="bottom"/>
          </w:tcPr>
          <w:p>
            <w:pPr>
              <w:spacing w:after="0"/>
              <w:rPr>
                <w:sz w:val="24"/>
                <w:szCs w:val="24"/>
                <w:color w:val="auto"/>
              </w:rPr>
            </w:pPr>
          </w:p>
        </w:tc>
        <w:tc>
          <w:tcPr>
            <w:tcW w:w="34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Consolidated Balance Sheets -</w:t>
            </w:r>
          </w:p>
        </w:tc>
        <w:tc>
          <w:tcPr>
            <w:tcW w:w="2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1000" w:type="dxa"/>
            <w:vAlign w:val="bottom"/>
          </w:tcPr>
          <w:p>
            <w:pPr>
              <w:spacing w:after="0"/>
              <w:rPr>
                <w:sz w:val="17"/>
                <w:szCs w:val="17"/>
                <w:color w:val="auto"/>
              </w:rPr>
            </w:pPr>
          </w:p>
        </w:tc>
        <w:tc>
          <w:tcPr>
            <w:tcW w:w="34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December 31, 1994, December 30,</w:t>
            </w:r>
          </w:p>
        </w:tc>
        <w:tc>
          <w:tcPr>
            <w:tcW w:w="2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1995 and September</w:t>
            </w:r>
          </w:p>
        </w:tc>
        <w:tc>
          <w:tcPr>
            <w:tcW w:w="136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30,</w:t>
            </w:r>
          </w:p>
        </w:tc>
        <w:tc>
          <w:tcPr>
            <w:tcW w:w="5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1995 ....................................................</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w:t>
            </w:r>
          </w:p>
        </w:tc>
      </w:tr>
      <w:tr>
        <w:trPr>
          <w:trHeight w:val="405"/>
        </w:trPr>
        <w:tc>
          <w:tcPr>
            <w:tcW w:w="1000" w:type="dxa"/>
            <w:vAlign w:val="bottom"/>
          </w:tcPr>
          <w:p>
            <w:pPr>
              <w:spacing w:after="0"/>
              <w:rPr>
                <w:sz w:val="24"/>
                <w:szCs w:val="24"/>
                <w:color w:val="auto"/>
              </w:rPr>
            </w:pPr>
          </w:p>
        </w:tc>
        <w:tc>
          <w:tcPr>
            <w:tcW w:w="344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7"/>
              </w:rPr>
              <w:t>Notes to Consolidated Financial</w:t>
            </w:r>
          </w:p>
        </w:tc>
        <w:tc>
          <w:tcPr>
            <w:tcW w:w="2420" w:type="dxa"/>
            <w:vAlign w:val="bottom"/>
          </w:tcPr>
          <w:p>
            <w:pPr>
              <w:ind w:left="100"/>
              <w:spacing w:after="0"/>
              <w:rPr>
                <w:sz w:val="20"/>
                <w:szCs w:val="20"/>
                <w:color w:val="auto"/>
              </w:rPr>
            </w:pPr>
            <w:r>
              <w:rPr>
                <w:rFonts w:ascii="Courier New" w:cs="Courier New" w:eastAsia="Courier New" w:hAnsi="Courier New"/>
                <w:sz w:val="18"/>
                <w:szCs w:val="18"/>
                <w:color w:val="auto"/>
                <w:w w:val="76"/>
              </w:rPr>
              <w:t>Statements .................</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6-10</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ind w:left="220"/>
        <w:spacing w:after="0"/>
        <w:tabs>
          <w:tab w:leader="none" w:pos="11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Management's Discussion and Analysis of</w:t>
      </w:r>
    </w:p>
    <w:p>
      <w:pPr>
        <w:jc w:val="right"/>
        <w:ind w:right="2199"/>
        <w:spacing w:after="0"/>
        <w:tabs>
          <w:tab w:leader="dot" w:pos="520" w:val="left"/>
        </w:tabs>
        <w:rPr>
          <w:sz w:val="20"/>
          <w:szCs w:val="20"/>
          <w:color w:val="auto"/>
        </w:rPr>
      </w:pPr>
      <w:r>
        <w:rPr>
          <w:rFonts w:ascii="Courier New" w:cs="Courier New" w:eastAsia="Courier New" w:hAnsi="Courier New"/>
          <w:sz w:val="18"/>
          <w:szCs w:val="18"/>
          <w:color w:val="auto"/>
        </w:rPr>
        <w:t>Financial Condition and Results of Operations</w:t>
      </w:r>
      <w:r>
        <w:rPr>
          <w:sz w:val="20"/>
          <w:szCs w:val="20"/>
          <w:color w:val="auto"/>
        </w:rPr>
        <w:tab/>
      </w:r>
      <w:r>
        <w:rPr>
          <w:rFonts w:ascii="Courier New" w:cs="Courier New" w:eastAsia="Courier New" w:hAnsi="Courier New"/>
          <w:sz w:val="16"/>
          <w:szCs w:val="16"/>
          <w:color w:val="auto"/>
        </w:rPr>
        <w:t>11-13</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ind w:left="220"/>
        <w:spacing w:after="0"/>
        <w:tabs>
          <w:tab w:leader="none" w:pos="1140" w:val="left"/>
          <w:tab w:leader="dot" w:pos="7580" w:val="left"/>
        </w:tabs>
        <w:rPr>
          <w:sz w:val="20"/>
          <w:szCs w:val="20"/>
          <w:color w:val="auto"/>
        </w:rPr>
      </w:pPr>
      <w:r>
        <w:rPr>
          <w:rFonts w:ascii="Courier New" w:cs="Courier New" w:eastAsia="Courier New" w:hAnsi="Courier New"/>
          <w:sz w:val="18"/>
          <w:szCs w:val="18"/>
          <w:color w:val="auto"/>
        </w:rPr>
        <w:t>Item 1.</w:t>
        <w:tab/>
        <w:t>Legal Proceedings</w:t>
      </w:r>
      <w:r>
        <w:rPr>
          <w:sz w:val="20"/>
          <w:szCs w:val="20"/>
          <w:color w:val="auto"/>
        </w:rPr>
        <w:tab/>
      </w:r>
      <w:r>
        <w:rPr>
          <w:rFonts w:ascii="Courier New" w:cs="Courier New" w:eastAsia="Courier New" w:hAnsi="Courier New"/>
          <w:sz w:val="16"/>
          <w:szCs w:val="16"/>
          <w:color w:val="auto"/>
        </w:rPr>
        <w:t>14</w:t>
      </w:r>
    </w:p>
    <w:p>
      <w:pPr>
        <w:spacing w:after="0" w:line="201" w:lineRule="exact"/>
        <w:rPr>
          <w:sz w:val="20"/>
          <w:szCs w:val="20"/>
          <w:color w:val="auto"/>
        </w:rPr>
      </w:pPr>
    </w:p>
    <w:p>
      <w:pPr>
        <w:ind w:left="220"/>
        <w:spacing w:after="0"/>
        <w:tabs>
          <w:tab w:leader="none" w:pos="1140" w:val="left"/>
          <w:tab w:leader="dot" w:pos="7580" w:val="left"/>
        </w:tabs>
        <w:rPr>
          <w:sz w:val="20"/>
          <w:szCs w:val="20"/>
          <w:color w:val="auto"/>
        </w:rPr>
      </w:pPr>
      <w:r>
        <w:rPr>
          <w:rFonts w:ascii="Courier New" w:cs="Courier New" w:eastAsia="Courier New" w:hAnsi="Courier New"/>
          <w:sz w:val="18"/>
          <w:szCs w:val="18"/>
          <w:color w:val="auto"/>
        </w:rPr>
        <w:t>Item 6.</w:t>
        <w:tab/>
        <w:t>Exhibits and Reports on Form 8-K</w:t>
      </w:r>
      <w:r>
        <w:rPr>
          <w:sz w:val="20"/>
          <w:szCs w:val="20"/>
          <w:color w:val="auto"/>
        </w:rPr>
        <w:tab/>
      </w:r>
      <w:r>
        <w:rPr>
          <w:rFonts w:ascii="Courier New" w:cs="Courier New" w:eastAsia="Courier New" w:hAnsi="Courier New"/>
          <w:sz w:val="16"/>
          <w:szCs w:val="16"/>
          <w:color w:val="auto"/>
        </w:rPr>
        <w:t>14</w:t>
      </w:r>
    </w:p>
    <w:p>
      <w:pPr>
        <w:spacing w:after="0" w:line="200" w:lineRule="exact"/>
        <w:rPr>
          <w:sz w:val="20"/>
          <w:szCs w:val="20"/>
          <w:color w:val="auto"/>
        </w:rPr>
      </w:pPr>
    </w:p>
    <w:p>
      <w:pPr>
        <w:spacing w:after="0" w:line="204" w:lineRule="exact"/>
        <w:rPr>
          <w:sz w:val="20"/>
          <w:szCs w:val="20"/>
          <w:color w:val="auto"/>
        </w:rPr>
      </w:pPr>
    </w:p>
    <w:p>
      <w:pPr>
        <w:spacing w:after="0"/>
        <w:tabs>
          <w:tab w:leader="dot" w:pos="7580" w:val="left"/>
        </w:tabs>
        <w:rPr>
          <w:sz w:val="20"/>
          <w:szCs w:val="20"/>
          <w:color w:val="auto"/>
        </w:rPr>
      </w:pPr>
      <w:r>
        <w:rPr>
          <w:rFonts w:ascii="Courier New" w:cs="Courier New" w:eastAsia="Courier New" w:hAnsi="Courier New"/>
          <w:sz w:val="18"/>
          <w:szCs w:val="18"/>
          <w:color w:val="auto"/>
        </w:rPr>
        <w:t>Signatures</w:t>
      </w:r>
      <w:r>
        <w:rPr>
          <w:sz w:val="20"/>
          <w:szCs w:val="20"/>
          <w:color w:val="auto"/>
        </w:rPr>
        <w:tab/>
      </w:r>
      <w:r>
        <w:rPr>
          <w:rFonts w:ascii="Courier New" w:cs="Courier New" w:eastAsia="Courier New" w:hAnsi="Courier New"/>
          <w:sz w:val="16"/>
          <w:szCs w:val="16"/>
          <w:color w:val="auto"/>
        </w:rPr>
        <w:t>15</w:t>
      </w:r>
    </w:p>
    <w:p>
      <w:pPr>
        <w:spacing w:after="0" w:line="200" w:lineRule="exact"/>
        <w:rPr>
          <w:sz w:val="20"/>
          <w:szCs w:val="20"/>
          <w:color w:val="auto"/>
        </w:rPr>
      </w:pPr>
    </w:p>
    <w:p>
      <w:pPr>
        <w:spacing w:after="0" w:line="204" w:lineRule="exact"/>
        <w:rPr>
          <w:sz w:val="20"/>
          <w:szCs w:val="20"/>
          <w:color w:val="auto"/>
        </w:rPr>
      </w:pPr>
    </w:p>
    <w:p>
      <w:pPr>
        <w:spacing w:after="0"/>
        <w:tabs>
          <w:tab w:leader="dot" w:pos="7580" w:val="left"/>
        </w:tabs>
        <w:rPr>
          <w:sz w:val="20"/>
          <w:szCs w:val="20"/>
          <w:color w:val="auto"/>
        </w:rPr>
      </w:pPr>
      <w:r>
        <w:rPr>
          <w:rFonts w:ascii="Courier New" w:cs="Courier New" w:eastAsia="Courier New" w:hAnsi="Courier New"/>
          <w:sz w:val="18"/>
          <w:szCs w:val="18"/>
          <w:color w:val="auto"/>
        </w:rPr>
        <w:t>Exhibit Index</w:t>
      </w:r>
      <w:r>
        <w:rPr>
          <w:sz w:val="20"/>
          <w:szCs w:val="20"/>
          <w:color w:val="auto"/>
        </w:rPr>
        <w:tab/>
      </w:r>
      <w:r>
        <w:rPr>
          <w:rFonts w:ascii="Courier New" w:cs="Courier New" w:eastAsia="Courier New" w:hAnsi="Courier New"/>
          <w:sz w:val="16"/>
          <w:szCs w:val="16"/>
          <w:color w:val="auto"/>
        </w:rPr>
        <w:t>16</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2</w:t>
      </w:r>
    </w:p>
    <w:p>
      <w:pPr>
        <w:sectPr>
          <w:pgSz w:w="11900" w:h="16838" w:orient="portrait"/>
          <w:cols w:equalWidth="0" w:num="1">
            <w:col w:w="10219"/>
          </w:cols>
          <w:pgMar w:left="240" w:top="339" w:right="1440" w:bottom="1440" w:gutter="0" w:footer="0" w:header="0"/>
        </w:sectPr>
      </w:pPr>
    </w:p>
    <w:bookmarkStart w:id="2" w:name="page3"/>
    <w:bookmarkEnd w:id="2"/>
    <w:p>
      <w:pPr>
        <w:jc w:val="center"/>
        <w:ind w:right="1979"/>
        <w:spacing w:after="0"/>
        <w:rPr>
          <w:sz w:val="20"/>
          <w:szCs w:val="20"/>
          <w:color w:val="auto"/>
        </w:rPr>
      </w:pPr>
      <w:r>
        <w:rPr>
          <w:rFonts w:ascii="Courier New" w:cs="Courier New" w:eastAsia="Courier New" w:hAnsi="Courier New"/>
          <w:sz w:val="18"/>
          <w:szCs w:val="18"/>
          <w:color w:val="auto"/>
        </w:rPr>
        <w:t>PART I - FINANCIAL INFORMATION</w:t>
      </w:r>
    </w:p>
    <w:p>
      <w:pPr>
        <w:jc w:val="center"/>
        <w:ind w:right="1979"/>
        <w:spacing w:after="0" w:line="238" w:lineRule="auto"/>
        <w:rPr>
          <w:sz w:val="20"/>
          <w:szCs w:val="20"/>
          <w:color w:val="auto"/>
        </w:rPr>
      </w:pPr>
      <w:r>
        <w:rPr>
          <w:rFonts w:ascii="Courier New" w:cs="Courier New" w:eastAsia="Courier New" w:hAnsi="Courier New"/>
          <w:sz w:val="18"/>
          <w:szCs w:val="18"/>
          <w:color w:val="auto"/>
        </w:rPr>
        <w:t>ITEM 1. FINANCIAL STATEMENTS</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SCOTTS COMPANY AND SUBSIDIARIES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CONSOLIDATED STATEMENTS OF INCOME</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ind w:left="2120"/>
        <w:spacing w:after="0" w:line="237" w:lineRule="auto"/>
        <w:rPr>
          <w:sz w:val="20"/>
          <w:szCs w:val="20"/>
          <w:color w:val="auto"/>
        </w:rPr>
      </w:pPr>
      <w:r>
        <w:rPr>
          <w:rFonts w:ascii="Courier New" w:cs="Courier New" w:eastAsia="Courier New" w:hAnsi="Courier New"/>
          <w:sz w:val="18"/>
          <w:szCs w:val="18"/>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spacing w:after="0"/>
              <w:rPr>
                <w:sz w:val="17"/>
                <w:szCs w:val="17"/>
                <w:color w:val="auto"/>
              </w:rPr>
            </w:pPr>
          </w:p>
        </w:tc>
        <w:tc>
          <w:tcPr>
            <w:tcW w:w="316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5280" w:type="dxa"/>
            <w:vAlign w:val="bottom"/>
          </w:tcPr>
          <w:p>
            <w:pPr>
              <w:spacing w:after="0"/>
              <w:rPr>
                <w:sz w:val="17"/>
                <w:szCs w:val="17"/>
                <w:color w:val="auto"/>
              </w:rPr>
            </w:pPr>
          </w:p>
        </w:tc>
        <w:tc>
          <w:tcPr>
            <w:tcW w:w="1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December 31</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December 30</w:t>
            </w:r>
          </w:p>
        </w:tc>
      </w:tr>
      <w:tr>
        <w:trPr>
          <w:trHeight w:val="203"/>
        </w:trPr>
        <w:tc>
          <w:tcPr>
            <w:tcW w:w="528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1994</w:t>
            </w:r>
          </w:p>
        </w:tc>
        <w:tc>
          <w:tcPr>
            <w:tcW w:w="520" w:type="dxa"/>
            <w:vAlign w:val="bottom"/>
          </w:tcPr>
          <w:p>
            <w:pPr>
              <w:spacing w:after="0"/>
              <w:rPr>
                <w:sz w:val="17"/>
                <w:szCs w:val="17"/>
                <w:color w:val="auto"/>
              </w:rPr>
            </w:pPr>
          </w:p>
        </w:tc>
        <w:tc>
          <w:tcPr>
            <w:tcW w:w="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Net sales .....................................</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$ 98,019</w:t>
            </w:r>
          </w:p>
        </w:tc>
        <w:tc>
          <w:tcPr>
            <w:tcW w:w="14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$ 117,928</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 .................................</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53,520</w:t>
            </w:r>
          </w:p>
        </w:tc>
        <w:tc>
          <w:tcPr>
            <w:tcW w:w="5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64,714</w:t>
            </w:r>
          </w:p>
        </w:tc>
      </w:tr>
      <w:tr>
        <w:trPr>
          <w:trHeight w:val="203"/>
        </w:trPr>
        <w:tc>
          <w:tcPr>
            <w:tcW w:w="528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Gross profit ..................................</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44,499</w:t>
            </w:r>
          </w:p>
        </w:tc>
        <w:tc>
          <w:tcPr>
            <w:tcW w:w="52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53,214</w:t>
            </w:r>
          </w:p>
        </w:tc>
      </w:tr>
      <w:tr>
        <w:trPr>
          <w:trHeight w:val="203"/>
        </w:trPr>
        <w:tc>
          <w:tcPr>
            <w:tcW w:w="528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Marketing .....................................</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22,397</w:t>
            </w:r>
          </w:p>
        </w:tc>
        <w:tc>
          <w:tcPr>
            <w:tcW w:w="52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27,590</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 ..................................</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14,540</w:t>
            </w:r>
          </w:p>
        </w:tc>
        <w:tc>
          <w:tcPr>
            <w:tcW w:w="5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16,465</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and administrative ....................</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5,967</w:t>
            </w:r>
          </w:p>
        </w:tc>
        <w:tc>
          <w:tcPr>
            <w:tcW w:w="5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8,057</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 ......................</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2,765</w:t>
            </w:r>
          </w:p>
        </w:tc>
        <w:tc>
          <w:tcPr>
            <w:tcW w:w="5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2,663</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expenses, net ...........................</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995</w:t>
            </w:r>
          </w:p>
        </w:tc>
        <w:tc>
          <w:tcPr>
            <w:tcW w:w="5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4,469</w:t>
            </w:r>
          </w:p>
        </w:tc>
      </w:tr>
      <w:tr>
        <w:trPr>
          <w:trHeight w:val="203"/>
        </w:trPr>
        <w:tc>
          <w:tcPr>
            <w:tcW w:w="528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Loss from operations ..........................</w:t>
            </w:r>
          </w:p>
        </w:tc>
        <w:tc>
          <w:tcPr>
            <w:tcW w:w="17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(2,165)</w:t>
            </w:r>
          </w:p>
        </w:tc>
        <w:tc>
          <w:tcPr>
            <w:tcW w:w="5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(6,030)</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Interest expense ..............................</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5,694</w:t>
            </w:r>
          </w:p>
        </w:tc>
        <w:tc>
          <w:tcPr>
            <w:tcW w:w="52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6,601</w:t>
            </w:r>
          </w:p>
        </w:tc>
      </w:tr>
      <w:tr>
        <w:trPr>
          <w:trHeight w:val="203"/>
        </w:trPr>
        <w:tc>
          <w:tcPr>
            <w:tcW w:w="528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Loss before income tax benefit ................</w:t>
            </w:r>
          </w:p>
        </w:tc>
        <w:tc>
          <w:tcPr>
            <w:tcW w:w="17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(7,859)</w:t>
            </w:r>
          </w:p>
        </w:tc>
        <w:tc>
          <w:tcPr>
            <w:tcW w:w="5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(12,631)</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Income tax benefit ............................</w:t>
            </w:r>
          </w:p>
        </w:tc>
        <w:tc>
          <w:tcPr>
            <w:tcW w:w="17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(3,261)</w:t>
            </w:r>
          </w:p>
        </w:tc>
        <w:tc>
          <w:tcPr>
            <w:tcW w:w="5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(5,457)</w:t>
            </w:r>
          </w:p>
        </w:tc>
      </w:tr>
      <w:tr>
        <w:trPr>
          <w:trHeight w:val="203"/>
        </w:trPr>
        <w:tc>
          <w:tcPr>
            <w:tcW w:w="528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Net loss ......................................</w:t>
            </w:r>
          </w:p>
        </w:tc>
        <w:tc>
          <w:tcPr>
            <w:tcW w:w="17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 (4,598)</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(7,174)</w:t>
            </w:r>
          </w:p>
        </w:tc>
      </w:tr>
      <w:tr>
        <w:trPr>
          <w:trHeight w:val="203"/>
        </w:trPr>
        <w:tc>
          <w:tcPr>
            <w:tcW w:w="528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Net loss per common share .....................</w:t>
            </w:r>
          </w:p>
        </w:tc>
        <w:tc>
          <w:tcPr>
            <w:tcW w:w="17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   (.25)</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(.51)</w:t>
            </w:r>
          </w:p>
        </w:tc>
      </w:tr>
      <w:tr>
        <w:trPr>
          <w:trHeight w:val="203"/>
        </w:trPr>
        <w:tc>
          <w:tcPr>
            <w:tcW w:w="528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Common shares used in net loss</w:t>
            </w:r>
          </w:p>
        </w:tc>
        <w:tc>
          <w:tcPr>
            <w:tcW w:w="1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 common share computation ................</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18,667</w:t>
            </w:r>
          </w:p>
        </w:tc>
        <w:tc>
          <w:tcPr>
            <w:tcW w:w="5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18,689</w:t>
            </w:r>
          </w:p>
        </w:tc>
      </w:tr>
      <w:tr>
        <w:trPr>
          <w:trHeight w:val="203"/>
        </w:trPr>
        <w:tc>
          <w:tcPr>
            <w:tcW w:w="528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3</w:t>
      </w:r>
    </w:p>
    <w:p>
      <w:pPr>
        <w:sectPr>
          <w:pgSz w:w="11900" w:h="16838" w:orient="portrait"/>
          <w:cols w:equalWidth="0" w:num="1">
            <w:col w:w="10219"/>
          </w:cols>
          <w:pgMar w:left="240" w:top="717" w:right="1440" w:bottom="1440" w:gutter="0" w:footer="0" w:header="0"/>
        </w:sectPr>
      </w:pPr>
    </w:p>
    <w:bookmarkStart w:id="3" w:name="page4"/>
    <w:bookmarkEnd w:id="3"/>
    <w:p>
      <w:pPr>
        <w:jc w:val="center"/>
        <w:ind w:right="1879"/>
        <w:spacing w:after="0"/>
        <w:rPr>
          <w:sz w:val="20"/>
          <w:szCs w:val="20"/>
          <w:color w:val="auto"/>
        </w:rPr>
      </w:pPr>
      <w:r>
        <w:rPr>
          <w:rFonts w:ascii="Courier New" w:cs="Courier New" w:eastAsia="Courier New" w:hAnsi="Courier New"/>
          <w:sz w:val="18"/>
          <w:szCs w:val="18"/>
          <w:color w:val="auto"/>
        </w:rPr>
        <w:t>THE SCOTTS COMPANY AND SUBSIDIARIES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jc w:val="center"/>
        <w:ind w:right="1879"/>
        <w:spacing w:after="0"/>
        <w:rPr>
          <w:sz w:val="20"/>
          <w:szCs w:val="20"/>
          <w:color w:val="auto"/>
        </w:rPr>
      </w:pPr>
      <w:r>
        <w:rPr>
          <w:rFonts w:ascii="Courier New" w:cs="Courier New" w:eastAsia="Courier New" w:hAnsi="Courier New"/>
          <w:sz w:val="18"/>
          <w:szCs w:val="18"/>
          <w:color w:val="auto"/>
        </w:rPr>
        <w:t>(Unaudited)</w:t>
      </w:r>
    </w:p>
    <w:tbl>
      <w:tblPr>
        <w:tblLayout w:type="fixed"/>
        <w:tblInd w:w="0" w:type="dxa"/>
        <w:tblCellMar>
          <w:top w:w="0" w:type="dxa"/>
          <w:left w:w="0" w:type="dxa"/>
          <w:bottom w:w="0" w:type="dxa"/>
          <w:right w:w="0" w:type="dxa"/>
        </w:tblCellMar>
      </w:tblPr>
      <w:tr>
        <w:trPr>
          <w:trHeight w:val="202"/>
        </w:trPr>
        <w:tc>
          <w:tcPr>
            <w:tcW w:w="5740" w:type="dxa"/>
            <w:vAlign w:val="bottom"/>
          </w:tcPr>
          <w:p>
            <w:pPr>
              <w:jc w:val="right"/>
              <w:ind w:right="792"/>
              <w:spacing w:after="0" w:line="202" w:lineRule="exact"/>
              <w:rPr>
                <w:sz w:val="20"/>
                <w:szCs w:val="20"/>
                <w:color w:val="auto"/>
              </w:rPr>
            </w:pPr>
            <w:r>
              <w:rPr>
                <w:rFonts w:ascii="Courier New" w:cs="Courier New" w:eastAsia="Courier New" w:hAnsi="Courier New"/>
                <w:sz w:val="18"/>
                <w:szCs w:val="18"/>
                <w:color w:val="auto"/>
              </w:rPr>
              <w:t>(in thousands)</w:t>
            </w: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608"/>
        </w:trPr>
        <w:tc>
          <w:tcPr>
            <w:tcW w:w="5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20" w:type="dxa"/>
            <w:vAlign w:val="bottom"/>
            <w:gridSpan w:val="3"/>
          </w:tcPr>
          <w:p>
            <w:pPr>
              <w:jc w:val="right"/>
              <w:ind w:right="1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5740" w:type="dxa"/>
            <w:vAlign w:val="bottom"/>
          </w:tcPr>
          <w:p>
            <w:pPr>
              <w:spacing w:after="0"/>
              <w:rPr>
                <w:sz w:val="17"/>
                <w:szCs w:val="17"/>
                <w:color w:val="auto"/>
              </w:rPr>
            </w:pPr>
          </w:p>
        </w:tc>
        <w:tc>
          <w:tcPr>
            <w:tcW w:w="14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December 31</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December 30</w:t>
            </w:r>
          </w:p>
        </w:tc>
      </w:tr>
      <w:tr>
        <w:trPr>
          <w:trHeight w:val="203"/>
        </w:trPr>
        <w:tc>
          <w:tcPr>
            <w:tcW w:w="5740" w:type="dxa"/>
            <w:vAlign w:val="bottom"/>
          </w:tcPr>
          <w:p>
            <w:pPr>
              <w:spacing w:after="0"/>
              <w:rPr>
                <w:sz w:val="17"/>
                <w:szCs w:val="17"/>
                <w:color w:val="auto"/>
              </w:rPr>
            </w:pPr>
          </w:p>
        </w:tc>
        <w:tc>
          <w:tcPr>
            <w:tcW w:w="14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1994</w:t>
            </w:r>
          </w:p>
        </w:tc>
        <w:tc>
          <w:tcPr>
            <w:tcW w:w="42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1995</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OPERATING ACTIVITIES:</w:t>
            </w: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loss ...........................................</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(4,598)</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(7,174)</w:t>
            </w:r>
          </w:p>
        </w:tc>
      </w:tr>
      <w:tr>
        <w:trPr>
          <w:trHeight w:val="203"/>
        </w:trPr>
        <w:tc>
          <w:tcPr>
            <w:tcW w:w="5740" w:type="dxa"/>
            <w:vAlign w:val="bottom"/>
          </w:tcPr>
          <w:p>
            <w:pPr>
              <w:jc w:val="right"/>
              <w:ind w:right="1212"/>
              <w:spacing w:after="0" w:line="203" w:lineRule="exact"/>
              <w:rPr>
                <w:sz w:val="20"/>
                <w:szCs w:val="20"/>
                <w:color w:val="auto"/>
              </w:rPr>
            </w:pPr>
            <w:r>
              <w:rPr>
                <w:rFonts w:ascii="Courier New" w:cs="Courier New" w:eastAsia="Courier New" w:hAnsi="Courier New"/>
                <w:sz w:val="18"/>
                <w:szCs w:val="18"/>
                <w:color w:val="auto"/>
              </w:rPr>
              <w:t>Adjustments to reconcile net loss to net</w:t>
            </w: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used in operating activities:</w:t>
            </w: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Depreciation and amortization ..................</w:t>
            </w:r>
          </w:p>
        </w:tc>
        <w:tc>
          <w:tcPr>
            <w:tcW w:w="48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5,801</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7,280</w:t>
            </w: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Equity in income of unconsolidated .............</w:t>
            </w:r>
          </w:p>
        </w:tc>
        <w:tc>
          <w:tcPr>
            <w:tcW w:w="480" w:type="dxa"/>
            <w:vAlign w:val="bottom"/>
          </w:tcPr>
          <w:p>
            <w:pPr>
              <w:spacing w:after="0"/>
              <w:rPr>
                <w:sz w:val="17"/>
                <w:szCs w:val="17"/>
                <w:color w:val="auto"/>
              </w:rPr>
            </w:pPr>
          </w:p>
        </w:tc>
        <w:tc>
          <w:tcPr>
            <w:tcW w:w="9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(191)</w:t>
            </w:r>
          </w:p>
        </w:tc>
      </w:tr>
      <w:tr>
        <w:trPr>
          <w:trHeight w:val="203"/>
        </w:trPr>
        <w:tc>
          <w:tcPr>
            <w:tcW w:w="5740" w:type="dxa"/>
            <w:vAlign w:val="bottom"/>
          </w:tcPr>
          <w:p>
            <w:pPr>
              <w:jc w:val="right"/>
              <w:ind w:right="3752"/>
              <w:spacing w:after="0" w:line="203" w:lineRule="exact"/>
              <w:rPr>
                <w:sz w:val="20"/>
                <w:szCs w:val="20"/>
                <w:color w:val="auto"/>
              </w:rPr>
            </w:pPr>
            <w:r>
              <w:rPr>
                <w:rFonts w:ascii="Courier New" w:cs="Courier New" w:eastAsia="Courier New" w:hAnsi="Courier New"/>
                <w:sz w:val="18"/>
                <w:szCs w:val="18"/>
                <w:color w:val="auto"/>
              </w:rPr>
              <w:t>business</w:t>
            </w: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Postretirement benefits ........................</w:t>
            </w:r>
          </w:p>
        </w:tc>
        <w:tc>
          <w:tcPr>
            <w:tcW w:w="48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166</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5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increase in certain components of</w:t>
            </w: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working capital ............................</w:t>
            </w:r>
          </w:p>
        </w:tc>
        <w:tc>
          <w:tcPr>
            <w:tcW w:w="4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(45,543)</w:t>
            </w: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(81,432)</w:t>
            </w:r>
          </w:p>
        </w:tc>
      </w:tr>
      <w:tr>
        <w:trPr>
          <w:trHeight w:val="203"/>
        </w:trPr>
        <w:tc>
          <w:tcPr>
            <w:tcW w:w="5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increase in other assets and</w:t>
            </w: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liabilities and other adjustments ..........</w:t>
            </w:r>
          </w:p>
        </w:tc>
        <w:tc>
          <w:tcPr>
            <w:tcW w:w="48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354</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291</w:t>
            </w:r>
          </w:p>
        </w:tc>
      </w:tr>
      <w:tr>
        <w:trPr>
          <w:trHeight w:val="203"/>
        </w:trPr>
        <w:tc>
          <w:tcPr>
            <w:tcW w:w="5740" w:type="dxa"/>
            <w:vAlign w:val="bottom"/>
          </w:tcPr>
          <w:p>
            <w:pPr>
              <w:spacing w:after="0"/>
              <w:rPr>
                <w:sz w:val="17"/>
                <w:szCs w:val="17"/>
                <w:color w:val="auto"/>
              </w:rPr>
            </w:pPr>
          </w:p>
        </w:tc>
        <w:tc>
          <w:tcPr>
            <w:tcW w:w="14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jc w:val="right"/>
              <w:spacing w:after="0"/>
              <w:rPr>
                <w:sz w:val="20"/>
                <w:szCs w:val="20"/>
                <w:color w:val="auto"/>
              </w:rPr>
            </w:pPr>
            <w:r>
              <w:rPr>
                <w:rFonts w:ascii="Courier New" w:cs="Courier New" w:eastAsia="Courier New" w:hAnsi="Courier New"/>
                <w:sz w:val="18"/>
                <w:szCs w:val="18"/>
                <w:color w:val="auto"/>
              </w:rPr>
              <w:t>Net cash used in operating activities .......</w:t>
            </w:r>
          </w:p>
        </w:tc>
        <w:tc>
          <w:tcPr>
            <w:tcW w:w="48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(43,820)</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(81,181)</w:t>
            </w:r>
          </w:p>
        </w:tc>
      </w:tr>
      <w:tr>
        <w:trPr>
          <w:trHeight w:val="203"/>
        </w:trPr>
        <w:tc>
          <w:tcPr>
            <w:tcW w:w="5740" w:type="dxa"/>
            <w:vAlign w:val="bottom"/>
          </w:tcPr>
          <w:p>
            <w:pPr>
              <w:spacing w:after="0"/>
              <w:rPr>
                <w:sz w:val="17"/>
                <w:szCs w:val="17"/>
                <w:color w:val="auto"/>
              </w:rPr>
            </w:pPr>
          </w:p>
        </w:tc>
        <w:tc>
          <w:tcPr>
            <w:tcW w:w="14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Investment in plant and equipment, net .............</w:t>
            </w:r>
          </w:p>
        </w:tc>
        <w:tc>
          <w:tcPr>
            <w:tcW w:w="4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(5,012)</w:t>
            </w: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(3,593)</w:t>
            </w: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Investment in affiliate ............................</w:t>
            </w:r>
          </w:p>
        </w:tc>
        <w:tc>
          <w:tcPr>
            <w:tcW w:w="4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(250)</w:t>
            </w:r>
          </w:p>
        </w:tc>
        <w:tc>
          <w:tcPr>
            <w:tcW w:w="4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rPr>
                <w:sz w:val="17"/>
                <w:szCs w:val="17"/>
                <w:color w:val="auto"/>
              </w:rPr>
            </w:pPr>
          </w:p>
        </w:tc>
        <w:tc>
          <w:tcPr>
            <w:tcW w:w="14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jc w:val="right"/>
              <w:spacing w:after="0"/>
              <w:rPr>
                <w:sz w:val="20"/>
                <w:szCs w:val="20"/>
                <w:color w:val="auto"/>
              </w:rPr>
            </w:pPr>
            <w:r>
              <w:rPr>
                <w:rFonts w:ascii="Courier New" w:cs="Courier New" w:eastAsia="Courier New" w:hAnsi="Courier New"/>
                <w:sz w:val="18"/>
                <w:szCs w:val="18"/>
                <w:color w:val="auto"/>
              </w:rPr>
              <w:t>Net cash used in investing activities .......</w:t>
            </w:r>
          </w:p>
        </w:tc>
        <w:tc>
          <w:tcPr>
            <w:tcW w:w="48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(5,262)</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(3,593)</w:t>
            </w:r>
          </w:p>
        </w:tc>
      </w:tr>
      <w:tr>
        <w:trPr>
          <w:trHeight w:val="203"/>
        </w:trPr>
        <w:tc>
          <w:tcPr>
            <w:tcW w:w="5740" w:type="dxa"/>
            <w:vAlign w:val="bottom"/>
          </w:tcPr>
          <w:p>
            <w:pPr>
              <w:spacing w:after="0"/>
              <w:rPr>
                <w:sz w:val="17"/>
                <w:szCs w:val="17"/>
                <w:color w:val="auto"/>
              </w:rPr>
            </w:pPr>
          </w:p>
        </w:tc>
        <w:tc>
          <w:tcPr>
            <w:tcW w:w="14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Payments on term and other debt ....................</w:t>
            </w:r>
          </w:p>
        </w:tc>
        <w:tc>
          <w:tcPr>
            <w:tcW w:w="4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(727)</w:t>
            </w: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w:t>
            </w: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Revolving lines of credit and bank line of .........</w:t>
            </w:r>
          </w:p>
        </w:tc>
        <w:tc>
          <w:tcPr>
            <w:tcW w:w="48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44,646</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88,474</w:t>
            </w:r>
          </w:p>
        </w:tc>
      </w:tr>
      <w:tr>
        <w:trPr>
          <w:trHeight w:val="203"/>
        </w:trPr>
        <w:tc>
          <w:tcPr>
            <w:tcW w:w="5740" w:type="dxa"/>
            <w:vAlign w:val="bottom"/>
          </w:tcPr>
          <w:p>
            <w:pPr>
              <w:jc w:val="right"/>
              <w:ind w:right="3952"/>
              <w:spacing w:after="0" w:line="203" w:lineRule="exact"/>
              <w:rPr>
                <w:sz w:val="20"/>
                <w:szCs w:val="20"/>
                <w:color w:val="auto"/>
              </w:rPr>
            </w:pPr>
            <w:r>
              <w:rPr>
                <w:rFonts w:ascii="Courier New" w:cs="Courier New" w:eastAsia="Courier New" w:hAnsi="Courier New"/>
                <w:sz w:val="18"/>
                <w:szCs w:val="18"/>
                <w:color w:val="auto"/>
              </w:rPr>
              <w:t>credit, net</w:t>
            </w: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Dividends on preferred stock .......................</w:t>
            </w:r>
          </w:p>
        </w:tc>
        <w:tc>
          <w:tcPr>
            <w:tcW w:w="480" w:type="dxa"/>
            <w:vAlign w:val="bottom"/>
          </w:tcPr>
          <w:p>
            <w:pPr>
              <w:spacing w:after="0"/>
              <w:rPr>
                <w:sz w:val="17"/>
                <w:szCs w:val="17"/>
                <w:color w:val="auto"/>
              </w:rPr>
            </w:pPr>
          </w:p>
        </w:tc>
        <w:tc>
          <w:tcPr>
            <w:tcW w:w="9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(2,436)</w:t>
            </w:r>
          </w:p>
        </w:tc>
      </w:tr>
      <w:tr>
        <w:trPr>
          <w:trHeight w:val="405"/>
        </w:trPr>
        <w:tc>
          <w:tcPr>
            <w:tcW w:w="5740" w:type="dxa"/>
            <w:vAlign w:val="bottom"/>
          </w:tcPr>
          <w:p>
            <w:pPr>
              <w:jc w:val="right"/>
              <w:spacing w:after="0"/>
              <w:rPr>
                <w:sz w:val="20"/>
                <w:szCs w:val="20"/>
                <w:color w:val="auto"/>
              </w:rPr>
            </w:pPr>
            <w:r>
              <w:rPr>
                <w:rFonts w:ascii="Courier New" w:cs="Courier New" w:eastAsia="Courier New" w:hAnsi="Courier New"/>
                <w:sz w:val="18"/>
                <w:szCs w:val="18"/>
                <w:color w:val="auto"/>
              </w:rPr>
              <w:t>Net cash provided by financing activities ...</w:t>
            </w:r>
          </w:p>
        </w:tc>
        <w:tc>
          <w:tcPr>
            <w:tcW w:w="48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43,919</w:t>
            </w:r>
          </w:p>
        </w:tc>
        <w:tc>
          <w:tcPr>
            <w:tcW w:w="42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85,856</w:t>
            </w:r>
          </w:p>
        </w:tc>
      </w:tr>
      <w:tr>
        <w:trPr>
          <w:trHeight w:val="203"/>
        </w:trPr>
        <w:tc>
          <w:tcPr>
            <w:tcW w:w="5740" w:type="dxa"/>
            <w:vAlign w:val="bottom"/>
          </w:tcPr>
          <w:p>
            <w:pPr>
              <w:spacing w:after="0"/>
              <w:rPr>
                <w:sz w:val="17"/>
                <w:szCs w:val="17"/>
                <w:color w:val="auto"/>
              </w:rPr>
            </w:pPr>
          </w:p>
        </w:tc>
        <w:tc>
          <w:tcPr>
            <w:tcW w:w="14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jc w:val="right"/>
              <w:spacing w:after="0"/>
              <w:rPr>
                <w:sz w:val="20"/>
                <w:szCs w:val="20"/>
                <w:color w:val="auto"/>
              </w:rPr>
            </w:pPr>
            <w:r>
              <w:rPr>
                <w:rFonts w:ascii="Courier New" w:cs="Courier New" w:eastAsia="Courier New" w:hAnsi="Courier New"/>
                <w:sz w:val="18"/>
                <w:szCs w:val="18"/>
                <w:color w:val="auto"/>
                <w:w w:val="97"/>
              </w:rPr>
              <w:t>Effect of exchange rate changes on cash ..............</w:t>
            </w:r>
          </w:p>
        </w:tc>
        <w:tc>
          <w:tcPr>
            <w:tcW w:w="48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(122)</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(207)</w:t>
            </w:r>
          </w:p>
        </w:tc>
      </w:tr>
      <w:tr>
        <w:trPr>
          <w:trHeight w:val="203"/>
        </w:trPr>
        <w:tc>
          <w:tcPr>
            <w:tcW w:w="5740" w:type="dxa"/>
            <w:vAlign w:val="bottom"/>
          </w:tcPr>
          <w:p>
            <w:pPr>
              <w:spacing w:after="0"/>
              <w:rPr>
                <w:sz w:val="17"/>
                <w:szCs w:val="17"/>
                <w:color w:val="auto"/>
              </w:rPr>
            </w:pPr>
          </w:p>
        </w:tc>
        <w:tc>
          <w:tcPr>
            <w:tcW w:w="14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jc w:val="right"/>
              <w:spacing w:after="0"/>
              <w:rPr>
                <w:sz w:val="20"/>
                <w:szCs w:val="20"/>
                <w:color w:val="auto"/>
              </w:rPr>
            </w:pPr>
            <w:r>
              <w:rPr>
                <w:rFonts w:ascii="Courier New" w:cs="Courier New" w:eastAsia="Courier New" w:hAnsi="Courier New"/>
                <w:sz w:val="18"/>
                <w:szCs w:val="18"/>
                <w:color w:val="auto"/>
                <w:w w:val="97"/>
              </w:rPr>
              <w:t>Net increase (decrease) in cash ......................</w:t>
            </w:r>
          </w:p>
        </w:tc>
        <w:tc>
          <w:tcPr>
            <w:tcW w:w="48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(5,285)</w:t>
            </w:r>
          </w:p>
        </w:tc>
        <w:tc>
          <w:tcPr>
            <w:tcW w:w="42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875</w:t>
            </w:r>
          </w:p>
        </w:tc>
      </w:tr>
      <w:tr>
        <w:trPr>
          <w:trHeight w:val="405"/>
        </w:trPr>
        <w:tc>
          <w:tcPr>
            <w:tcW w:w="5740" w:type="dxa"/>
            <w:vAlign w:val="bottom"/>
          </w:tcPr>
          <w:p>
            <w:pPr>
              <w:jc w:val="right"/>
              <w:spacing w:after="0"/>
              <w:rPr>
                <w:sz w:val="20"/>
                <w:szCs w:val="20"/>
                <w:color w:val="auto"/>
              </w:rPr>
            </w:pPr>
            <w:r>
              <w:rPr>
                <w:rFonts w:ascii="Courier New" w:cs="Courier New" w:eastAsia="Courier New" w:hAnsi="Courier New"/>
                <w:sz w:val="18"/>
                <w:szCs w:val="18"/>
                <w:color w:val="auto"/>
                <w:w w:val="97"/>
              </w:rPr>
              <w:t>Cash at beginning of period ..........................</w:t>
            </w:r>
          </w:p>
        </w:tc>
        <w:tc>
          <w:tcPr>
            <w:tcW w:w="48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10,695</w:t>
            </w:r>
          </w:p>
        </w:tc>
        <w:tc>
          <w:tcPr>
            <w:tcW w:w="42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7,028</w:t>
            </w:r>
          </w:p>
        </w:tc>
      </w:tr>
      <w:tr>
        <w:trPr>
          <w:trHeight w:val="203"/>
        </w:trPr>
        <w:tc>
          <w:tcPr>
            <w:tcW w:w="5740" w:type="dxa"/>
            <w:vAlign w:val="bottom"/>
          </w:tcPr>
          <w:p>
            <w:pPr>
              <w:spacing w:after="0"/>
              <w:rPr>
                <w:sz w:val="17"/>
                <w:szCs w:val="17"/>
                <w:color w:val="auto"/>
              </w:rPr>
            </w:pPr>
          </w:p>
        </w:tc>
        <w:tc>
          <w:tcPr>
            <w:tcW w:w="14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jc w:val="right"/>
              <w:spacing w:after="0"/>
              <w:rPr>
                <w:sz w:val="20"/>
                <w:szCs w:val="20"/>
                <w:color w:val="auto"/>
              </w:rPr>
            </w:pPr>
            <w:r>
              <w:rPr>
                <w:rFonts w:ascii="Courier New" w:cs="Courier New" w:eastAsia="Courier New" w:hAnsi="Courier New"/>
                <w:sz w:val="18"/>
                <w:szCs w:val="18"/>
                <w:color w:val="auto"/>
                <w:w w:val="97"/>
              </w:rPr>
              <w:t>Cash at end of period ................................</w:t>
            </w:r>
          </w:p>
        </w:tc>
        <w:tc>
          <w:tcPr>
            <w:tcW w:w="480" w:type="dxa"/>
            <w:vAlign w:val="bottom"/>
          </w:tcPr>
          <w:p>
            <w:pPr>
              <w:ind w:left="380"/>
              <w:spacing w:after="0"/>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5,410</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7,903</w:t>
            </w:r>
          </w:p>
        </w:tc>
      </w:tr>
      <w:tr>
        <w:trPr>
          <w:trHeight w:val="203"/>
        </w:trPr>
        <w:tc>
          <w:tcPr>
            <w:tcW w:w="5740" w:type="dxa"/>
            <w:vAlign w:val="bottom"/>
          </w:tcPr>
          <w:p>
            <w:pPr>
              <w:spacing w:after="0"/>
              <w:rPr>
                <w:sz w:val="17"/>
                <w:szCs w:val="17"/>
                <w:color w:val="auto"/>
              </w:rPr>
            </w:pPr>
          </w:p>
        </w:tc>
        <w:tc>
          <w:tcPr>
            <w:tcW w:w="14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SUPPLEMENTAL CASH FLOW INFORMATION</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paid, net of amount capitalized ...........</w:t>
            </w:r>
          </w:p>
        </w:tc>
        <w:tc>
          <w:tcPr>
            <w:tcW w:w="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2,082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3,343</w:t>
            </w: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Income taxes paid ..................................</w:t>
            </w:r>
          </w:p>
        </w:tc>
        <w:tc>
          <w:tcPr>
            <w:tcW w:w="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890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1,364</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4</w:t>
      </w:r>
    </w:p>
    <w:p>
      <w:pPr>
        <w:sectPr>
          <w:pgSz w:w="11900" w:h="16838" w:orient="portrait"/>
          <w:cols w:equalWidth="0" w:num="1">
            <w:col w:w="10219"/>
          </w:cols>
          <w:pgMar w:left="240" w:top="919" w:right="1440" w:bottom="1440" w:gutter="0" w:footer="0" w:header="0"/>
        </w:sectPr>
      </w:pPr>
    </w:p>
    <w:bookmarkStart w:id="4" w:name="page5"/>
    <w:bookmarkEnd w:id="4"/>
    <w:p>
      <w:pPr>
        <w:jc w:val="center"/>
        <w:ind w:right="1879"/>
        <w:spacing w:after="0"/>
        <w:rPr>
          <w:sz w:val="20"/>
          <w:szCs w:val="20"/>
          <w:color w:val="auto"/>
        </w:rPr>
      </w:pPr>
      <w:r>
        <w:rPr>
          <w:rFonts w:ascii="Courier New" w:cs="Courier New" w:eastAsia="Courier New" w:hAnsi="Courier New"/>
          <w:sz w:val="18"/>
          <w:szCs w:val="18"/>
          <w:color w:val="auto"/>
        </w:rPr>
        <w:t>THE SCOTTS COMPANY AND SUBSIDIARIES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CONSOLIDATED BALANCE SHEETS</w:t>
      </w:r>
    </w:p>
    <w:p>
      <w:pPr>
        <w:jc w:val="center"/>
        <w:ind w:right="1879"/>
        <w:spacing w:after="0"/>
        <w:rPr>
          <w:sz w:val="20"/>
          <w:szCs w:val="20"/>
          <w:color w:val="auto"/>
        </w:rPr>
      </w:pPr>
      <w:r>
        <w:rPr>
          <w:rFonts w:ascii="Courier New" w:cs="Courier New" w:eastAsia="Courier New" w:hAnsi="Courier New"/>
          <w:sz w:val="18"/>
          <w:szCs w:val="18"/>
          <w:color w:val="auto"/>
        </w:rPr>
        <w:t>(Unaudited)</w:t>
      </w:r>
    </w:p>
    <w:tbl>
      <w:tblPr>
        <w:tblLayout w:type="fixed"/>
        <w:tblInd w:w="0" w:type="dxa"/>
        <w:tblCellMar>
          <w:top w:w="0" w:type="dxa"/>
          <w:left w:w="0" w:type="dxa"/>
          <w:bottom w:w="0" w:type="dxa"/>
          <w:right w:w="0" w:type="dxa"/>
        </w:tblCellMar>
      </w:tblPr>
      <w:tr>
        <w:trPr>
          <w:trHeight w:val="202"/>
        </w:trPr>
        <w:tc>
          <w:tcPr>
            <w:tcW w:w="4860" w:type="dxa"/>
            <w:vAlign w:val="bottom"/>
            <w:gridSpan w:val="2"/>
          </w:tcPr>
          <w:p>
            <w:pPr>
              <w:jc w:val="center"/>
              <w:ind w:left="3292"/>
              <w:spacing w:after="0" w:line="202" w:lineRule="exact"/>
              <w:rPr>
                <w:sz w:val="20"/>
                <w:szCs w:val="20"/>
                <w:color w:val="auto"/>
              </w:rPr>
            </w:pPr>
            <w:r>
              <w:rPr>
                <w:rFonts w:ascii="Courier New" w:cs="Courier New" w:eastAsia="Courier New" w:hAnsi="Courier New"/>
                <w:sz w:val="18"/>
                <w:szCs w:val="18"/>
                <w:color w:val="auto"/>
                <w:w w:val="97"/>
              </w:rPr>
              <w:t>(in thousands)</w:t>
            </w: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4440" w:type="dxa"/>
            <w:vAlign w:val="bottom"/>
          </w:tcPr>
          <w:p>
            <w:pPr>
              <w:jc w:val="center"/>
              <w:ind w:left="3712"/>
              <w:spacing w:after="0"/>
              <w:rPr>
                <w:sz w:val="20"/>
                <w:szCs w:val="20"/>
                <w:color w:val="auto"/>
              </w:rPr>
            </w:pPr>
            <w:r>
              <w:rPr>
                <w:rFonts w:ascii="Courier New" w:cs="Courier New" w:eastAsia="Courier New" w:hAnsi="Courier New"/>
                <w:sz w:val="18"/>
                <w:szCs w:val="18"/>
                <w:color w:val="auto"/>
                <w:w w:val="98"/>
              </w:rPr>
              <w:t>ASSETS</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4440" w:type="dxa"/>
            <w:vAlign w:val="bottom"/>
          </w:tcPr>
          <w:p>
            <w:pPr>
              <w:spacing w:after="0"/>
              <w:rPr>
                <w:sz w:val="24"/>
                <w:szCs w:val="24"/>
                <w:color w:val="auto"/>
              </w:rPr>
            </w:pPr>
          </w:p>
        </w:tc>
        <w:tc>
          <w:tcPr>
            <w:tcW w:w="1300" w:type="dxa"/>
            <w:vAlign w:val="bottom"/>
            <w:gridSpan w:val="2"/>
          </w:tcPr>
          <w:p>
            <w:pPr>
              <w:jc w:val="right"/>
              <w:ind w:right="52"/>
              <w:spacing w:after="0"/>
              <w:rPr>
                <w:sz w:val="20"/>
                <w:szCs w:val="20"/>
                <w:color w:val="auto"/>
              </w:rPr>
            </w:pPr>
            <w:r>
              <w:rPr>
                <w:rFonts w:ascii="Courier New" w:cs="Courier New" w:eastAsia="Courier New" w:hAnsi="Courier New"/>
                <w:sz w:val="18"/>
                <w:szCs w:val="18"/>
                <w:color w:val="auto"/>
                <w:w w:val="95"/>
              </w:rPr>
              <w:t>December 31</w:t>
            </w:r>
          </w:p>
        </w:tc>
        <w:tc>
          <w:tcPr>
            <w:tcW w:w="13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December 30</w:t>
            </w:r>
          </w:p>
        </w:tc>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September 30</w:t>
            </w:r>
          </w:p>
        </w:tc>
      </w:tr>
      <w:tr>
        <w:trPr>
          <w:trHeight w:val="203"/>
        </w:trPr>
        <w:tc>
          <w:tcPr>
            <w:tcW w:w="4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2"/>
              </w:rPr>
              <w:t>1994</w:t>
            </w:r>
          </w:p>
        </w:tc>
        <w:tc>
          <w:tcPr>
            <w:tcW w:w="380" w:type="dxa"/>
            <w:vAlign w:val="bottom"/>
          </w:tcPr>
          <w:p>
            <w:pPr>
              <w:spacing w:after="0"/>
              <w:rPr>
                <w:sz w:val="17"/>
                <w:szCs w:val="17"/>
                <w:color w:val="auto"/>
              </w:rPr>
            </w:pPr>
          </w:p>
        </w:tc>
        <w:tc>
          <w:tcPr>
            <w:tcW w:w="1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1995</w:t>
            </w:r>
          </w:p>
        </w:tc>
        <w:tc>
          <w:tcPr>
            <w:tcW w:w="360" w:type="dxa"/>
            <w:vAlign w:val="bottom"/>
          </w:tcPr>
          <w:p>
            <w:pPr>
              <w:spacing w:after="0"/>
              <w:rPr>
                <w:sz w:val="17"/>
                <w:szCs w:val="17"/>
                <w:color w:val="auto"/>
              </w:rPr>
            </w:pPr>
          </w:p>
        </w:tc>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2"/>
              </w:rPr>
              <w:t>1995</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Cash and cash equivalents .............</w:t>
            </w:r>
          </w:p>
        </w:tc>
        <w:tc>
          <w:tcPr>
            <w:tcW w:w="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5,410</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7,903</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7,028</w:t>
            </w: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Accounts receivable, less allowances</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of $3,213, $3,381 and $3,406, ........</w:t>
            </w:r>
          </w:p>
        </w:tc>
        <w:tc>
          <w:tcPr>
            <w:tcW w:w="4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128,454</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196,373</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176,525</w:t>
            </w:r>
          </w:p>
        </w:tc>
      </w:tr>
      <w:tr>
        <w:trPr>
          <w:trHeight w:val="203"/>
        </w:trPr>
        <w:tc>
          <w:tcPr>
            <w:tcW w:w="4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respectively</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Inventories, net ......................</w:t>
            </w:r>
          </w:p>
        </w:tc>
        <w:tc>
          <w:tcPr>
            <w:tcW w:w="4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145,095</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184,629</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143,953</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Prepaid and other assets ..............</w:t>
            </w:r>
          </w:p>
        </w:tc>
        <w:tc>
          <w:tcPr>
            <w:tcW w:w="4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17,240</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20,942</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21,659</w:t>
            </w:r>
          </w:p>
        </w:tc>
      </w:tr>
      <w:tr>
        <w:trPr>
          <w:trHeight w:val="203"/>
        </w:trPr>
        <w:tc>
          <w:tcPr>
            <w:tcW w:w="4440" w:type="dxa"/>
            <w:vAlign w:val="bottom"/>
          </w:tcPr>
          <w:p>
            <w:pPr>
              <w:spacing w:after="0"/>
              <w:rPr>
                <w:sz w:val="17"/>
                <w:szCs w:val="17"/>
                <w:color w:val="auto"/>
              </w:rPr>
            </w:pPr>
          </w:p>
        </w:tc>
        <w:tc>
          <w:tcPr>
            <w:tcW w:w="13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current assets .................</w:t>
            </w:r>
          </w:p>
        </w:tc>
        <w:tc>
          <w:tcPr>
            <w:tcW w:w="4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296,199</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409,847</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349,165</w:t>
            </w:r>
          </w:p>
        </w:tc>
      </w:tr>
      <w:tr>
        <w:trPr>
          <w:trHeight w:val="203"/>
        </w:trPr>
        <w:tc>
          <w:tcPr>
            <w:tcW w:w="4440" w:type="dxa"/>
            <w:vAlign w:val="bottom"/>
          </w:tcPr>
          <w:p>
            <w:pPr>
              <w:spacing w:after="0"/>
              <w:rPr>
                <w:sz w:val="17"/>
                <w:szCs w:val="17"/>
                <w:color w:val="auto"/>
              </w:rPr>
            </w:pPr>
          </w:p>
        </w:tc>
        <w:tc>
          <w:tcPr>
            <w:tcW w:w="13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Property, plant and equipment, net ......</w:t>
            </w:r>
          </w:p>
        </w:tc>
        <w:tc>
          <w:tcPr>
            <w:tcW w:w="420" w:type="dxa"/>
            <w:vAlign w:val="bottom"/>
          </w:tcPr>
          <w:p>
            <w:pPr>
              <w:spacing w:after="0"/>
              <w:rPr>
                <w:sz w:val="24"/>
                <w:szCs w:val="24"/>
                <w:color w:val="auto"/>
              </w:rPr>
            </w:pPr>
          </w:p>
        </w:tc>
        <w:tc>
          <w:tcPr>
            <w:tcW w:w="880" w:type="dxa"/>
            <w:vAlign w:val="bottom"/>
          </w:tcPr>
          <w:p>
            <w:pPr>
              <w:jc w:val="right"/>
              <w:ind w:right="52"/>
              <w:spacing w:after="0"/>
              <w:rPr>
                <w:sz w:val="20"/>
                <w:szCs w:val="20"/>
                <w:color w:val="auto"/>
              </w:rPr>
            </w:pPr>
            <w:r>
              <w:rPr>
                <w:rFonts w:ascii="Courier New" w:cs="Courier New" w:eastAsia="Courier New" w:hAnsi="Courier New"/>
                <w:sz w:val="18"/>
                <w:szCs w:val="18"/>
                <w:color w:val="auto"/>
                <w:w w:val="95"/>
              </w:rPr>
              <w:t>141,556</w:t>
            </w:r>
          </w:p>
        </w:tc>
        <w:tc>
          <w:tcPr>
            <w:tcW w:w="38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147,787</w:t>
            </w:r>
          </w:p>
        </w:tc>
        <w:tc>
          <w:tcPr>
            <w:tcW w:w="36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148,754</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Trademarks, net .........................</w:t>
            </w:r>
          </w:p>
        </w:tc>
        <w:tc>
          <w:tcPr>
            <w:tcW w:w="42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88,688</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89,250</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Other intangibles, net ..................</w:t>
            </w:r>
          </w:p>
        </w:tc>
        <w:tc>
          <w:tcPr>
            <w:tcW w:w="4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27,485</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23,513</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24,421</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Goodwill ................................</w:t>
            </w:r>
          </w:p>
        </w:tc>
        <w:tc>
          <w:tcPr>
            <w:tcW w:w="4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103,926</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178,794</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179,988</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Other assets ............................</w:t>
            </w:r>
          </w:p>
        </w:tc>
        <w:tc>
          <w:tcPr>
            <w:tcW w:w="4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4,957</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15,883</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15,772</w:t>
            </w:r>
          </w:p>
        </w:tc>
      </w:tr>
      <w:tr>
        <w:trPr>
          <w:trHeight w:val="203"/>
        </w:trPr>
        <w:tc>
          <w:tcPr>
            <w:tcW w:w="4440" w:type="dxa"/>
            <w:vAlign w:val="bottom"/>
          </w:tcPr>
          <w:p>
            <w:pPr>
              <w:spacing w:after="0"/>
              <w:rPr>
                <w:sz w:val="17"/>
                <w:szCs w:val="17"/>
                <w:color w:val="auto"/>
              </w:rPr>
            </w:pPr>
          </w:p>
        </w:tc>
        <w:tc>
          <w:tcPr>
            <w:tcW w:w="13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Total Assets .........................</w:t>
            </w:r>
          </w:p>
        </w:tc>
        <w:tc>
          <w:tcPr>
            <w:tcW w:w="1300" w:type="dxa"/>
            <w:vAlign w:val="bottom"/>
            <w:gridSpan w:val="2"/>
          </w:tcPr>
          <w:p>
            <w:pPr>
              <w:jc w:val="right"/>
              <w:ind w:right="52"/>
              <w:spacing w:after="0"/>
              <w:rPr>
                <w:sz w:val="20"/>
                <w:szCs w:val="20"/>
                <w:color w:val="auto"/>
              </w:rPr>
            </w:pPr>
            <w:r>
              <w:rPr>
                <w:rFonts w:ascii="Courier New" w:cs="Courier New" w:eastAsia="Courier New" w:hAnsi="Courier New"/>
                <w:sz w:val="18"/>
                <w:szCs w:val="18"/>
                <w:color w:val="auto"/>
              </w:rPr>
              <w:t>$ 574,123</w:t>
            </w:r>
          </w:p>
        </w:tc>
        <w:tc>
          <w:tcPr>
            <w:tcW w:w="13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$ 864,512</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$ 807,350</w:t>
            </w:r>
          </w:p>
        </w:tc>
      </w:tr>
      <w:tr>
        <w:trPr>
          <w:trHeight w:val="203"/>
        </w:trPr>
        <w:tc>
          <w:tcPr>
            <w:tcW w:w="4440" w:type="dxa"/>
            <w:vAlign w:val="bottom"/>
          </w:tcPr>
          <w:p>
            <w:pPr>
              <w:spacing w:after="0"/>
              <w:rPr>
                <w:sz w:val="17"/>
                <w:szCs w:val="17"/>
                <w:color w:val="auto"/>
              </w:rPr>
            </w:pPr>
          </w:p>
        </w:tc>
        <w:tc>
          <w:tcPr>
            <w:tcW w:w="13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20" w:type="dxa"/>
            <w:vAlign w:val="bottom"/>
            <w:gridSpan w:val="4"/>
          </w:tcPr>
          <w:p>
            <w:pPr>
              <w:jc w:val="center"/>
              <w:ind w:left="2032"/>
              <w:spacing w:after="0"/>
              <w:rPr>
                <w:sz w:val="20"/>
                <w:szCs w:val="20"/>
                <w:color w:val="auto"/>
              </w:rPr>
            </w:pPr>
            <w:r>
              <w:rPr>
                <w:rFonts w:ascii="Courier New" w:cs="Courier New" w:eastAsia="Courier New" w:hAnsi="Courier New"/>
                <w:sz w:val="18"/>
                <w:szCs w:val="18"/>
                <w:color w:val="auto"/>
                <w:w w:val="97"/>
              </w:rPr>
              <w:t>LIABILITIES AND SHAREHOLDERS' EQUITY</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Revolving credit line .................</w:t>
            </w:r>
          </w:p>
        </w:tc>
        <w:tc>
          <w:tcPr>
            <w:tcW w:w="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68,062</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36,071</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Current portion of term debt ..........</w:t>
            </w:r>
          </w:p>
        </w:tc>
        <w:tc>
          <w:tcPr>
            <w:tcW w:w="4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5,540</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417</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421</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Accounts payable ......................</w:t>
            </w:r>
          </w:p>
        </w:tc>
        <w:tc>
          <w:tcPr>
            <w:tcW w:w="4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53,565</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54,414</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63,207</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current liabilities .............</w:t>
            </w:r>
          </w:p>
        </w:tc>
        <w:tc>
          <w:tcPr>
            <w:tcW w:w="4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24,000</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32,063</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36,987</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Accrued taxes .........................</w:t>
            </w:r>
          </w:p>
        </w:tc>
        <w:tc>
          <w:tcPr>
            <w:tcW w:w="4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11,065</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11,058</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18,728</w:t>
            </w:r>
          </w:p>
        </w:tc>
      </w:tr>
      <w:tr>
        <w:trPr>
          <w:trHeight w:val="203"/>
        </w:trPr>
        <w:tc>
          <w:tcPr>
            <w:tcW w:w="4440" w:type="dxa"/>
            <w:vAlign w:val="bottom"/>
          </w:tcPr>
          <w:p>
            <w:pPr>
              <w:spacing w:after="0"/>
              <w:rPr>
                <w:sz w:val="17"/>
                <w:szCs w:val="17"/>
                <w:color w:val="auto"/>
              </w:rPr>
            </w:pPr>
          </w:p>
        </w:tc>
        <w:tc>
          <w:tcPr>
            <w:tcW w:w="13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current liabilities ............</w:t>
            </w:r>
          </w:p>
        </w:tc>
        <w:tc>
          <w:tcPr>
            <w:tcW w:w="4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162,232</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134,023</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119,440</w:t>
            </w:r>
          </w:p>
        </w:tc>
      </w:tr>
      <w:tr>
        <w:trPr>
          <w:trHeight w:val="203"/>
        </w:trPr>
        <w:tc>
          <w:tcPr>
            <w:tcW w:w="4440" w:type="dxa"/>
            <w:vAlign w:val="bottom"/>
          </w:tcPr>
          <w:p>
            <w:pPr>
              <w:spacing w:after="0"/>
              <w:rPr>
                <w:sz w:val="17"/>
                <w:szCs w:val="17"/>
                <w:color w:val="auto"/>
              </w:rPr>
            </w:pPr>
          </w:p>
        </w:tc>
        <w:tc>
          <w:tcPr>
            <w:tcW w:w="13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Term debt, less current portion .........</w:t>
            </w:r>
          </w:p>
        </w:tc>
        <w:tc>
          <w:tcPr>
            <w:tcW w:w="420" w:type="dxa"/>
            <w:vAlign w:val="bottom"/>
          </w:tcPr>
          <w:p>
            <w:pPr>
              <w:spacing w:after="0"/>
              <w:rPr>
                <w:sz w:val="24"/>
                <w:szCs w:val="24"/>
                <w:color w:val="auto"/>
              </w:rPr>
            </w:pPr>
          </w:p>
        </w:tc>
        <w:tc>
          <w:tcPr>
            <w:tcW w:w="880" w:type="dxa"/>
            <w:vAlign w:val="bottom"/>
          </w:tcPr>
          <w:p>
            <w:pPr>
              <w:jc w:val="right"/>
              <w:ind w:right="52"/>
              <w:spacing w:after="0"/>
              <w:rPr>
                <w:sz w:val="20"/>
                <w:szCs w:val="20"/>
                <w:color w:val="auto"/>
              </w:rPr>
            </w:pPr>
            <w:r>
              <w:rPr>
                <w:rFonts w:ascii="Courier New" w:cs="Courier New" w:eastAsia="Courier New" w:hAnsi="Courier New"/>
                <w:sz w:val="18"/>
                <w:szCs w:val="18"/>
                <w:color w:val="auto"/>
                <w:w w:val="95"/>
              </w:rPr>
              <w:t>217,618</w:t>
            </w:r>
          </w:p>
        </w:tc>
        <w:tc>
          <w:tcPr>
            <w:tcW w:w="38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324,368</w:t>
            </w:r>
          </w:p>
        </w:tc>
        <w:tc>
          <w:tcPr>
            <w:tcW w:w="36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272,025</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Postretirement benefits other than ......</w:t>
            </w:r>
          </w:p>
        </w:tc>
        <w:tc>
          <w:tcPr>
            <w:tcW w:w="4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27,180</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27,204</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27,159</w:t>
            </w:r>
          </w:p>
        </w:tc>
      </w:tr>
      <w:tr>
        <w:trPr>
          <w:trHeight w:val="203"/>
        </w:trPr>
        <w:tc>
          <w:tcPr>
            <w:tcW w:w="4440" w:type="dxa"/>
            <w:vAlign w:val="bottom"/>
          </w:tcPr>
          <w:p>
            <w:pPr>
              <w:jc w:val="right"/>
              <w:ind w:right="3192"/>
              <w:spacing w:after="0" w:line="203" w:lineRule="exact"/>
              <w:rPr>
                <w:sz w:val="20"/>
                <w:szCs w:val="20"/>
                <w:color w:val="auto"/>
              </w:rPr>
            </w:pPr>
            <w:r>
              <w:rPr>
                <w:rFonts w:ascii="Courier New" w:cs="Courier New" w:eastAsia="Courier New" w:hAnsi="Courier New"/>
                <w:sz w:val="18"/>
                <w:szCs w:val="18"/>
                <w:color w:val="auto"/>
              </w:rPr>
              <w:t>pensions</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Other liabilities .......................</w:t>
            </w:r>
          </w:p>
        </w:tc>
        <w:tc>
          <w:tcPr>
            <w:tcW w:w="4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3,492</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5,152</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5,209</w:t>
            </w:r>
          </w:p>
        </w:tc>
      </w:tr>
      <w:tr>
        <w:trPr>
          <w:trHeight w:val="203"/>
        </w:trPr>
        <w:tc>
          <w:tcPr>
            <w:tcW w:w="4440" w:type="dxa"/>
            <w:vAlign w:val="bottom"/>
          </w:tcPr>
          <w:p>
            <w:pPr>
              <w:spacing w:after="0"/>
              <w:rPr>
                <w:sz w:val="17"/>
                <w:szCs w:val="17"/>
                <w:color w:val="auto"/>
              </w:rPr>
            </w:pPr>
          </w:p>
        </w:tc>
        <w:tc>
          <w:tcPr>
            <w:tcW w:w="13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Total Liabilities ....................</w:t>
            </w:r>
          </w:p>
        </w:tc>
        <w:tc>
          <w:tcPr>
            <w:tcW w:w="420" w:type="dxa"/>
            <w:vAlign w:val="bottom"/>
          </w:tcPr>
          <w:p>
            <w:pPr>
              <w:spacing w:after="0"/>
              <w:rPr>
                <w:sz w:val="24"/>
                <w:szCs w:val="24"/>
                <w:color w:val="auto"/>
              </w:rPr>
            </w:pPr>
          </w:p>
        </w:tc>
        <w:tc>
          <w:tcPr>
            <w:tcW w:w="880" w:type="dxa"/>
            <w:vAlign w:val="bottom"/>
          </w:tcPr>
          <w:p>
            <w:pPr>
              <w:jc w:val="right"/>
              <w:ind w:right="52"/>
              <w:spacing w:after="0"/>
              <w:rPr>
                <w:sz w:val="20"/>
                <w:szCs w:val="20"/>
                <w:color w:val="auto"/>
              </w:rPr>
            </w:pPr>
            <w:r>
              <w:rPr>
                <w:rFonts w:ascii="Courier New" w:cs="Courier New" w:eastAsia="Courier New" w:hAnsi="Courier New"/>
                <w:sz w:val="18"/>
                <w:szCs w:val="18"/>
                <w:color w:val="auto"/>
                <w:w w:val="95"/>
              </w:rPr>
              <w:t>410,522</w:t>
            </w:r>
          </w:p>
        </w:tc>
        <w:tc>
          <w:tcPr>
            <w:tcW w:w="38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490,747</w:t>
            </w:r>
          </w:p>
        </w:tc>
        <w:tc>
          <w:tcPr>
            <w:tcW w:w="36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423,833</w:t>
            </w:r>
          </w:p>
        </w:tc>
      </w:tr>
      <w:tr>
        <w:trPr>
          <w:trHeight w:val="203"/>
        </w:trPr>
        <w:tc>
          <w:tcPr>
            <w:tcW w:w="4440" w:type="dxa"/>
            <w:vAlign w:val="bottom"/>
          </w:tcPr>
          <w:p>
            <w:pPr>
              <w:spacing w:after="0"/>
              <w:rPr>
                <w:sz w:val="17"/>
                <w:szCs w:val="17"/>
                <w:color w:val="auto"/>
              </w:rPr>
            </w:pPr>
          </w:p>
        </w:tc>
        <w:tc>
          <w:tcPr>
            <w:tcW w:w="13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Class A Convertible Preferred Stock, ..</w:t>
            </w:r>
          </w:p>
        </w:tc>
        <w:tc>
          <w:tcPr>
            <w:tcW w:w="42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177,255</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177,255</w:t>
            </w:r>
          </w:p>
        </w:tc>
      </w:tr>
      <w:tr>
        <w:trPr>
          <w:trHeight w:val="203"/>
        </w:trPr>
        <w:tc>
          <w:tcPr>
            <w:tcW w:w="444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no par value</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Common Shares .........................</w:t>
            </w:r>
          </w:p>
        </w:tc>
        <w:tc>
          <w:tcPr>
            <w:tcW w:w="4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211</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211</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211</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Capital in excess of par value ........</w:t>
            </w:r>
          </w:p>
        </w:tc>
        <w:tc>
          <w:tcPr>
            <w:tcW w:w="4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193,418</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207,557</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207,551</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Retained earnings .....................</w:t>
            </w:r>
          </w:p>
        </w:tc>
        <w:tc>
          <w:tcPr>
            <w:tcW w:w="4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9,277</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25,789</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35,399</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Cumulative translation gain ...........</w:t>
            </w:r>
          </w:p>
        </w:tc>
        <w:tc>
          <w:tcPr>
            <w:tcW w:w="4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2,136</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3,934</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4,082</w:t>
            </w: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Treasury stock, 2,415 shares in 1994</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and 2,388 shares in 1995 at cost .....</w:t>
            </w:r>
          </w:p>
        </w:tc>
        <w:tc>
          <w:tcPr>
            <w:tcW w:w="4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(41,441)</w:t>
            </w:r>
          </w:p>
        </w:tc>
        <w:tc>
          <w:tcPr>
            <w:tcW w:w="3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(40,981)</w:t>
            </w:r>
          </w:p>
        </w:tc>
        <w:tc>
          <w:tcPr>
            <w:tcW w:w="3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(40,981)</w:t>
            </w:r>
          </w:p>
        </w:tc>
      </w:tr>
      <w:tr>
        <w:trPr>
          <w:trHeight w:val="203"/>
        </w:trPr>
        <w:tc>
          <w:tcPr>
            <w:tcW w:w="4440" w:type="dxa"/>
            <w:vAlign w:val="bottom"/>
          </w:tcPr>
          <w:p>
            <w:pPr>
              <w:spacing w:after="0"/>
              <w:rPr>
                <w:sz w:val="17"/>
                <w:szCs w:val="17"/>
                <w:color w:val="auto"/>
              </w:rPr>
            </w:pPr>
          </w:p>
        </w:tc>
        <w:tc>
          <w:tcPr>
            <w:tcW w:w="13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Shareholders' Equity ...........</w:t>
            </w:r>
          </w:p>
        </w:tc>
        <w:tc>
          <w:tcPr>
            <w:tcW w:w="4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163,601</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373,765</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383,517</w:t>
            </w:r>
          </w:p>
        </w:tc>
      </w:tr>
      <w:tr>
        <w:trPr>
          <w:trHeight w:val="203"/>
        </w:trPr>
        <w:tc>
          <w:tcPr>
            <w:tcW w:w="4440" w:type="dxa"/>
            <w:vAlign w:val="bottom"/>
          </w:tcPr>
          <w:p>
            <w:pPr>
              <w:spacing w:after="0"/>
              <w:rPr>
                <w:sz w:val="17"/>
                <w:szCs w:val="17"/>
                <w:color w:val="auto"/>
              </w:rPr>
            </w:pPr>
          </w:p>
        </w:tc>
        <w:tc>
          <w:tcPr>
            <w:tcW w:w="13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Total Liabilities and Shareholders' ..</w:t>
            </w:r>
          </w:p>
        </w:tc>
        <w:tc>
          <w:tcPr>
            <w:tcW w:w="1300" w:type="dxa"/>
            <w:vAlign w:val="bottom"/>
            <w:gridSpan w:val="2"/>
          </w:tcPr>
          <w:p>
            <w:pPr>
              <w:jc w:val="right"/>
              <w:ind w:right="52"/>
              <w:spacing w:after="0"/>
              <w:rPr>
                <w:sz w:val="20"/>
                <w:szCs w:val="20"/>
                <w:color w:val="auto"/>
              </w:rPr>
            </w:pPr>
            <w:r>
              <w:rPr>
                <w:rFonts w:ascii="Courier New" w:cs="Courier New" w:eastAsia="Courier New" w:hAnsi="Courier New"/>
                <w:sz w:val="18"/>
                <w:szCs w:val="18"/>
                <w:color w:val="auto"/>
              </w:rPr>
              <w:t>$ 574,123</w:t>
            </w:r>
          </w:p>
        </w:tc>
        <w:tc>
          <w:tcPr>
            <w:tcW w:w="13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$ 864,512</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$ 807,350</w:t>
            </w:r>
          </w:p>
        </w:tc>
      </w:tr>
      <w:tr>
        <w:trPr>
          <w:trHeight w:val="203"/>
        </w:trPr>
        <w:tc>
          <w:tcPr>
            <w:tcW w:w="4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Equity</w:t>
            </w:r>
          </w:p>
        </w:tc>
        <w:tc>
          <w:tcPr>
            <w:tcW w:w="13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5</w:t>
      </w:r>
    </w:p>
    <w:p>
      <w:pPr>
        <w:sectPr>
          <w:pgSz w:w="11900" w:h="16838" w:orient="portrait"/>
          <w:cols w:equalWidth="0" w:num="1">
            <w:col w:w="10219"/>
          </w:cols>
          <w:pgMar w:left="240" w:top="717" w:right="1440" w:bottom="767" w:gutter="0" w:footer="0" w:header="0"/>
        </w:sectPr>
      </w:pPr>
    </w:p>
    <w:bookmarkStart w:id="5" w:name="page6"/>
    <w:bookmarkEnd w:id="5"/>
    <w:p>
      <w:pPr>
        <w:ind w:left="2312"/>
        <w:spacing w:after="0"/>
        <w:rPr>
          <w:sz w:val="20"/>
          <w:szCs w:val="20"/>
          <w:color w:val="auto"/>
        </w:rPr>
      </w:pPr>
      <w:r>
        <w:rPr>
          <w:rFonts w:ascii="Courier New" w:cs="Courier New" w:eastAsia="Courier New" w:hAnsi="Courier New"/>
          <w:sz w:val="18"/>
          <w:szCs w:val="18"/>
          <w:color w:val="auto"/>
        </w:rPr>
        <w:t>THE SCOTTS COMPANY AND SUBSIDIARIES</w:t>
      </w:r>
    </w:p>
    <w:p>
      <w:pPr>
        <w:ind w:left="1892"/>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 w:hanging="412"/>
        <w:spacing w:after="0"/>
        <w:tabs>
          <w:tab w:leader="none" w:pos="41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ORGANIZATION AND BASIS OF PRESENTATION</w:t>
      </w:r>
    </w:p>
    <w:p>
      <w:pPr>
        <w:spacing w:after="0" w:line="206" w:lineRule="exact"/>
        <w:rPr>
          <w:rFonts w:ascii="Courier New" w:cs="Courier New" w:eastAsia="Courier New" w:hAnsi="Courier New"/>
          <w:sz w:val="18"/>
          <w:szCs w:val="18"/>
          <w:color w:val="auto"/>
        </w:rPr>
      </w:pPr>
    </w:p>
    <w:p>
      <w:pPr>
        <w:jc w:val="both"/>
        <w:ind w:left="412"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Scotts Company ("Scotts") and its wholly owned subsidiaries, Hyponex Corporation ("Hyponex"), Republic Tool and Manufacturing Corp. ("Republic"), Scotts-Sierra Horticultural Products Company ("Sierra") and Scotts' Miracle-Gro Products, Inc. ("Miracle-Gro"), (collectively, the "Company"), are engaged in the manufacture and sale of lawn care and garden products. All material intercompany transactions have been eliminated.</w:t>
      </w:r>
    </w:p>
    <w:p>
      <w:pPr>
        <w:spacing w:after="0" w:line="211" w:lineRule="exact"/>
        <w:rPr>
          <w:rFonts w:ascii="Courier New" w:cs="Courier New" w:eastAsia="Courier New" w:hAnsi="Courier New"/>
          <w:sz w:val="18"/>
          <w:szCs w:val="18"/>
          <w:color w:val="auto"/>
        </w:rPr>
      </w:pPr>
    </w:p>
    <w:p>
      <w:pPr>
        <w:jc w:val="both"/>
        <w:ind w:left="412" w:right="19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consolidated balance sheets as of December 31, 1994 and December 30, 1995, the related consolidated statements of income for the three month periods ended December 31, 1994 and December 30, 1995 and the related consolidated statements of cash flows for the three month periods ended December 31, 1994 and December 30, 1995 are unaudited; however, in the opinion of management, such financial statements contain all adjustments necessary for the fair presentation of the Company's financial position and results of operations. Interim results reflect all normal recurring adjustments and are not necessarily indicative of results for a full year. The interim financial statements and notes are presented as specified by Regulation S-X of the Securities Exchange Act of 1934, and should be read in conjunction with the financial statements and accompanying notes in Scotts' fiscal 1995 Annual Report on Form 10-K.</w:t>
      </w:r>
    </w:p>
    <w:p>
      <w:pPr>
        <w:spacing w:after="0" w:line="207" w:lineRule="exact"/>
        <w:rPr>
          <w:rFonts w:ascii="Courier New" w:cs="Courier New" w:eastAsia="Courier New" w:hAnsi="Courier New"/>
          <w:sz w:val="18"/>
          <w:szCs w:val="18"/>
          <w:color w:val="auto"/>
        </w:rPr>
      </w:pPr>
    </w:p>
    <w:p>
      <w:pPr>
        <w:jc w:val="both"/>
        <w:ind w:left="412"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statements for the three month period ended December 31, 1994 have been revised to reflect a change in the timing of expense recognition related to a promotional allowance offered to retail customers introduced for the first time in fiscal 1995. The impact of this revision was on timing of marketing promotional expense recognition in the first three quarters of Scotts' 1995 fiscal year and did not impact the full fiscal year results of operations.</w:t>
      </w:r>
    </w:p>
    <w:p>
      <w:pPr>
        <w:spacing w:after="0" w:line="211" w:lineRule="exact"/>
        <w:rPr>
          <w:rFonts w:ascii="Courier New" w:cs="Courier New" w:eastAsia="Courier New" w:hAnsi="Courier New"/>
          <w:sz w:val="18"/>
          <w:szCs w:val="18"/>
          <w:color w:val="auto"/>
        </w:rPr>
      </w:pPr>
    </w:p>
    <w:p>
      <w:pPr>
        <w:ind w:left="412" w:right="8319" w:hanging="412"/>
        <w:spacing w:after="0" w:line="290" w:lineRule="auto"/>
        <w:tabs>
          <w:tab w:leader="none" w:pos="41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(in thousands)</w:t>
      </w:r>
    </w:p>
    <w:p>
      <w:pPr>
        <w:spacing w:after="0" w:line="169" w:lineRule="exact"/>
        <w:rPr>
          <w:rFonts w:ascii="Courier New" w:cs="Courier New" w:eastAsia="Courier New" w:hAnsi="Courier New"/>
          <w:sz w:val="16"/>
          <w:szCs w:val="16"/>
          <w:color w:val="auto"/>
        </w:rPr>
      </w:pPr>
    </w:p>
    <w:p>
      <w:pPr>
        <w:ind w:left="41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net of provisions of $6,101, $6,189 and $6,711, consisted of:</w:t>
      </w:r>
    </w:p>
    <w:p>
      <w:pPr>
        <w:spacing w:after="0" w:line="218" w:lineRule="exact"/>
        <w:rPr>
          <w:sz w:val="20"/>
          <w:szCs w:val="20"/>
          <w:color w:val="auto"/>
        </w:rPr>
      </w:pPr>
    </w:p>
    <w:tbl>
      <w:tblPr>
        <w:tblLayout w:type="fixed"/>
        <w:tblInd w:w="412" w:type="dxa"/>
        <w:tblCellMar>
          <w:top w:w="0" w:type="dxa"/>
          <w:left w:w="0" w:type="dxa"/>
          <w:bottom w:w="0" w:type="dxa"/>
          <w:right w:w="0" w:type="dxa"/>
        </w:tblCellMar>
      </w:tblPr>
      <w:tr>
        <w:trPr>
          <w:trHeight w:val="204"/>
        </w:trPr>
        <w:tc>
          <w:tcPr>
            <w:tcW w:w="1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December 31</w:t>
            </w:r>
          </w:p>
        </w:tc>
        <w:tc>
          <w:tcPr>
            <w:tcW w:w="380" w:type="dxa"/>
            <w:vAlign w:val="bottom"/>
          </w:tcPr>
          <w:p>
            <w:pPr>
              <w:spacing w:after="0"/>
              <w:rPr>
                <w:sz w:val="17"/>
                <w:szCs w:val="17"/>
                <w:color w:val="auto"/>
              </w:rPr>
            </w:pP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December 30</w:t>
            </w:r>
          </w:p>
        </w:tc>
        <w:tc>
          <w:tcPr>
            <w:tcW w:w="158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5"/>
              </w:rPr>
              <w:t>September 30</w:t>
            </w:r>
          </w:p>
        </w:tc>
      </w:tr>
      <w:tr>
        <w:trPr>
          <w:trHeight w:val="203"/>
        </w:trPr>
        <w:tc>
          <w:tcPr>
            <w:tcW w:w="1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1994</w:t>
            </w:r>
          </w:p>
        </w:tc>
        <w:tc>
          <w:tcPr>
            <w:tcW w:w="38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1995</w:t>
            </w:r>
          </w:p>
        </w:tc>
        <w:tc>
          <w:tcPr>
            <w:tcW w:w="48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1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Finished Goods</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85,314</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112,981</w:t>
            </w:r>
          </w:p>
        </w:tc>
        <w:tc>
          <w:tcPr>
            <w:tcW w:w="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71,431</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Raw Materials</w:t>
            </w:r>
          </w:p>
        </w:tc>
        <w:tc>
          <w:tcPr>
            <w:tcW w:w="520" w:type="dxa"/>
            <w:vAlign w:val="bottom"/>
          </w:tcPr>
          <w:p>
            <w:pPr>
              <w:spacing w:after="0"/>
              <w:rPr>
                <w:sz w:val="17"/>
                <w:szCs w:val="17"/>
                <w:color w:val="auto"/>
              </w:rPr>
            </w:pP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59,781</w:t>
            </w:r>
          </w:p>
        </w:tc>
        <w:tc>
          <w:tcPr>
            <w:tcW w:w="38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71,648</w:t>
            </w:r>
          </w:p>
        </w:tc>
        <w:tc>
          <w:tcPr>
            <w:tcW w:w="4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72,522</w:t>
            </w:r>
          </w:p>
        </w:tc>
      </w:tr>
      <w:tr>
        <w:trPr>
          <w:trHeight w:val="203"/>
        </w:trPr>
        <w:tc>
          <w:tcPr>
            <w:tcW w:w="1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8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145,095</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184,629</w:t>
            </w:r>
          </w:p>
        </w:tc>
        <w:tc>
          <w:tcPr>
            <w:tcW w:w="48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143,953</w:t>
            </w:r>
          </w:p>
        </w:tc>
      </w:tr>
      <w:tr>
        <w:trPr>
          <w:trHeight w:val="203"/>
        </w:trPr>
        <w:tc>
          <w:tcPr>
            <w:tcW w:w="1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3792"/>
        <w:spacing w:after="0"/>
        <w:rPr>
          <w:sz w:val="20"/>
          <w:szCs w:val="20"/>
          <w:color w:val="auto"/>
        </w:rPr>
      </w:pPr>
      <w:r>
        <w:rPr>
          <w:rFonts w:ascii="Courier New" w:cs="Courier New" w:eastAsia="Courier New" w:hAnsi="Courier New"/>
          <w:sz w:val="18"/>
          <w:szCs w:val="18"/>
          <w:color w:val="auto"/>
        </w:rPr>
        <w:t>Page 6</w:t>
      </w:r>
    </w:p>
    <w:p>
      <w:pPr>
        <w:sectPr>
          <w:pgSz w:w="11900" w:h="16838" w:orient="portrait"/>
          <w:cols w:equalWidth="0" w:num="1">
            <w:col w:w="10211"/>
          </w:cols>
          <w:pgMar w:left="248" w:top="717" w:right="1440" w:bottom="1440" w:gutter="0" w:footer="0" w:header="0"/>
        </w:sectPr>
      </w:pPr>
    </w:p>
    <w:bookmarkStart w:id="6" w:name="page7"/>
    <w:bookmarkEnd w:id="6"/>
    <w:p>
      <w:pPr>
        <w:ind w:left="2312"/>
        <w:spacing w:after="0"/>
        <w:rPr>
          <w:sz w:val="20"/>
          <w:szCs w:val="20"/>
          <w:color w:val="auto"/>
        </w:rPr>
      </w:pPr>
      <w:r>
        <w:rPr>
          <w:rFonts w:ascii="Courier New" w:cs="Courier New" w:eastAsia="Courier New" w:hAnsi="Courier New"/>
          <w:sz w:val="18"/>
          <w:szCs w:val="18"/>
          <w:color w:val="auto"/>
        </w:rPr>
        <w:t>THE SCOTTS COMPANY AND SUBSIDIARIES</w:t>
      </w:r>
    </w:p>
    <w:p>
      <w:pPr>
        <w:ind w:left="1892"/>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412" w:hanging="412"/>
        <w:spacing w:after="0"/>
        <w:tabs>
          <w:tab w:leader="none" w:pos="41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ACQUISITIONS</w:t>
      </w:r>
    </w:p>
    <w:p>
      <w:pPr>
        <w:spacing w:after="0" w:line="206" w:lineRule="exact"/>
        <w:rPr>
          <w:rFonts w:ascii="Courier New" w:cs="Courier New" w:eastAsia="Courier New" w:hAnsi="Courier New"/>
          <w:sz w:val="18"/>
          <w:szCs w:val="18"/>
          <w:color w:val="auto"/>
        </w:rPr>
      </w:pPr>
    </w:p>
    <w:p>
      <w:pPr>
        <w:jc w:val="both"/>
        <w:ind w:left="412"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May 19, 1995, the Company completed the merger transactions with Stern's Miracle-Gro Products, Inc. and affiliated companies (the "Miracle-Gro Companies"). The ultimate surviving corporation is now known as Scotts' Miracle-Gro Products, Inc. (all further references will be made as "Miracle-Gro"). Miracle-Gro is engaged in the marketing and distribution of plant foods and lawn and garden products primarily in the United States, Canada and Europe.</w:t>
      </w:r>
    </w:p>
    <w:p>
      <w:pPr>
        <w:sectPr>
          <w:pgSz w:w="11900" w:h="16838" w:orient="portrait"/>
          <w:cols w:equalWidth="0" w:num="1">
            <w:col w:w="10211"/>
          </w:cols>
          <w:pgMar w:left="248" w:top="717" w:right="1440" w:bottom="1440" w:gutter="0" w:footer="0" w:header="0"/>
        </w:sectPr>
      </w:pPr>
    </w:p>
    <w:p>
      <w:pPr>
        <w:spacing w:after="0" w:line="211" w:lineRule="exact"/>
        <w:rPr>
          <w:sz w:val="20"/>
          <w:szCs w:val="20"/>
          <w:color w:val="auto"/>
        </w:rPr>
      </w:pPr>
    </w:p>
    <w:p>
      <w:pPr>
        <w:ind w:left="412"/>
        <w:spacing w:after="0" w:line="235" w:lineRule="auto"/>
        <w:rPr>
          <w:sz w:val="20"/>
          <w:szCs w:val="20"/>
          <w:color w:val="auto"/>
        </w:rPr>
      </w:pPr>
      <w:r>
        <w:rPr>
          <w:rFonts w:ascii="Courier New" w:cs="Courier New" w:eastAsia="Courier New" w:hAnsi="Courier New"/>
          <w:sz w:val="18"/>
          <w:szCs w:val="18"/>
          <w:color w:val="auto"/>
        </w:rPr>
        <w:t>The following pro forma results Miracle-Gro Companies acquisition</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of operations as if it had</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give</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occurred</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right"/>
        <w:ind w:right="1999"/>
        <w:spacing w:after="0"/>
        <w:tabs>
          <w:tab w:leader="none" w:pos="720" w:val="left"/>
          <w:tab w:leader="none" w:pos="300" w:val="left"/>
        </w:tabs>
        <w:rPr>
          <w:sz w:val="20"/>
          <w:szCs w:val="20"/>
          <w:color w:val="auto"/>
        </w:rPr>
      </w:pPr>
      <w:r>
        <w:rPr>
          <w:rFonts w:ascii="Courier New" w:cs="Courier New" w:eastAsia="Courier New" w:hAnsi="Courier New"/>
          <w:sz w:val="18"/>
          <w:szCs w:val="18"/>
          <w:color w:val="auto"/>
        </w:rPr>
        <w:t>effect</w:t>
        <w:tab/>
        <w:t>to</w:t>
      </w:r>
      <w:r>
        <w:rPr>
          <w:sz w:val="20"/>
          <w:szCs w:val="20"/>
          <w:color w:val="auto"/>
        </w:rPr>
        <w:tab/>
      </w:r>
      <w:r>
        <w:rPr>
          <w:rFonts w:ascii="Courier New" w:cs="Courier New" w:eastAsia="Courier New" w:hAnsi="Courier New"/>
          <w:sz w:val="16"/>
          <w:szCs w:val="16"/>
          <w:color w:val="auto"/>
        </w:rPr>
        <w:t>the</w:t>
      </w:r>
    </w:p>
    <w:p>
      <w:pPr>
        <w:jc w:val="right"/>
        <w:ind w:right="1999"/>
        <w:spacing w:after="0" w:line="238" w:lineRule="auto"/>
        <w:rPr>
          <w:sz w:val="20"/>
          <w:szCs w:val="20"/>
          <w:color w:val="auto"/>
        </w:rPr>
      </w:pPr>
      <w:r>
        <w:rPr>
          <w:rFonts w:ascii="Courier New" w:cs="Courier New" w:eastAsia="Courier New" w:hAnsi="Courier New"/>
          <w:sz w:val="18"/>
          <w:szCs w:val="18"/>
          <w:color w:val="auto"/>
        </w:rPr>
        <w:t>on October 1,</w:t>
      </w:r>
    </w:p>
    <w:p>
      <w:pPr>
        <w:spacing w:after="0" w:line="1" w:lineRule="exact"/>
        <w:rPr>
          <w:sz w:val="20"/>
          <w:szCs w:val="20"/>
          <w:color w:val="auto"/>
        </w:rPr>
      </w:pPr>
    </w:p>
    <w:p>
      <w:pPr>
        <w:sectPr>
          <w:pgSz w:w="11900" w:h="16838" w:orient="portrait"/>
          <w:cols w:equalWidth="0" w:num="4">
            <w:col w:w="4112" w:space="200"/>
            <w:col w:w="1480" w:space="0"/>
            <w:col w:w="840" w:space="0"/>
            <w:col w:w="3579"/>
          </w:cols>
          <w:pgMar w:left="248" w:top="717" w:right="1440" w:bottom="1440" w:gutter="0" w:footer="0" w:header="0"/>
          <w:type w:val="continuous"/>
        </w:sectPr>
      </w:pPr>
    </w:p>
    <w:p>
      <w:pPr>
        <w:ind w:left="412"/>
        <w:spacing w:after="0"/>
        <w:rPr>
          <w:sz w:val="20"/>
          <w:szCs w:val="20"/>
          <w:color w:val="auto"/>
        </w:rPr>
      </w:pPr>
      <w:r>
        <w:rPr>
          <w:rFonts w:ascii="Courier New" w:cs="Courier New" w:eastAsia="Courier New" w:hAnsi="Courier New"/>
          <w:sz w:val="18"/>
          <w:szCs w:val="18"/>
          <w:color w:val="auto"/>
        </w:rPr>
        <w:t>1993.</w:t>
      </w:r>
    </w:p>
    <w:p>
      <w:pPr>
        <w:spacing w:after="0" w:line="200" w:lineRule="exact"/>
        <w:rPr>
          <w:sz w:val="20"/>
          <w:szCs w:val="20"/>
          <w:color w:val="auto"/>
        </w:rPr>
      </w:pPr>
    </w:p>
    <w:p>
      <w:pPr>
        <w:ind w:left="952"/>
        <w:spacing w:after="0"/>
        <w:rPr>
          <w:sz w:val="20"/>
          <w:szCs w:val="20"/>
          <w:color w:val="auto"/>
        </w:rPr>
      </w:pPr>
      <w:r>
        <w:rPr>
          <w:rFonts w:ascii="Courier New" w:cs="Courier New" w:eastAsia="Courier New" w:hAnsi="Courier New"/>
          <w:sz w:val="18"/>
          <w:szCs w:val="18"/>
          <w:color w:val="auto"/>
        </w:rPr>
        <w:t>(in thousands, except per share amounts)</w:t>
      </w:r>
    </w:p>
    <w:p>
      <w:pPr>
        <w:spacing w:after="0" w:line="207" w:lineRule="exact"/>
        <w:rPr>
          <w:sz w:val="20"/>
          <w:szCs w:val="20"/>
          <w:color w:val="auto"/>
        </w:rPr>
      </w:pPr>
    </w:p>
    <w:p>
      <w:pPr>
        <w:jc w:val="center"/>
        <w:ind w:right="-312"/>
        <w:spacing w:after="0"/>
        <w:rPr>
          <w:sz w:val="20"/>
          <w:szCs w:val="20"/>
          <w:color w:val="auto"/>
        </w:rPr>
      </w:pPr>
      <w:r>
        <w:rPr>
          <w:rFonts w:ascii="Courier New" w:cs="Courier New" w:eastAsia="Courier New" w:hAnsi="Courier New"/>
          <w:sz w:val="16"/>
          <w:szCs w:val="16"/>
          <w:color w:val="auto"/>
        </w:rPr>
        <w:t>Three Months Ended</w:t>
      </w:r>
    </w:p>
    <w:p>
      <w:pPr>
        <w:spacing w:after="0" w:line="16" w:lineRule="exact"/>
        <w:rPr>
          <w:sz w:val="20"/>
          <w:szCs w:val="20"/>
          <w:color w:val="auto"/>
        </w:rPr>
      </w:pPr>
    </w:p>
    <w:p>
      <w:pPr>
        <w:jc w:val="center"/>
        <w:ind w:right="-532"/>
        <w:spacing w:after="0"/>
        <w:rPr>
          <w:sz w:val="20"/>
          <w:szCs w:val="20"/>
          <w:color w:val="auto"/>
        </w:rPr>
      </w:pPr>
      <w:r>
        <w:rPr>
          <w:rFonts w:ascii="Courier New" w:cs="Courier New" w:eastAsia="Courier New" w:hAnsi="Courier New"/>
          <w:sz w:val="18"/>
          <w:szCs w:val="18"/>
          <w:color w:val="auto"/>
        </w:rPr>
        <w:t>December 31,</w:t>
      </w:r>
    </w:p>
    <w:p>
      <w:pPr>
        <w:jc w:val="center"/>
        <w:ind w:right="-532"/>
        <w:spacing w:after="0" w:line="238" w:lineRule="auto"/>
        <w:rPr>
          <w:sz w:val="20"/>
          <w:szCs w:val="20"/>
          <w:color w:val="auto"/>
        </w:rPr>
      </w:pPr>
      <w:r>
        <w:rPr>
          <w:rFonts w:ascii="Courier New" w:cs="Courier New" w:eastAsia="Courier New" w:hAnsi="Courier New"/>
          <w:sz w:val="18"/>
          <w:szCs w:val="18"/>
          <w:color w:val="auto"/>
        </w:rPr>
        <w:t>1994</w:t>
      </w:r>
    </w:p>
    <w:p>
      <w:pPr>
        <w:sectPr>
          <w:pgSz w:w="11900" w:h="16838" w:orient="portrait"/>
          <w:cols w:equalWidth="0" w:num="1">
            <w:col w:w="10211"/>
          </w:cols>
          <w:pgMar w:left="248" w:top="717" w:right="1440" w:bottom="1440" w:gutter="0" w:footer="0" w:header="0"/>
          <w:type w:val="continuous"/>
        </w:sectPr>
      </w:pPr>
    </w:p>
    <w:p>
      <w:pPr>
        <w:spacing w:after="0" w:line="207" w:lineRule="exact"/>
        <w:rPr>
          <w:sz w:val="20"/>
          <w:szCs w:val="20"/>
          <w:color w:val="auto"/>
        </w:rPr>
      </w:pPr>
    </w:p>
    <w:p>
      <w:pPr>
        <w:ind w:left="952"/>
        <w:spacing w:after="0"/>
        <w:rPr>
          <w:sz w:val="20"/>
          <w:szCs w:val="20"/>
          <w:color w:val="auto"/>
        </w:rPr>
      </w:pPr>
      <w:r>
        <w:rPr>
          <w:rFonts w:ascii="Courier New" w:cs="Courier New" w:eastAsia="Courier New" w:hAnsi="Courier New"/>
          <w:sz w:val="16"/>
          <w:szCs w:val="16"/>
          <w:color w:val="auto"/>
        </w:rPr>
        <w:t>Net sales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$ 109,906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132" w:space="720"/>
            <w:col w:w="5359"/>
          </w:cols>
          <w:pgMar w:left="248" w:top="717" w:right="1440" w:bottom="1440" w:gutter="0" w:footer="0" w:header="0"/>
          <w:type w:val="continuous"/>
        </w:sectPr>
      </w:pPr>
    </w:p>
    <w:p>
      <w:pPr>
        <w:spacing w:after="0" w:line="24" w:lineRule="exact"/>
        <w:rPr>
          <w:sz w:val="20"/>
          <w:szCs w:val="20"/>
          <w:color w:val="auto"/>
        </w:rPr>
      </w:pPr>
    </w:p>
    <w:p>
      <w:pPr>
        <w:ind w:left="952"/>
        <w:spacing w:after="0"/>
        <w:rPr>
          <w:sz w:val="20"/>
          <w:szCs w:val="20"/>
          <w:color w:val="auto"/>
        </w:rPr>
      </w:pPr>
      <w:r>
        <w:rPr>
          <w:rFonts w:ascii="Courier New" w:cs="Courier New" w:eastAsia="Courier New" w:hAnsi="Courier New"/>
          <w:sz w:val="16"/>
          <w:szCs w:val="16"/>
          <w:color w:val="auto"/>
        </w:rPr>
        <w:t>Net loss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tabs>
          <w:tab w:leader="none" w:pos="280" w:val="left"/>
        </w:tabs>
        <w:rPr>
          <w:sz w:val="20"/>
          <w:szCs w:val="20"/>
          <w:color w:val="auto"/>
        </w:rPr>
      </w:pPr>
      <w:r>
        <w:rPr>
          <w:rFonts w:ascii="Courier New" w:cs="Courier New" w:eastAsia="Courier New" w:hAnsi="Courier New"/>
          <w:sz w:val="16"/>
          <w:szCs w:val="16"/>
          <w:color w:val="auto"/>
        </w:rPr>
        <w:t>$</w:t>
        <w:tab/>
        <w:t>(3,769)</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4132" w:space="720"/>
            <w:col w:w="5359"/>
          </w:cols>
          <w:pgMar w:left="248" w:top="717" w:right="1440" w:bottom="1440" w:gutter="0" w:footer="0" w:header="0"/>
          <w:type w:val="continuous"/>
        </w:sectPr>
      </w:pPr>
    </w:p>
    <w:p>
      <w:pPr>
        <w:spacing w:after="0" w:line="7" w:lineRule="exact"/>
        <w:rPr>
          <w:sz w:val="20"/>
          <w:szCs w:val="20"/>
          <w:color w:val="auto"/>
        </w:rPr>
      </w:pPr>
    </w:p>
    <w:p>
      <w:pPr>
        <w:ind w:left="952"/>
        <w:spacing w:after="0"/>
        <w:rPr>
          <w:sz w:val="20"/>
          <w:szCs w:val="20"/>
          <w:color w:val="auto"/>
        </w:rPr>
      </w:pPr>
      <w:r>
        <w:rPr>
          <w:rFonts w:ascii="Courier New" w:cs="Courier New" w:eastAsia="Courier New" w:hAnsi="Courier New"/>
          <w:sz w:val="16"/>
          <w:szCs w:val="16"/>
          <w:color w:val="auto"/>
        </w:rPr>
        <w:t>Net loss per common share</w:t>
      </w:r>
    </w:p>
    <w:p>
      <w:pPr>
        <w:spacing w:after="0" w:line="20" w:lineRule="exact"/>
        <w:rPr>
          <w:sz w:val="20"/>
          <w:szCs w:val="20"/>
          <w:color w:val="auto"/>
        </w:rPr>
      </w:pPr>
      <w:r>
        <w:rPr>
          <w:sz w:val="20"/>
          <w:szCs w:val="20"/>
          <w:color w:val="auto"/>
        </w:rPr>
        <w:br w:type="column"/>
      </w:r>
    </w:p>
    <w:p>
      <w:pPr>
        <w:spacing w:after="0"/>
        <w:tabs>
          <w:tab w:leader="none" w:pos="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(0.33)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4132" w:space="720"/>
            <w:col w:w="5359"/>
          </w:cols>
          <w:pgMar w:left="248" w:top="717" w:right="1440" w:bottom="1440" w:gutter="0" w:footer="0" w:header="0"/>
          <w:type w:val="continuous"/>
        </w:sectPr>
      </w:pPr>
    </w:p>
    <w:p>
      <w:pPr>
        <w:spacing w:after="0" w:line="7" w:lineRule="exact"/>
        <w:rPr>
          <w:sz w:val="20"/>
          <w:szCs w:val="20"/>
          <w:color w:val="auto"/>
        </w:rPr>
      </w:pPr>
    </w:p>
    <w:p>
      <w:pPr>
        <w:jc w:val="both"/>
        <w:ind w:left="412" w:right="1999"/>
        <w:spacing w:after="0" w:line="271" w:lineRule="auto"/>
        <w:rPr>
          <w:sz w:val="20"/>
          <w:szCs w:val="20"/>
          <w:color w:val="auto"/>
        </w:rPr>
      </w:pPr>
      <w:r>
        <w:rPr>
          <w:rFonts w:ascii="Courier New" w:cs="Courier New" w:eastAsia="Courier New" w:hAnsi="Courier New"/>
          <w:sz w:val="16"/>
          <w:szCs w:val="16"/>
          <w:color w:val="auto"/>
        </w:rPr>
        <w:t>For purposes of computing net loss per common share, Scotts' Class A Convertible Preferred Stock is considered a common stock equivalent. Pro forma primary net loss per common per share for the three months ended December 31, 1994 is calculated using the weighted average common shares outstanding for Scotts of 18,667,064. The computation of pro forma primary net loss per common share assumed reduction of earnings for preferred dividends and no conversion of the Class A Convertible Preferred Stock.</w:t>
      </w:r>
    </w:p>
    <w:p>
      <w:pPr>
        <w:spacing w:after="0" w:line="188" w:lineRule="exact"/>
        <w:rPr>
          <w:sz w:val="20"/>
          <w:szCs w:val="20"/>
          <w:color w:val="auto"/>
        </w:rPr>
      </w:pPr>
    </w:p>
    <w:p>
      <w:pPr>
        <w:jc w:val="both"/>
        <w:ind w:left="412" w:right="1999"/>
        <w:spacing w:after="0" w:line="237" w:lineRule="auto"/>
        <w:rPr>
          <w:sz w:val="20"/>
          <w:szCs w:val="20"/>
          <w:color w:val="auto"/>
        </w:rPr>
      </w:pPr>
      <w:r>
        <w:rPr>
          <w:rFonts w:ascii="Courier New" w:cs="Courier New" w:eastAsia="Courier New" w:hAnsi="Courier New"/>
          <w:sz w:val="18"/>
          <w:szCs w:val="18"/>
          <w:color w:val="auto"/>
        </w:rPr>
        <w:t>The pro forma information provided does not purport to be indicative of actual results of operations if the merger transactions with the Miracle-Gro Companies had occurred as of October 1, 1993, and is not intended to be indicative of future results or trends.</w:t>
      </w:r>
    </w:p>
    <w:p>
      <w:pPr>
        <w:spacing w:after="0" w:line="202" w:lineRule="exact"/>
        <w:rPr>
          <w:sz w:val="20"/>
          <w:szCs w:val="20"/>
          <w:color w:val="auto"/>
        </w:rPr>
      </w:pPr>
    </w:p>
    <w:p>
      <w:pPr>
        <w:ind w:left="412" w:hanging="412"/>
        <w:spacing w:after="0"/>
        <w:tabs>
          <w:tab w:leader="none" w:pos="41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FOREIGN EXCHANGE INSTRUMENTS</w:t>
      </w:r>
    </w:p>
    <w:p>
      <w:pPr>
        <w:spacing w:after="0" w:line="206" w:lineRule="exact"/>
        <w:rPr>
          <w:rFonts w:ascii="Courier New" w:cs="Courier New" w:eastAsia="Courier New" w:hAnsi="Courier New"/>
          <w:sz w:val="18"/>
          <w:szCs w:val="18"/>
          <w:color w:val="auto"/>
        </w:rPr>
      </w:pPr>
    </w:p>
    <w:p>
      <w:pPr>
        <w:jc w:val="both"/>
        <w:ind w:left="412"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enters into forward foreign exchange contracts and purchased currency options to hedge its exposure to fluctuations in foreign currency exchange rates. These contracts generally involve the exchange of one currency for a second currency at some future date. Counterparties to these contracts are major financial institutions. Gains and losses on these contracts generally offset gains and losses on the assets, liabilities and transactions being hedged.</w:t>
      </w:r>
    </w:p>
    <w:p>
      <w:pPr>
        <w:spacing w:after="0" w:line="211" w:lineRule="exact"/>
        <w:rPr>
          <w:rFonts w:ascii="Courier New" w:cs="Courier New" w:eastAsia="Courier New" w:hAnsi="Courier New"/>
          <w:sz w:val="18"/>
          <w:szCs w:val="18"/>
          <w:color w:val="auto"/>
        </w:rPr>
      </w:pPr>
    </w:p>
    <w:p>
      <w:pPr>
        <w:jc w:val="both"/>
        <w:ind w:left="412"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Realized and unrealized foreign exchange gains and losses are recognized and offset foreign exchange gains or losses on the underlying exposures. Unrealized gains and losses that are designated and effective as hedges on such transactions are deferred and recognized in income in the same period as the hedged transactions. The net unrealized gain deferred totaled $6,000 at December 30, 1995.</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792"/>
        <w:spacing w:after="0"/>
        <w:rPr>
          <w:sz w:val="20"/>
          <w:szCs w:val="20"/>
          <w:color w:val="auto"/>
        </w:rPr>
      </w:pPr>
      <w:r>
        <w:rPr>
          <w:rFonts w:ascii="Courier New" w:cs="Courier New" w:eastAsia="Courier New" w:hAnsi="Courier New"/>
          <w:sz w:val="18"/>
          <w:szCs w:val="18"/>
          <w:color w:val="auto"/>
        </w:rPr>
        <w:t>Page 7</w:t>
      </w:r>
    </w:p>
    <w:p>
      <w:pPr>
        <w:sectPr>
          <w:pgSz w:w="11900" w:h="16838" w:orient="portrait"/>
          <w:cols w:equalWidth="0" w:num="1">
            <w:col w:w="10211"/>
          </w:cols>
          <w:pgMar w:left="248" w:top="717" w:right="1440" w:bottom="1440" w:gutter="0" w:footer="0" w:header="0"/>
          <w:type w:val="continuous"/>
        </w:sectPr>
      </w:pPr>
    </w:p>
    <w:bookmarkStart w:id="7" w:name="page8"/>
    <w:bookmarkEnd w:id="7"/>
    <w:p>
      <w:pPr>
        <w:ind w:left="2312"/>
        <w:spacing w:after="0"/>
        <w:rPr>
          <w:sz w:val="20"/>
          <w:szCs w:val="20"/>
          <w:color w:val="auto"/>
        </w:rPr>
      </w:pPr>
      <w:r>
        <w:rPr>
          <w:rFonts w:ascii="Courier New" w:cs="Courier New" w:eastAsia="Courier New" w:hAnsi="Courier New"/>
          <w:sz w:val="18"/>
          <w:szCs w:val="18"/>
          <w:color w:val="auto"/>
        </w:rPr>
        <w:t>THE SCOTTS COMPANY AND SUBSIDIARIES</w:t>
      </w:r>
    </w:p>
    <w:p>
      <w:pPr>
        <w:ind w:left="1892"/>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both"/>
        <w:ind w:left="412" w:right="1999"/>
        <w:spacing w:after="0" w:line="237" w:lineRule="auto"/>
        <w:rPr>
          <w:sz w:val="20"/>
          <w:szCs w:val="20"/>
          <w:color w:val="auto"/>
        </w:rPr>
      </w:pPr>
      <w:r>
        <w:rPr>
          <w:rFonts w:ascii="Courier New" w:cs="Courier New" w:eastAsia="Courier New" w:hAnsi="Courier New"/>
          <w:sz w:val="18"/>
          <w:szCs w:val="18"/>
          <w:color w:val="auto"/>
        </w:rPr>
        <w:t>At December 30, 1995, the Company's European operations had foreign exchange risk in various European currencies tied to the Dutch Guilder. These currencies are the Australian Dollar, Belgian Franc, German Mark, Spanish Peseta, Italian Lira, French Franc, British Pound and the U. S. Dollar. The Company's U. S. operations have foreign exchange rate risk in the Canadian Dollar, the Dutch Guilder and the British Pound which are tied to the U. S. Dollar. As of December 30, 1995, the Company had outstanding forward foreign exchange contracts with a contract value of approximately $35.4 million and outstanding purchased currency options with a contract value of approximately $14.8 million. These contracts have maturity dates ranging from January 3, 1996 to October 2, 1996.</w:t>
      </w:r>
    </w:p>
    <w:p>
      <w:pPr>
        <w:spacing w:after="0" w:line="210" w:lineRule="exact"/>
        <w:rPr>
          <w:sz w:val="20"/>
          <w:szCs w:val="20"/>
          <w:color w:val="auto"/>
        </w:rPr>
      </w:pPr>
    </w:p>
    <w:p>
      <w:pPr>
        <w:ind w:left="412" w:hanging="412"/>
        <w:spacing w:after="0"/>
        <w:tabs>
          <w:tab w:leader="none" w:pos="41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ACCOUNTING ISSUES</w:t>
      </w:r>
    </w:p>
    <w:p>
      <w:pPr>
        <w:spacing w:after="0" w:line="206" w:lineRule="exact"/>
        <w:rPr>
          <w:rFonts w:ascii="Courier New" w:cs="Courier New" w:eastAsia="Courier New" w:hAnsi="Courier New"/>
          <w:sz w:val="18"/>
          <w:szCs w:val="18"/>
          <w:color w:val="auto"/>
        </w:rPr>
      </w:pPr>
    </w:p>
    <w:p>
      <w:pPr>
        <w:jc w:val="both"/>
        <w:ind w:left="412"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December 1995, the Financial Accounting Standards Board issued SFAS No. 123, "Accounting for Stock-Based Compensation" which changes the measurement, recognition and disclosure standards for stock-based compensation. Management is currently evaluating the provisions of SFAS No. 123 and at this time, the effect of adopting SFAS No. 123 on the results of operations and the method of disclosure has not been determined.</w:t>
      </w:r>
    </w:p>
    <w:p>
      <w:pPr>
        <w:spacing w:after="0" w:line="205" w:lineRule="exact"/>
        <w:rPr>
          <w:rFonts w:ascii="Courier New" w:cs="Courier New" w:eastAsia="Courier New" w:hAnsi="Courier New"/>
          <w:sz w:val="18"/>
          <w:szCs w:val="18"/>
          <w:color w:val="auto"/>
        </w:rPr>
      </w:pPr>
    </w:p>
    <w:p>
      <w:pPr>
        <w:ind w:left="412" w:hanging="412"/>
        <w:spacing w:after="0"/>
        <w:tabs>
          <w:tab w:leader="none" w:pos="41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EXPENSE</w:t>
      </w:r>
    </w:p>
    <w:p>
      <w:pPr>
        <w:spacing w:after="0" w:line="201" w:lineRule="exact"/>
        <w:rPr>
          <w:sz w:val="20"/>
          <w:szCs w:val="20"/>
          <w:color w:val="auto"/>
        </w:rPr>
      </w:pPr>
    </w:p>
    <w:p>
      <w:pPr>
        <w:ind w:left="412"/>
        <w:spacing w:after="0"/>
        <w:rPr>
          <w:sz w:val="20"/>
          <w:szCs w:val="20"/>
          <w:color w:val="auto"/>
        </w:rPr>
      </w:pPr>
      <w:r>
        <w:rPr>
          <w:rFonts w:ascii="Courier New" w:cs="Courier New" w:eastAsia="Courier New" w:hAnsi="Courier New"/>
          <w:sz w:val="18"/>
          <w:szCs w:val="18"/>
          <w:color w:val="auto"/>
        </w:rPr>
        <w:t>Other expenses consisted of the following for the three months ended:</w:t>
      </w:r>
    </w:p>
    <w:p>
      <w:pPr>
        <w:spacing w:after="0" w:line="201" w:lineRule="exact"/>
        <w:rPr>
          <w:sz w:val="20"/>
          <w:szCs w:val="20"/>
          <w:color w:val="auto"/>
        </w:rPr>
      </w:pPr>
    </w:p>
    <w:tbl>
      <w:tblPr>
        <w:tblLayout w:type="fixed"/>
        <w:tblInd w:w="1272" w:type="dxa"/>
        <w:tblCellMar>
          <w:top w:w="0" w:type="dxa"/>
          <w:left w:w="0" w:type="dxa"/>
          <w:bottom w:w="0" w:type="dxa"/>
          <w:right w:w="0" w:type="dxa"/>
        </w:tblCellMar>
      </w:tblPr>
      <w:tr>
        <w:trPr>
          <w:trHeight w:val="204"/>
        </w:trPr>
        <w:tc>
          <w:tcPr>
            <w:tcW w:w="2460" w:type="dxa"/>
            <w:vAlign w:val="bottom"/>
          </w:tcPr>
          <w:p>
            <w:pPr>
              <w:spacing w:after="0"/>
              <w:rPr>
                <w:sz w:val="17"/>
                <w:szCs w:val="17"/>
                <w:color w:val="auto"/>
              </w:rPr>
            </w:pPr>
          </w:p>
        </w:tc>
        <w:tc>
          <w:tcPr>
            <w:tcW w:w="1580" w:type="dxa"/>
            <w:vAlign w:val="bottom"/>
            <w:gridSpan w:val="2"/>
          </w:tcPr>
          <w:p>
            <w:pPr>
              <w:ind w:left="280"/>
              <w:spacing w:after="0"/>
              <w:rPr>
                <w:sz w:val="20"/>
                <w:szCs w:val="20"/>
                <w:color w:val="auto"/>
              </w:rPr>
            </w:pPr>
            <w:r>
              <w:rPr>
                <w:rFonts w:ascii="Courier New" w:cs="Courier New" w:eastAsia="Courier New" w:hAnsi="Courier New"/>
                <w:sz w:val="18"/>
                <w:szCs w:val="18"/>
                <w:color w:val="auto"/>
                <w:w w:val="98"/>
              </w:rPr>
              <w:t>December 31,</w:t>
            </w:r>
          </w:p>
        </w:tc>
        <w:tc>
          <w:tcPr>
            <w:tcW w:w="142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5"/>
              </w:rPr>
              <w:t>December 30,</w:t>
            </w:r>
          </w:p>
        </w:tc>
      </w:tr>
      <w:tr>
        <w:trPr>
          <w:trHeight w:val="405"/>
        </w:trPr>
        <w:tc>
          <w:tcPr>
            <w:tcW w:w="2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1994</w:t>
            </w:r>
          </w:p>
        </w:tc>
        <w:tc>
          <w:tcPr>
            <w:tcW w:w="280" w:type="dxa"/>
            <w:vAlign w:val="bottom"/>
          </w:tcPr>
          <w:p>
            <w:pPr>
              <w:spacing w:after="0"/>
              <w:rPr>
                <w:sz w:val="24"/>
                <w:szCs w:val="24"/>
                <w:color w:val="auto"/>
              </w:rPr>
            </w:pPr>
          </w:p>
        </w:tc>
        <w:tc>
          <w:tcPr>
            <w:tcW w:w="11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1995</w:t>
            </w:r>
          </w:p>
        </w:tc>
      </w:tr>
      <w:tr>
        <w:trPr>
          <w:trHeight w:val="203"/>
        </w:trPr>
        <w:tc>
          <w:tcPr>
            <w:tcW w:w="2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1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460" w:type="dxa"/>
            <w:vAlign w:val="bottom"/>
          </w:tcPr>
          <w:p>
            <w:pPr>
              <w:spacing w:after="0"/>
              <w:rPr>
                <w:sz w:val="20"/>
                <w:szCs w:val="20"/>
                <w:color w:val="auto"/>
              </w:rPr>
            </w:pPr>
            <w:r>
              <w:rPr>
                <w:rFonts w:ascii="Courier New" w:cs="Courier New" w:eastAsia="Courier New" w:hAnsi="Courier New"/>
                <w:sz w:val="18"/>
                <w:szCs w:val="18"/>
                <w:color w:val="auto"/>
              </w:rPr>
              <w:t>Foreign currency loss</w:t>
            </w:r>
          </w:p>
        </w:tc>
        <w:tc>
          <w:tcPr>
            <w:tcW w:w="480" w:type="dxa"/>
            <w:vAlign w:val="bottom"/>
          </w:tcPr>
          <w:p>
            <w:pPr>
              <w:ind w:left="280"/>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362</w:t>
            </w:r>
          </w:p>
        </w:tc>
        <w:tc>
          <w:tcPr>
            <w:tcW w:w="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180</w:t>
            </w:r>
          </w:p>
        </w:tc>
      </w:tr>
      <w:tr>
        <w:trPr>
          <w:trHeight w:val="203"/>
        </w:trPr>
        <w:tc>
          <w:tcPr>
            <w:tcW w:w="2460" w:type="dxa"/>
            <w:vAlign w:val="bottom"/>
          </w:tcPr>
          <w:p>
            <w:pPr>
              <w:spacing w:after="0" w:line="203" w:lineRule="exact"/>
              <w:rPr>
                <w:sz w:val="20"/>
                <w:szCs w:val="20"/>
                <w:color w:val="auto"/>
              </w:rPr>
            </w:pPr>
            <w:r>
              <w:rPr>
                <w:rFonts w:ascii="Courier New" w:cs="Courier New" w:eastAsia="Courier New" w:hAnsi="Courier New"/>
                <w:sz w:val="18"/>
                <w:szCs w:val="18"/>
                <w:color w:val="auto"/>
              </w:rPr>
              <w:t>Facility closings</w:t>
            </w:r>
          </w:p>
        </w:tc>
        <w:tc>
          <w:tcPr>
            <w:tcW w:w="48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1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504</w:t>
            </w:r>
          </w:p>
        </w:tc>
      </w:tr>
      <w:tr>
        <w:trPr>
          <w:trHeight w:val="203"/>
        </w:trPr>
        <w:tc>
          <w:tcPr>
            <w:tcW w:w="246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w:t>
            </w:r>
          </w:p>
        </w:tc>
        <w:tc>
          <w:tcPr>
            <w:tcW w:w="48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853</w:t>
            </w:r>
          </w:p>
        </w:tc>
        <w:tc>
          <w:tcPr>
            <w:tcW w:w="280" w:type="dxa"/>
            <w:vAlign w:val="bottom"/>
          </w:tcPr>
          <w:p>
            <w:pPr>
              <w:spacing w:after="0"/>
              <w:rPr>
                <w:sz w:val="17"/>
                <w:szCs w:val="17"/>
                <w:color w:val="auto"/>
              </w:rPr>
            </w:pPr>
          </w:p>
        </w:tc>
        <w:tc>
          <w:tcPr>
            <w:tcW w:w="11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2,172</w:t>
            </w:r>
          </w:p>
        </w:tc>
      </w:tr>
      <w:tr>
        <w:trPr>
          <w:trHeight w:val="203"/>
        </w:trPr>
        <w:tc>
          <w:tcPr>
            <w:tcW w:w="24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Personnel reduction</w:t>
            </w: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1,600</w:t>
            </w:r>
          </w:p>
        </w:tc>
      </w:tr>
      <w:tr>
        <w:trPr>
          <w:trHeight w:val="203"/>
        </w:trPr>
        <w:tc>
          <w:tcPr>
            <w:tcW w:w="2460" w:type="dxa"/>
            <w:vAlign w:val="bottom"/>
          </w:tcPr>
          <w:p>
            <w:pPr>
              <w:spacing w:after="0" w:line="203" w:lineRule="exact"/>
              <w:rPr>
                <w:sz w:val="20"/>
                <w:szCs w:val="20"/>
                <w:color w:val="auto"/>
              </w:rPr>
            </w:pPr>
            <w:r>
              <w:rPr>
                <w:rFonts w:ascii="Courier New" w:cs="Courier New" w:eastAsia="Courier New" w:hAnsi="Courier New"/>
                <w:sz w:val="18"/>
                <w:szCs w:val="18"/>
                <w:color w:val="auto"/>
              </w:rPr>
              <w:t>charge</w:t>
            </w: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460" w:type="dxa"/>
            <w:vAlign w:val="bottom"/>
          </w:tcPr>
          <w:p>
            <w:pPr>
              <w:spacing w:after="0" w:line="203" w:lineRule="exact"/>
              <w:rPr>
                <w:sz w:val="20"/>
                <w:szCs w:val="20"/>
                <w:color w:val="auto"/>
              </w:rPr>
            </w:pPr>
            <w:r>
              <w:rPr>
                <w:rFonts w:ascii="Courier New" w:cs="Courier New" w:eastAsia="Courier New" w:hAnsi="Courier New"/>
                <w:sz w:val="18"/>
                <w:szCs w:val="18"/>
                <w:color w:val="auto"/>
              </w:rPr>
              <w:t>Royalty income</w:t>
            </w:r>
          </w:p>
        </w:tc>
        <w:tc>
          <w:tcPr>
            <w:tcW w:w="48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(140)</w:t>
            </w:r>
          </w:p>
        </w:tc>
        <w:tc>
          <w:tcPr>
            <w:tcW w:w="280" w:type="dxa"/>
            <w:vAlign w:val="bottom"/>
          </w:tcPr>
          <w:p>
            <w:pPr>
              <w:spacing w:after="0"/>
              <w:rPr>
                <w:sz w:val="17"/>
                <w:szCs w:val="17"/>
                <w:color w:val="auto"/>
              </w:rPr>
            </w:pPr>
          </w:p>
        </w:tc>
        <w:tc>
          <w:tcPr>
            <w:tcW w:w="11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(142)</w:t>
            </w:r>
          </w:p>
        </w:tc>
      </w:tr>
      <w:tr>
        <w:trPr>
          <w:trHeight w:val="203"/>
        </w:trPr>
        <w:tc>
          <w:tcPr>
            <w:tcW w:w="2460" w:type="dxa"/>
            <w:vAlign w:val="bottom"/>
          </w:tcPr>
          <w:p>
            <w:pPr>
              <w:spacing w:after="0" w:line="203" w:lineRule="exact"/>
              <w:rPr>
                <w:sz w:val="20"/>
                <w:szCs w:val="20"/>
                <w:color w:val="auto"/>
              </w:rPr>
            </w:pPr>
            <w:r>
              <w:rPr>
                <w:rFonts w:ascii="Courier New" w:cs="Courier New" w:eastAsia="Courier New" w:hAnsi="Courier New"/>
                <w:sz w:val="18"/>
                <w:szCs w:val="18"/>
                <w:color w:val="auto"/>
              </w:rPr>
              <w:t>Equity in income of</w:t>
            </w: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4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unconsolidated</w:t>
            </w:r>
          </w:p>
        </w:tc>
        <w:tc>
          <w:tcPr>
            <w:tcW w:w="48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1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(191)</w:t>
            </w:r>
          </w:p>
        </w:tc>
      </w:tr>
      <w:tr>
        <w:trPr>
          <w:trHeight w:val="203"/>
        </w:trPr>
        <w:tc>
          <w:tcPr>
            <w:tcW w:w="246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businesses</w:t>
            </w: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4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48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(80)</w:t>
            </w:r>
          </w:p>
        </w:tc>
        <w:tc>
          <w:tcPr>
            <w:tcW w:w="280" w:type="dxa"/>
            <w:vAlign w:val="bottom"/>
          </w:tcPr>
          <w:p>
            <w:pPr>
              <w:spacing w:after="0"/>
              <w:rPr>
                <w:sz w:val="17"/>
                <w:szCs w:val="17"/>
                <w:color w:val="auto"/>
              </w:rPr>
            </w:pPr>
          </w:p>
        </w:tc>
        <w:tc>
          <w:tcPr>
            <w:tcW w:w="11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346</w:t>
            </w:r>
          </w:p>
        </w:tc>
      </w:tr>
      <w:tr>
        <w:trPr>
          <w:trHeight w:val="203"/>
        </w:trPr>
        <w:tc>
          <w:tcPr>
            <w:tcW w:w="2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1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246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480" w:type="dxa"/>
            <w:vAlign w:val="bottom"/>
          </w:tcPr>
          <w:p>
            <w:pPr>
              <w:ind w:left="280"/>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995</w:t>
            </w:r>
          </w:p>
        </w:tc>
        <w:tc>
          <w:tcPr>
            <w:tcW w:w="280" w:type="dxa"/>
            <w:vAlign w:val="bottom"/>
          </w:tcPr>
          <w:p>
            <w:pPr>
              <w:ind w:left="160"/>
              <w:spacing w:after="0"/>
              <w:rPr>
                <w:sz w:val="20"/>
                <w:szCs w:val="20"/>
                <w:color w:val="auto"/>
              </w:rPr>
            </w:pPr>
            <w:r>
              <w:rPr>
                <w:rFonts w:ascii="Courier New" w:cs="Courier New" w:eastAsia="Courier New" w:hAnsi="Courier New"/>
                <w:sz w:val="18"/>
                <w:szCs w:val="18"/>
                <w:color w:val="auto"/>
                <w:w w:val="92"/>
              </w:rPr>
              <w:t>$</w:t>
            </w:r>
          </w:p>
        </w:tc>
        <w:tc>
          <w:tcPr>
            <w:tcW w:w="11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4,469</w:t>
            </w:r>
          </w:p>
        </w:tc>
      </w:tr>
      <w:tr>
        <w:trPr>
          <w:trHeight w:val="203"/>
        </w:trPr>
        <w:tc>
          <w:tcPr>
            <w:tcW w:w="2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1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412" w:hanging="412"/>
        <w:spacing w:after="0"/>
        <w:tabs>
          <w:tab w:leader="none" w:pos="41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LOSS PER COMMON SHARE</w:t>
      </w:r>
    </w:p>
    <w:p>
      <w:pPr>
        <w:spacing w:after="0" w:line="206" w:lineRule="exact"/>
        <w:rPr>
          <w:rFonts w:ascii="Courier New" w:cs="Courier New" w:eastAsia="Courier New" w:hAnsi="Courier New"/>
          <w:sz w:val="18"/>
          <w:szCs w:val="18"/>
          <w:color w:val="auto"/>
        </w:rPr>
      </w:pPr>
    </w:p>
    <w:p>
      <w:pPr>
        <w:jc w:val="both"/>
        <w:ind w:left="412"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Net loss per common share is based on the weighted average number of common shares and common share equivalents (stock options, convertible preferred stock and warrants) outstanding each period.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92"/>
        <w:spacing w:after="0"/>
        <w:rPr>
          <w:sz w:val="20"/>
          <w:szCs w:val="20"/>
          <w:color w:val="auto"/>
        </w:rPr>
      </w:pPr>
      <w:r>
        <w:rPr>
          <w:rFonts w:ascii="Courier New" w:cs="Courier New" w:eastAsia="Courier New" w:hAnsi="Courier New"/>
          <w:sz w:val="18"/>
          <w:szCs w:val="18"/>
          <w:color w:val="auto"/>
        </w:rPr>
        <w:t>Page 8</w:t>
      </w:r>
    </w:p>
    <w:p>
      <w:pPr>
        <w:sectPr>
          <w:pgSz w:w="11900" w:h="16838" w:orient="portrait"/>
          <w:cols w:equalWidth="0" w:num="1">
            <w:col w:w="10211"/>
          </w:cols>
          <w:pgMar w:left="248" w:top="717" w:right="1440" w:bottom="1440" w:gutter="0" w:footer="0" w:header="0"/>
        </w:sectPr>
      </w:pPr>
    </w:p>
    <w:bookmarkStart w:id="8" w:name="page9"/>
    <w:bookmarkEnd w:id="8"/>
    <w:p>
      <w:pPr>
        <w:ind w:left="2320"/>
        <w:spacing w:after="0"/>
        <w:rPr>
          <w:sz w:val="20"/>
          <w:szCs w:val="20"/>
          <w:color w:val="auto"/>
        </w:rPr>
      </w:pPr>
      <w:r>
        <w:rPr>
          <w:rFonts w:ascii="Courier New" w:cs="Courier New" w:eastAsia="Courier New" w:hAnsi="Courier New"/>
          <w:sz w:val="18"/>
          <w:szCs w:val="18"/>
          <w:color w:val="auto"/>
        </w:rPr>
        <w:t>THE SCOTTS COMPANY AND SUBSIDIARIES</w:t>
      </w:r>
    </w:p>
    <w:p>
      <w:pPr>
        <w:ind w:left="1900"/>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The following</w:t>
            </w:r>
          </w:p>
        </w:tc>
        <w:tc>
          <w:tcPr>
            <w:tcW w:w="31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table presents  information</w:t>
            </w:r>
          </w:p>
        </w:tc>
        <w:tc>
          <w:tcPr>
            <w:tcW w:w="32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necessary to calculate net loss</w:t>
            </w:r>
          </w:p>
        </w:tc>
      </w:tr>
      <w:tr>
        <w:trPr>
          <w:trHeight w:val="203"/>
        </w:trPr>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per common share.</w:t>
            </w:r>
          </w:p>
        </w:tc>
        <w:tc>
          <w:tcPr>
            <w:tcW w:w="2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405"/>
        </w:trPr>
        <w:tc>
          <w:tcPr>
            <w:tcW w:w="18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780" w:type="dxa"/>
            <w:vAlign w:val="bottom"/>
            <w:gridSpan w:val="3"/>
          </w:tcPr>
          <w:p>
            <w:pPr>
              <w:jc w:val="right"/>
              <w:ind w:right="149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186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(in</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thousands)</w:t>
            </w:r>
          </w:p>
        </w:tc>
        <w:tc>
          <w:tcPr>
            <w:tcW w:w="3780" w:type="dxa"/>
            <w:vAlign w:val="bottom"/>
            <w:gridSpan w:val="3"/>
          </w:tcPr>
          <w:p>
            <w:pPr>
              <w:jc w:val="right"/>
              <w:ind w:right="1072"/>
              <w:spacing w:after="0" w:line="203" w:lineRule="exact"/>
              <w:rPr>
                <w:sz w:val="20"/>
                <w:szCs w:val="20"/>
                <w:color w:val="auto"/>
              </w:rPr>
            </w:pPr>
            <w:r>
              <w:rPr>
                <w:rFonts w:ascii="Courier New" w:cs="Courier New" w:eastAsia="Courier New" w:hAnsi="Courier New"/>
                <w:sz w:val="18"/>
                <w:szCs w:val="18"/>
                <w:color w:val="auto"/>
                <w:w w:val="96"/>
              </w:rPr>
              <w:t>December 31, December 30,</w:t>
            </w:r>
          </w:p>
        </w:tc>
      </w:tr>
      <w:tr>
        <w:trPr>
          <w:trHeight w:val="203"/>
        </w:trPr>
        <w:tc>
          <w:tcPr>
            <w:tcW w:w="18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2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1994</w:t>
            </w:r>
          </w:p>
        </w:tc>
        <w:tc>
          <w:tcPr>
            <w:tcW w:w="236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rPr>
              <w:t>1995</w:t>
            </w:r>
          </w:p>
        </w:tc>
      </w:tr>
      <w:tr>
        <w:trPr>
          <w:trHeight w:val="405"/>
        </w:trPr>
        <w:tc>
          <w:tcPr>
            <w:tcW w:w="1860" w:type="dxa"/>
            <w:vAlign w:val="bottom"/>
          </w:tcPr>
          <w:p>
            <w:pPr>
              <w:ind w:left="1480"/>
              <w:spacing w:after="0"/>
              <w:rPr>
                <w:sz w:val="20"/>
                <w:szCs w:val="20"/>
                <w:color w:val="auto"/>
              </w:rPr>
            </w:pPr>
            <w:r>
              <w:rPr>
                <w:rFonts w:ascii="Courier New" w:cs="Courier New" w:eastAsia="Courier New" w:hAnsi="Courier New"/>
                <w:sz w:val="18"/>
                <w:szCs w:val="18"/>
                <w:color w:val="auto"/>
              </w:rPr>
              <w:t>Net</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loss ...................</w:t>
            </w:r>
          </w:p>
        </w:tc>
        <w:tc>
          <w:tcPr>
            <w:tcW w:w="14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 (4,598)</w:t>
            </w:r>
          </w:p>
        </w:tc>
        <w:tc>
          <w:tcPr>
            <w:tcW w:w="236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 (7,174)</w:t>
            </w:r>
          </w:p>
        </w:tc>
      </w:tr>
      <w:tr>
        <w:trPr>
          <w:trHeight w:val="203"/>
        </w:trPr>
        <w:tc>
          <w:tcPr>
            <w:tcW w:w="4440" w:type="dxa"/>
            <w:vAlign w:val="bottom"/>
            <w:gridSpan w:val="2"/>
          </w:tcPr>
          <w:p>
            <w:pPr>
              <w:ind w:left="1480"/>
              <w:spacing w:after="0" w:line="203" w:lineRule="exact"/>
              <w:rPr>
                <w:sz w:val="20"/>
                <w:szCs w:val="20"/>
                <w:color w:val="auto"/>
              </w:rPr>
            </w:pPr>
            <w:r>
              <w:rPr>
                <w:rFonts w:ascii="Courier New" w:cs="Courier New" w:eastAsia="Courier New" w:hAnsi="Courier New"/>
                <w:sz w:val="18"/>
                <w:szCs w:val="18"/>
                <w:color w:val="auto"/>
                <w:w w:val="97"/>
              </w:rPr>
              <w:t>Preferred stock dividend ...</w:t>
            </w:r>
          </w:p>
        </w:tc>
        <w:tc>
          <w:tcPr>
            <w:tcW w:w="520" w:type="dxa"/>
            <w:vAlign w:val="bottom"/>
          </w:tcPr>
          <w:p>
            <w:pPr>
              <w:spacing w:after="0"/>
              <w:rPr>
                <w:sz w:val="17"/>
                <w:szCs w:val="17"/>
                <w:color w:val="auto"/>
              </w:rPr>
            </w:pPr>
          </w:p>
        </w:tc>
        <w:tc>
          <w:tcPr>
            <w:tcW w:w="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(2,436)</w:t>
            </w:r>
          </w:p>
        </w:tc>
      </w:tr>
      <w:tr>
        <w:trPr>
          <w:trHeight w:val="203"/>
        </w:trPr>
        <w:tc>
          <w:tcPr>
            <w:tcW w:w="18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6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Net</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loss applicable to</w:t>
            </w: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3"/>
        </w:trPr>
        <w:tc>
          <w:tcPr>
            <w:tcW w:w="186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common shares ..........</w:t>
            </w: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(4,598)</w:t>
            </w:r>
          </w:p>
        </w:tc>
        <w:tc>
          <w:tcPr>
            <w:tcW w:w="23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($ 9,610)</w:t>
            </w:r>
          </w:p>
        </w:tc>
      </w:tr>
      <w:tr>
        <w:trPr>
          <w:trHeight w:val="203"/>
        </w:trPr>
        <w:tc>
          <w:tcPr>
            <w:tcW w:w="18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gridSpan w:val="2"/>
          </w:tcPr>
          <w:p>
            <w:pPr>
              <w:ind w:left="1480"/>
              <w:spacing w:after="0" w:line="203" w:lineRule="exact"/>
              <w:rPr>
                <w:sz w:val="20"/>
                <w:szCs w:val="20"/>
                <w:color w:val="auto"/>
              </w:rPr>
            </w:pPr>
            <w:r>
              <w:rPr>
                <w:rFonts w:ascii="Courier New" w:cs="Courier New" w:eastAsia="Courier New" w:hAnsi="Courier New"/>
                <w:sz w:val="18"/>
                <w:szCs w:val="18"/>
                <w:color w:val="auto"/>
              </w:rPr>
              <w:t>Common shares outstanding:</w:t>
            </w: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3"/>
        </w:trPr>
        <w:tc>
          <w:tcPr>
            <w:tcW w:w="4440" w:type="dxa"/>
            <w:vAlign w:val="bottom"/>
            <w:gridSpan w:val="2"/>
          </w:tcPr>
          <w:p>
            <w:pPr>
              <w:ind w:left="1480"/>
              <w:spacing w:after="0" w:line="203" w:lineRule="exact"/>
              <w:rPr>
                <w:sz w:val="20"/>
                <w:szCs w:val="20"/>
                <w:color w:val="auto"/>
              </w:rPr>
            </w:pPr>
            <w:r>
              <w:rPr>
                <w:rFonts w:ascii="Courier New" w:cs="Courier New" w:eastAsia="Courier New" w:hAnsi="Courier New"/>
                <w:sz w:val="18"/>
                <w:szCs w:val="18"/>
                <w:color w:val="auto"/>
                <w:w w:val="97"/>
              </w:rPr>
              <w:t>Weighted average outstanding</w:t>
            </w:r>
          </w:p>
        </w:tc>
        <w:tc>
          <w:tcPr>
            <w:tcW w:w="52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18,667</w:t>
            </w:r>
          </w:p>
        </w:tc>
        <w:tc>
          <w:tcPr>
            <w:tcW w:w="236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18,689</w:t>
            </w:r>
          </w:p>
        </w:tc>
      </w:tr>
      <w:tr>
        <w:trPr>
          <w:trHeight w:val="203"/>
        </w:trPr>
        <w:tc>
          <w:tcPr>
            <w:tcW w:w="18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860" w:type="dxa"/>
            <w:vAlign w:val="bottom"/>
          </w:tcPr>
          <w:p>
            <w:pPr>
              <w:ind w:left="1480"/>
              <w:spacing w:after="0"/>
              <w:rPr>
                <w:sz w:val="20"/>
                <w:szCs w:val="20"/>
                <w:color w:val="auto"/>
              </w:rPr>
            </w:pPr>
            <w:r>
              <w:rPr>
                <w:rFonts w:ascii="Courier New" w:cs="Courier New" w:eastAsia="Courier New" w:hAnsi="Courier New"/>
                <w:sz w:val="18"/>
                <w:szCs w:val="18"/>
                <w:color w:val="auto"/>
              </w:rPr>
              <w:t>Net</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loss per common share ..</w:t>
            </w:r>
          </w:p>
        </w:tc>
        <w:tc>
          <w:tcPr>
            <w:tcW w:w="520" w:type="dxa"/>
            <w:vAlign w:val="bottom"/>
          </w:tcPr>
          <w:p>
            <w:pPr>
              <w:ind w:left="300"/>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(.25)</w:t>
            </w:r>
          </w:p>
        </w:tc>
        <w:tc>
          <w:tcPr>
            <w:tcW w:w="236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   (.51)</w:t>
            </w:r>
          </w:p>
        </w:tc>
      </w:tr>
      <w:tr>
        <w:trPr>
          <w:trHeight w:val="203"/>
        </w:trPr>
        <w:tc>
          <w:tcPr>
            <w:tcW w:w="18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jc w:val="both"/>
        <w:ind w:left="420" w:right="1999"/>
        <w:spacing w:after="0" w:line="236" w:lineRule="auto"/>
        <w:rPr>
          <w:sz w:val="20"/>
          <w:szCs w:val="20"/>
          <w:color w:val="auto"/>
        </w:rPr>
      </w:pPr>
      <w:r>
        <w:rPr>
          <w:rFonts w:ascii="Courier New" w:cs="Courier New" w:eastAsia="Courier New" w:hAnsi="Courier New"/>
          <w:sz w:val="18"/>
          <w:szCs w:val="18"/>
          <w:color w:val="auto"/>
        </w:rPr>
        <w:t>Fully diluted net loss per common share is considered to be the same as primary net loss per common share as it was not materially different from primary net loss per common share.</w:t>
      </w:r>
    </w:p>
    <w:p>
      <w:pPr>
        <w:spacing w:after="0" w:line="203"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CONTINGENCIES</w:t>
      </w:r>
    </w:p>
    <w:p>
      <w:pPr>
        <w:spacing w:after="0" w:line="206" w:lineRule="exact"/>
        <w:rPr>
          <w:rFonts w:ascii="Courier New" w:cs="Courier New" w:eastAsia="Courier New" w:hAnsi="Courier New"/>
          <w:sz w:val="18"/>
          <w:szCs w:val="18"/>
          <w:color w:val="auto"/>
        </w:rPr>
      </w:pPr>
    </w:p>
    <w:p>
      <w:pPr>
        <w:jc w:val="both"/>
        <w:ind w:left="42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involved in various lawsuits and claims which arise in the normal course of business. In the opinion of management, these claims individually and in the aggregate are not expected to result in a material adverse effect on the Company's financial position or results of operations, however, there can be no assurance that future quarterly or annual operating results will not be materially affected by final resolution of these matters. The following details the more significant of these matters.</w:t>
      </w:r>
    </w:p>
    <w:p>
      <w:pPr>
        <w:spacing w:after="0" w:line="212" w:lineRule="exact"/>
        <w:rPr>
          <w:rFonts w:ascii="Courier New" w:cs="Courier New" w:eastAsia="Courier New" w:hAnsi="Courier New"/>
          <w:sz w:val="18"/>
          <w:szCs w:val="18"/>
          <w:color w:val="auto"/>
        </w:rPr>
      </w:pPr>
    </w:p>
    <w:p>
      <w:pPr>
        <w:jc w:val="both"/>
        <w:ind w:left="420" w:right="19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September 1991, the Company was identified by the Ohio Environmental Protection Agency (the "Ohio EPA") as a Potentially Responsible Party ("PRP") with respect to a site in Union County, Ohio (the "Hershberger site") that has allegedly been contaminated by hazardous substances whose transportation, treatment or disposal the Company allegedly arranged. Pursuant to a consent order with the Ohio EPA, the Company, together with four other PRP's identified to date, investigated the extent of contamination in the Hershberger site. The results of the investigation were that the site presents a low degree of risk and that the chemical compounds which contribute to the risk are not compounds used by the Company. Accordingly, the Company has elected not to participate in any remediation which might be required at the site. As a result of the joint and several liability of PRP's, the Company may be subject to financial participation in the costs of the remediation plan, if any. However, management does not believe any such obligations would have a significant adverse effect on the Company's results of operations or financial condition.</w:t>
      </w:r>
    </w:p>
    <w:p>
      <w:pPr>
        <w:spacing w:after="0" w:line="208" w:lineRule="exact"/>
        <w:rPr>
          <w:rFonts w:ascii="Courier New" w:cs="Courier New" w:eastAsia="Courier New" w:hAnsi="Courier New"/>
          <w:sz w:val="18"/>
          <w:szCs w:val="18"/>
          <w:color w:val="auto"/>
        </w:rPr>
      </w:pPr>
    </w:p>
    <w:p>
      <w:pPr>
        <w:jc w:val="both"/>
        <w:ind w:left="420" w:right="199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 July 1990, the Philadelphia district of the Army Corps of Engineers directed that peat harvesting operations be discontinued at Hyponex's Lafayette, New Jersey facility, and the Company complied. In May 1992, the Department of Justice in the U. S. District Court for the District of New Jersey, filed suit seeking a permanent injunction against such harvesting at that facility and civil penalties. The Philadelphia District of the Corps has taken the position that peat harvesting activities there require</w:t>
      </w:r>
    </w:p>
    <w:p>
      <w:pPr>
        <w:spacing w:after="0" w:line="1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9</w:t>
      </w:r>
    </w:p>
    <w:p>
      <w:pPr>
        <w:sectPr>
          <w:pgSz w:w="11900" w:h="16838" w:orient="portrait"/>
          <w:cols w:equalWidth="0" w:num="1">
            <w:col w:w="10219"/>
          </w:cols>
          <w:pgMar w:left="240" w:top="717" w:right="1440" w:bottom="1440" w:gutter="0" w:footer="0" w:header="0"/>
        </w:sectPr>
      </w:pPr>
    </w:p>
    <w:bookmarkStart w:id="9" w:name="page10"/>
    <w:bookmarkEnd w:id="9"/>
    <w:p>
      <w:pPr>
        <w:ind w:left="1900"/>
        <w:spacing w:after="0"/>
        <w:rPr>
          <w:sz w:val="20"/>
          <w:szCs w:val="20"/>
          <w:color w:val="auto"/>
        </w:rPr>
      </w:pPr>
      <w:r>
        <w:rPr>
          <w:rFonts w:ascii="Courier New" w:cs="Courier New" w:eastAsia="Courier New" w:hAnsi="Courier New"/>
          <w:sz w:val="18"/>
          <w:szCs w:val="18"/>
          <w:color w:val="auto"/>
        </w:rPr>
        <w:t>THE SCOTTS COMPANY AND SUBSIDIARIES</w:t>
      </w:r>
    </w:p>
    <w:p>
      <w:pPr>
        <w:ind w:left="1480"/>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7"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a permit under Section 404 of the Clean Water Act. If the Corps' position is upheld, it is possible that further harvesting of peat from this facility would be prohibited. The Company is defending this suit and is asserting a right to recover its economic losses resulting from the government's actions. Management does not believe that the outcome of this case will have a material adverse effect on the Company's operations or its financial condition. Furthermore, management believes the Company has sufficient raw material supplies available such that service to customers will not be adversely affected by continued closure of this peat harvesting operation.</w:t>
      </w:r>
    </w:p>
    <w:p>
      <w:pPr>
        <w:spacing w:after="0" w:line="215" w:lineRule="exact"/>
        <w:rPr>
          <w:sz w:val="20"/>
          <w:szCs w:val="20"/>
          <w:color w:val="auto"/>
        </w:rPr>
      </w:pPr>
    </w:p>
    <w:p>
      <w:pPr>
        <w:jc w:val="both"/>
        <w:ind w:right="1999"/>
        <w:spacing w:after="0" w:line="272" w:lineRule="auto"/>
        <w:rPr>
          <w:sz w:val="20"/>
          <w:szCs w:val="20"/>
          <w:color w:val="auto"/>
        </w:rPr>
      </w:pPr>
      <w:r>
        <w:rPr>
          <w:rFonts w:ascii="Courier New" w:cs="Courier New" w:eastAsia="Courier New" w:hAnsi="Courier New"/>
          <w:sz w:val="16"/>
          <w:szCs w:val="16"/>
          <w:color w:val="auto"/>
        </w:rPr>
        <w:t>Sierra is a defendant in a private cost-recovery action relating to the Novak Sanitary Landfill, located near Allentown, Pennsylvania. By agreement with W. R. Grace-Conn., Sierra's liability is limited to a maximum of $200,000 with respect to this site. The Company's management does not believe that the outcome of this proceeding will have a material adverse effect on its financial condition or results of operations.</w:t>
      </w:r>
    </w:p>
    <w:p>
      <w:pPr>
        <w:spacing w:after="0" w:line="186" w:lineRule="exact"/>
        <w:rPr>
          <w:sz w:val="20"/>
          <w:szCs w:val="20"/>
          <w:color w:val="auto"/>
        </w:rPr>
      </w:pPr>
    </w:p>
    <w:p>
      <w:pPr>
        <w:jc w:val="both"/>
        <w:ind w:right="1999"/>
        <w:spacing w:after="0" w:line="238" w:lineRule="auto"/>
        <w:rPr>
          <w:sz w:val="20"/>
          <w:szCs w:val="20"/>
          <w:color w:val="auto"/>
        </w:rPr>
      </w:pPr>
      <w:r>
        <w:rPr>
          <w:rFonts w:ascii="Courier New" w:cs="Courier New" w:eastAsia="Courier New" w:hAnsi="Courier New"/>
          <w:sz w:val="18"/>
          <w:szCs w:val="18"/>
          <w:color w:val="auto"/>
        </w:rPr>
        <w:t>On January 30, 1996, the United States Environmental Protection Agency (the "U. S. EPA") served a Complaint and Notice of Opportunity for Hearing upon Sierra's wholly-owned subsidiary, Scotts-Sierra Crop Protection Company ("Crop Protection"). The Complaint alleges labeling violations under the Federal Insecticide, Fungicide and Rodenticide Act ("FIFRA") during 1992 and 1993. It proposes penalties totalling $785,000, the maximum allowable under FIFRA according to management's calculations. Based upon Crop Protection's good faith compliance actions and FIFRA's provisions for "gravity-based" penalty reductions, management believes Crop Protection's maximum liability to be $200,000, which has been accrued in the financial statements. The Company does not believe that the outcome of this proceeding will have a material adverse effect on its financial condition or results of operations.</w:t>
      </w:r>
    </w:p>
    <w:p>
      <w:pPr>
        <w:spacing w:after="0" w:line="207" w:lineRule="exact"/>
        <w:rPr>
          <w:sz w:val="20"/>
          <w:szCs w:val="20"/>
          <w:color w:val="auto"/>
        </w:rPr>
      </w:pPr>
    </w:p>
    <w:p>
      <w:pPr>
        <w:jc w:val="both"/>
        <w:ind w:right="1999"/>
        <w:spacing w:after="0" w:line="238" w:lineRule="auto"/>
        <w:rPr>
          <w:sz w:val="20"/>
          <w:szCs w:val="20"/>
          <w:color w:val="auto"/>
        </w:rPr>
      </w:pPr>
      <w:r>
        <w:rPr>
          <w:rFonts w:ascii="Courier New" w:cs="Courier New" w:eastAsia="Courier New" w:hAnsi="Courier New"/>
          <w:sz w:val="18"/>
          <w:szCs w:val="18"/>
          <w:color w:val="auto"/>
        </w:rPr>
        <w:t>During 1993 and 1994, Stern's Miracle-Gro Products, Inc. ("Miracle-Gro Products") discussed with Pursell Industries, Inc. ("Pursell") the feasibility of forming a joint venture to produce and market a line of slow-release lawn food, and in October 1993, signed a non-binding "heads of agreement." After the merger transactions between the Company and the Miracle-Gro Companies were announced, Pursell demanded that Miracle-Gro Products reimburse it for monies allegedly spent by Pursell in connection with the proposed project. Because Miracle-Gro Products does not believe that any such monies are due or that any such joint venture ever was formed, on February 10, 1995, it instituted an action in the Supreme Court of the State of New York, STERN'S MIRACLE-GRO PRODUCTS, INC. V. PURSELL INDUSTRIES, INC. Index No. 95-004131 (Nassau Co.) (the "New York Action"), seeking declarations that, among other things, Miracle-Gro Products owed no monies to Pursell relating to the proposed project and that no joint venture was formed. Pursell moved to dismiss the New York Action in favor of the Alabama action described below, which motion was granted August 7, 1995.</w:t>
      </w:r>
    </w:p>
    <w:p>
      <w:pPr>
        <w:spacing w:after="0" w:line="209" w:lineRule="exact"/>
        <w:rPr>
          <w:sz w:val="20"/>
          <w:szCs w:val="20"/>
          <w:color w:val="auto"/>
        </w:rPr>
      </w:pPr>
    </w:p>
    <w:p>
      <w:pPr>
        <w:jc w:val="both"/>
        <w:ind w:right="1999"/>
        <w:spacing w:after="0" w:line="238" w:lineRule="auto"/>
        <w:rPr>
          <w:sz w:val="20"/>
          <w:szCs w:val="20"/>
          <w:color w:val="auto"/>
        </w:rPr>
      </w:pPr>
      <w:r>
        <w:rPr>
          <w:rFonts w:ascii="Courier New" w:cs="Courier New" w:eastAsia="Courier New" w:hAnsi="Courier New"/>
          <w:sz w:val="18"/>
          <w:szCs w:val="18"/>
          <w:color w:val="auto"/>
        </w:rPr>
        <w:t>On March 2, 1995, Pursell instituted an action in the United States District Court for the Northern District of Alabama, PURSELL INDUSTRIES, INC. V. STERN'S MIRACLE-GRO PRODUCTS, INC., CV-95-C-0524-S (the "Alabama Action"), alleging, among other things, that a joint venture was formed, that Miracle-Gro Products breached an alleged joint venture contract, committed fraud, and breached an alleged fiduciary duty owed Pursell by not informing Pursell of negotiations concerning the merger transactions. On December 18, 1995, Pursell filed an amended complaint in the Alabama Action in which Scotts was named as an additional party defendant. The amended complaint contains a number of allegations and seeks compensatory damages in excess of $10 million, punitive damages of $20 million, treble damages as allowed by law and injunctive relief with respect to the advertising and trade dress allegations. The Company does not believe that the amended complaint has any merit and intends to vigorously defend that action.</w:t>
      </w:r>
    </w:p>
    <w:p>
      <w:pPr>
        <w:ind w:left="3380"/>
        <w:spacing w:after="0"/>
        <w:rPr>
          <w:sz w:val="20"/>
          <w:szCs w:val="20"/>
          <w:color w:val="auto"/>
        </w:rPr>
      </w:pPr>
      <w:r>
        <w:rPr>
          <w:rFonts w:ascii="Courier New" w:cs="Courier New" w:eastAsia="Courier New" w:hAnsi="Courier New"/>
          <w:sz w:val="18"/>
          <w:szCs w:val="18"/>
          <w:color w:val="auto"/>
        </w:rPr>
        <w:t>Page 10</w:t>
      </w:r>
    </w:p>
    <w:p>
      <w:pPr>
        <w:sectPr>
          <w:pgSz w:w="11900" w:h="16838" w:orient="portrait"/>
          <w:cols w:equalWidth="0" w:num="1">
            <w:col w:w="9799"/>
          </w:cols>
          <w:pgMar w:left="660" w:top="717" w:right="1440" w:bottom="1440" w:gutter="0" w:footer="0" w:header="0"/>
        </w:sectPr>
      </w:pPr>
    </w:p>
    <w:bookmarkStart w:id="10" w:name="page11"/>
    <w:bookmarkEnd w:id="10"/>
    <w:p>
      <w:pPr>
        <w:ind w:left="1580"/>
        <w:spacing w:after="0"/>
        <w:rPr>
          <w:sz w:val="20"/>
          <w:szCs w:val="20"/>
          <w:color w:val="auto"/>
        </w:rPr>
      </w:pPr>
      <w:r>
        <w:rPr>
          <w:rFonts w:ascii="Courier New" w:cs="Courier New" w:eastAsia="Courier New" w:hAnsi="Courier New"/>
          <w:sz w:val="18"/>
          <w:szCs w:val="18"/>
          <w:color w:val="auto"/>
        </w:rPr>
        <w:t>ITEM II. MANAGEMENT'S DISCUSSION AND ANALYSIS OF</w:t>
      </w:r>
    </w:p>
    <w:p>
      <w:pPr>
        <w:ind w:left="1800"/>
        <w:spacing w:after="0" w:line="238" w:lineRule="auto"/>
        <w:rPr>
          <w:sz w:val="20"/>
          <w:szCs w:val="20"/>
          <w:color w:val="auto"/>
        </w:rPr>
      </w:pPr>
      <w:r>
        <w:rPr>
          <w:rFonts w:ascii="Courier New" w:cs="Courier New" w:eastAsia="Courier New" w:hAnsi="Courier New"/>
          <w:sz w:val="18"/>
          <w:szCs w:val="18"/>
          <w:color w:val="auto"/>
        </w:rPr>
        <w:t>FINANCIAL CONDITION AND RESULTS OF OPERATIONS</w:t>
      </w:r>
    </w:p>
    <w:p>
      <w:pPr>
        <w:spacing w:after="0" w:line="200" w:lineRule="exact"/>
        <w:rPr>
          <w:sz w:val="20"/>
          <w:szCs w:val="20"/>
          <w:color w:val="auto"/>
        </w:rPr>
      </w:pPr>
    </w:p>
    <w:p>
      <w:pPr>
        <w:spacing w:after="0" w:line="210" w:lineRule="exact"/>
        <w:rPr>
          <w:sz w:val="20"/>
          <w:szCs w:val="20"/>
          <w:color w:val="auto"/>
        </w:rPr>
      </w:pPr>
    </w:p>
    <w:p>
      <w:pPr>
        <w:jc w:val="both"/>
        <w:ind w:right="1999"/>
        <w:spacing w:after="0" w:line="235" w:lineRule="auto"/>
        <w:rPr>
          <w:sz w:val="20"/>
          <w:szCs w:val="20"/>
          <w:color w:val="auto"/>
        </w:rPr>
      </w:pPr>
      <w:r>
        <w:rPr>
          <w:rFonts w:ascii="Courier New" w:cs="Courier New" w:eastAsia="Courier New" w:hAnsi="Courier New"/>
          <w:sz w:val="18"/>
          <w:szCs w:val="18"/>
          <w:color w:val="auto"/>
        </w:rPr>
        <w:t>The following discussion should be read in conjunction with the Consolidated Financial Statements of the Company included elsewhere in this report.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jc w:val="both"/>
        <w:ind w:right="1999"/>
        <w:spacing w:after="0" w:line="235" w:lineRule="auto"/>
        <w:rPr>
          <w:sz w:val="20"/>
          <w:szCs w:val="20"/>
          <w:color w:val="auto"/>
        </w:rPr>
      </w:pPr>
      <w:r>
        <w:rPr>
          <w:rFonts w:ascii="Courier New" w:cs="Courier New" w:eastAsia="Courier New" w:hAnsi="Courier New"/>
          <w:sz w:val="18"/>
          <w:szCs w:val="18"/>
          <w:color w:val="auto"/>
        </w:rPr>
        <w:t>Three Months Ended December 30, 1995 versus Three Months Ended December 31, 1994 (restated)</w:t>
      </w:r>
    </w:p>
    <w:p>
      <w:pPr>
        <w:spacing w:after="0" w:line="208"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Net sales increased to $117.9 million, up 20.3%. The increase is at-tributed to additional unit sales volume which increased sales 16.7% and increases in average selling prices of approximately 3.6%. Increased purchases from the marketing program incentivizing retailers to purchase their spring requirements early ($13.7 million) and the inclusion of Miracle-Gro ($13.1 million) were the primary factors of the sales volume gain. On a pro forma basis, including Miracle-Gro, net sales increased by $8.0 million or 7.3%.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Consumer</w:t>
            </w:r>
          </w:p>
        </w:tc>
        <w:tc>
          <w:tcPr>
            <w:tcW w:w="1120" w:type="dxa"/>
            <w:vAlign w:val="bottom"/>
          </w:tcPr>
          <w:p>
            <w:pPr>
              <w:ind w:left="60"/>
              <w:spacing w:after="0"/>
              <w:rPr>
                <w:sz w:val="20"/>
                <w:szCs w:val="20"/>
                <w:color w:val="auto"/>
              </w:rPr>
            </w:pPr>
            <w:r>
              <w:rPr>
                <w:rFonts w:ascii="Courier New" w:cs="Courier New" w:eastAsia="Courier New" w:hAnsi="Courier New"/>
                <w:sz w:val="18"/>
                <w:szCs w:val="18"/>
                <w:color w:val="auto"/>
              </w:rPr>
              <w:t>Business</w:t>
            </w:r>
          </w:p>
        </w:tc>
        <w:tc>
          <w:tcPr>
            <w:tcW w:w="1200" w:type="dxa"/>
            <w:vAlign w:val="bottom"/>
          </w:tcPr>
          <w:p>
            <w:pPr>
              <w:spacing w:after="0"/>
              <w:rPr>
                <w:sz w:val="20"/>
                <w:szCs w:val="20"/>
                <w:color w:val="auto"/>
              </w:rPr>
            </w:pPr>
            <w:r>
              <w:rPr>
                <w:rFonts w:ascii="Courier New" w:cs="Courier New" w:eastAsia="Courier New" w:hAnsi="Courier New"/>
                <w:sz w:val="18"/>
                <w:szCs w:val="18"/>
                <w:color w:val="auto"/>
              </w:rPr>
              <w:t>Group  net</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sales</w:t>
            </w:r>
          </w:p>
        </w:tc>
        <w:tc>
          <w:tcPr>
            <w:tcW w:w="12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increased</w:t>
            </w:r>
          </w:p>
        </w:tc>
        <w:tc>
          <w:tcPr>
            <w:tcW w:w="3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by  37.5%  to $76.4 million.</w:t>
            </w:r>
          </w:p>
        </w:tc>
      </w:tr>
      <w:tr>
        <w:trPr>
          <w:trHeight w:val="203"/>
        </w:trPr>
        <w:tc>
          <w:tcPr>
            <w:tcW w:w="3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The increase is  attributed to</w:t>
            </w:r>
          </w:p>
        </w:tc>
        <w:tc>
          <w:tcPr>
            <w:tcW w:w="1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additional</w:t>
            </w:r>
          </w:p>
        </w:tc>
        <w:tc>
          <w:tcPr>
            <w:tcW w:w="36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unit sales volume which  increased</w:t>
            </w:r>
          </w:p>
        </w:tc>
      </w:tr>
      <w:tr>
        <w:trPr>
          <w:trHeight w:val="203"/>
        </w:trPr>
        <w:tc>
          <w:tcPr>
            <w:tcW w:w="39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sales 29.8% and increases in average</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selling  prices of</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approximately  7.7%.</w:t>
            </w:r>
          </w:p>
        </w:tc>
      </w:tr>
      <w:tr>
        <w:trPr>
          <w:trHeight w:val="203"/>
        </w:trPr>
        <w:tc>
          <w:tcPr>
            <w:tcW w:w="46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Sales increased in all categories including</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fertilizers,</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spreaders and garden</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products.</w:t>
            </w:r>
          </w:p>
        </w:tc>
        <w:tc>
          <w:tcPr>
            <w:tcW w:w="1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Increased</w:t>
            </w: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purchases</w:t>
            </w:r>
          </w:p>
        </w:tc>
        <w:tc>
          <w:tcPr>
            <w:tcW w:w="1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from the retailer</w:t>
            </w:r>
          </w:p>
        </w:tc>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incentive program discussed</w:t>
            </w:r>
          </w:p>
        </w:tc>
      </w:tr>
      <w:tr>
        <w:trPr>
          <w:trHeight w:val="203"/>
        </w:trPr>
        <w:tc>
          <w:tcPr>
            <w:tcW w:w="46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above ($13.7  million) and the inclusion of</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Miracle-Gro</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($13.1  million) were</w:t>
            </w:r>
          </w:p>
        </w:tc>
      </w:tr>
    </w:tbl>
    <w:p>
      <w:pPr>
        <w:spacing w:after="0" w:line="4"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the primary factors of the sales volume gain. Professional Business Group net sales decreased 6.4% to $26.1 million. The decrease was a result of the loss of exclusivity of an advanced control chemistry and a decrease in Horticulture due to competitive pressures. International sales increased by 5.6% to $15.4 million. The increase resulted primarily from increased sales volume in Canada and the Pacific Rim.</w:t>
      </w:r>
    </w:p>
    <w:p>
      <w:pPr>
        <w:spacing w:after="0" w:line="210" w:lineRule="exact"/>
        <w:rPr>
          <w:sz w:val="20"/>
          <w:szCs w:val="20"/>
          <w:color w:val="auto"/>
        </w:rPr>
      </w:pPr>
    </w:p>
    <w:p>
      <w:pPr>
        <w:jc w:val="both"/>
        <w:ind w:right="1999"/>
        <w:spacing w:after="0" w:line="235" w:lineRule="auto"/>
        <w:rPr>
          <w:sz w:val="20"/>
          <w:szCs w:val="20"/>
          <w:color w:val="auto"/>
        </w:rPr>
      </w:pPr>
      <w:r>
        <w:rPr>
          <w:rFonts w:ascii="Courier New" w:cs="Courier New" w:eastAsia="Courier New" w:hAnsi="Courier New"/>
          <w:sz w:val="18"/>
          <w:szCs w:val="18"/>
          <w:color w:val="auto"/>
        </w:rPr>
        <w:t>Cost of sales represented 54.9% of net sales, nearly flat compared to 54.6% of net sales last year.</w:t>
      </w:r>
    </w:p>
    <w:p>
      <w:pPr>
        <w:spacing w:after="0" w:line="208" w:lineRule="exact"/>
        <w:rPr>
          <w:sz w:val="20"/>
          <w:szCs w:val="20"/>
          <w:color w:val="auto"/>
        </w:rPr>
      </w:pPr>
    </w:p>
    <w:p>
      <w:pPr>
        <w:jc w:val="both"/>
        <w:ind w:right="1999"/>
        <w:spacing w:after="0" w:line="238" w:lineRule="auto"/>
        <w:rPr>
          <w:sz w:val="20"/>
          <w:szCs w:val="20"/>
          <w:color w:val="auto"/>
        </w:rPr>
      </w:pPr>
      <w:r>
        <w:rPr>
          <w:rFonts w:ascii="Courier New" w:cs="Courier New" w:eastAsia="Courier New" w:hAnsi="Courier New"/>
          <w:sz w:val="18"/>
          <w:szCs w:val="18"/>
          <w:color w:val="auto"/>
        </w:rPr>
        <w:t>Operating expenses increased approximately 27% due partially to the inclusion of Miracle-Gro. Marketing expenses increased 23.2% due to increased promotional allowances to retailers and increased advertising. Distribution costs increased 13.2% as a result of higher sales volume and increased warehousing costs partially offset by lower distribution costs for Miracle-Gro, and as a result of favorable sales mix. General and administrative expenses increased 35% due to the inclusion of Miracle-Gro. In addition, a $1.6 million charge for personnel reductions, goodwill and other amortization of $1.1 million related to the Miracle-Gro Companies merger transactions and a $.5 million charge for closed facilities consisting of three composting sites and the Scotts U.K. distribution operation resulted in a $3.5 million increase in "other expenses, net."</w:t>
      </w:r>
    </w:p>
    <w:p>
      <w:pPr>
        <w:spacing w:after="0" w:line="207"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Interest expense increased 15.9%. The increase was caused primarily by an increase in borrowing levels (13.5%) principally to support higher sales levels recorded in the past six months.</w:t>
      </w:r>
    </w:p>
    <w:p>
      <w:pPr>
        <w:spacing w:after="0" w:line="209"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The Company's effective tax rate increased from 41.5% to 43.2% in 1996. This increase results primarily from an increase in nondeductible amortization of intangible assets discussed above.</w:t>
      </w:r>
    </w:p>
    <w:p>
      <w:pPr>
        <w:spacing w:after="0" w:line="209"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Net loss of $7.2 million increased by $2.6 million from 1995. Among the significant items impacting 1996 results were the inclusion of Miracle-Gro which increased sales and marketing expenses, increased revenues offset by higher benefit costs, the $1.6 million charge for personnel reduction, higher interest expense and higher tax rates as discussed more fully above.</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11</w:t>
      </w:r>
    </w:p>
    <w:p>
      <w:pPr>
        <w:sectPr>
          <w:pgSz w:w="11900" w:h="16838" w:orient="portrait"/>
          <w:cols w:equalWidth="0" w:num="1">
            <w:col w:w="10219"/>
          </w:cols>
          <w:pgMar w:left="240" w:top="717"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Financial Position as of December 30, 1995</w:t>
      </w:r>
    </w:p>
    <w:p>
      <w:pPr>
        <w:spacing w:after="0" w:line="207"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Current assets of $409.8 million increased by $60.7 million compared with current assets at September 30, 1995 and by $113.6 compared with current assets at December 31, 1994. The increase compared with September 30, 1995 is primarily attributable to the seasonal nature of the Company's business, with inventory and accounts receivable levels generally being higher in December relative to September. In addition, international inventories increased. The increase compared with December 31, 1994 was due in part to the inclusion of Miracle-Gro's current assets which amounted to $38.7 million. The increase was also caused by higher receivables associated with sales increases in the past six months and to higher inventory levels.</w:t>
      </w:r>
    </w:p>
    <w:p>
      <w:pPr>
        <w:spacing w:after="0" w:line="215" w:lineRule="exact"/>
        <w:rPr>
          <w:sz w:val="20"/>
          <w:szCs w:val="20"/>
          <w:color w:val="auto"/>
        </w:rPr>
      </w:pPr>
    </w:p>
    <w:p>
      <w:pPr>
        <w:jc w:val="both"/>
        <w:ind w:right="1999"/>
        <w:spacing w:after="0" w:line="270" w:lineRule="auto"/>
        <w:rPr>
          <w:sz w:val="20"/>
          <w:szCs w:val="20"/>
          <w:color w:val="auto"/>
        </w:rPr>
      </w:pPr>
      <w:r>
        <w:rPr>
          <w:rFonts w:ascii="Courier New" w:cs="Courier New" w:eastAsia="Courier New" w:hAnsi="Courier New"/>
          <w:sz w:val="16"/>
          <w:szCs w:val="16"/>
          <w:color w:val="auto"/>
        </w:rPr>
        <w:t>Current liabilities of $134.0 million increased by $14.6 million compared with current liabilities at September 30, 1995 and decreased by $28.2 million compared with current liabilities at December 31, 1994. The increase compared with September 30, 1995 is caused, in part, by increased short-term borrowings, offset by lower trade payables and accrued expenses. The decrease compared with December 31, 1994 is caused by a decrease in short-term debt due to the terms of the Fourth Amended and Restated Credit Agreement (the "Credit Agreement") dated March 17, 1995, which requires the Company to reduce revolving credit borrowing to no more than $225 million for 30 consecutive days each year as compared to $30 million prior to the amendment.</w:t>
      </w:r>
    </w:p>
    <w:p>
      <w:pPr>
        <w:spacing w:after="0" w:line="189"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Capital expenditures for the year ended September 30, 1996 are expected to be approximately $28.0 million. The Credit Agreement restricts the amount the Company may spend on capital expenditures to $50 million per year for fiscal 1996 and each year thereafter. These expected capital expenditures will be financed with cash provided by operations and utilization of available credit facilities.</w:t>
      </w:r>
    </w:p>
    <w:p>
      <w:pPr>
        <w:spacing w:after="0" w:line="210" w:lineRule="exact"/>
        <w:rPr>
          <w:sz w:val="20"/>
          <w:szCs w:val="20"/>
          <w:color w:val="auto"/>
        </w:rPr>
      </w:pPr>
    </w:p>
    <w:p>
      <w:pPr>
        <w:jc w:val="both"/>
        <w:ind w:right="1999"/>
        <w:spacing w:after="0" w:line="271" w:lineRule="auto"/>
        <w:rPr>
          <w:sz w:val="20"/>
          <w:szCs w:val="20"/>
          <w:color w:val="auto"/>
        </w:rPr>
      </w:pPr>
      <w:r>
        <w:rPr>
          <w:rFonts w:ascii="Courier New" w:cs="Courier New" w:eastAsia="Courier New" w:hAnsi="Courier New"/>
          <w:sz w:val="16"/>
          <w:szCs w:val="16"/>
          <w:color w:val="auto"/>
        </w:rPr>
        <w:t>Long-term debt increased by $52.3 million compared with long-term debt at September 30, 1995 and by $106.8 compared with long-term debt at December 31, 1994. The increase as compared to September 30, 1995 was to support increased working capital and capital expenditures. The increase compared to December 31, 1994 was attributable to the change in terms of borrowings under the Credit Agreement discussed above ($31.6 million) and the remaining increase in borrowings was to support increased working capital and capital expenditures.</w:t>
      </w:r>
    </w:p>
    <w:p>
      <w:pPr>
        <w:spacing w:after="0" w:line="188" w:lineRule="exact"/>
        <w:rPr>
          <w:sz w:val="20"/>
          <w:szCs w:val="20"/>
          <w:color w:val="auto"/>
        </w:rPr>
      </w:pPr>
    </w:p>
    <w:p>
      <w:pPr>
        <w:jc w:val="both"/>
        <w:ind w:right="1999"/>
        <w:spacing w:after="0" w:line="238" w:lineRule="auto"/>
        <w:rPr>
          <w:sz w:val="20"/>
          <w:szCs w:val="20"/>
          <w:color w:val="auto"/>
        </w:rPr>
      </w:pPr>
      <w:r>
        <w:rPr>
          <w:rFonts w:ascii="Courier New" w:cs="Courier New" w:eastAsia="Courier New" w:hAnsi="Courier New"/>
          <w:sz w:val="18"/>
          <w:szCs w:val="18"/>
          <w:color w:val="auto"/>
        </w:rPr>
        <w:t>Shareholders' equity decreased $9.8 million compared with shareholders' equity at September 30, 1995 and increased by $210.2 million compared with shareholders' equity at December 31, 1994. The decrease compared with September 30, 1995 reflects the net loss for the three months ended December 30, 1995 of $7.2 million, the Convertible Preferred Stock dividends of $2.4 million and the change in the cumulative foreign currency adjustment of $.2 million. The increase compared with December 31, 1994 resulted primarily due to the issuance of Convertible Preferred Stock with a fair market value of $177.3 million and Warrants with a fair market value of $14.4 million in the merger transactions with the Miracle-Gro Companies. The remaining change in shareholders' equity was a result of net income for the twelve months ended December 30, 1995 of $22.5 million and the change in the cumulative foreign currency adjustment of $1.8 million, partially offset by Convertible Preferred Stock dividends of $6.0 million.</w:t>
      </w:r>
    </w:p>
    <w:p>
      <w:pPr>
        <w:spacing w:after="0" w:line="208" w:lineRule="exact"/>
        <w:rPr>
          <w:sz w:val="20"/>
          <w:szCs w:val="20"/>
          <w:color w:val="auto"/>
        </w:rPr>
      </w:pPr>
    </w:p>
    <w:p>
      <w:pPr>
        <w:jc w:val="both"/>
        <w:ind w:right="1999"/>
        <w:spacing w:after="0" w:line="238" w:lineRule="auto"/>
        <w:rPr>
          <w:sz w:val="20"/>
          <w:szCs w:val="20"/>
          <w:color w:val="auto"/>
        </w:rPr>
      </w:pPr>
      <w:r>
        <w:rPr>
          <w:rFonts w:ascii="Courier New" w:cs="Courier New" w:eastAsia="Courier New" w:hAnsi="Courier New"/>
          <w:sz w:val="18"/>
          <w:szCs w:val="18"/>
          <w:color w:val="auto"/>
        </w:rPr>
        <w:t>The Company has foreign exchange rate risk related to international earnings and cash flows. During fiscal 1995, a management program was designed to minimize the exposure to adverse currency impacts on the cash value of the Company's non-local currency receivables and payables, as well as the associated earnings impact. The Company has entered into forward foreign exchange contracts and purchased currency options tied to the economic value of receivables and payables and expected cash flows denominated in non-local foreign currencies. Management anticipated that these financial statements will act as an effective hedge against the potential adverse impact of exchange rate fluctuations on the Company's results of operations, financial condition and liquidity. It is recognized, however, that the program will minimize but not completely eliminate the Company's exposure to adverse currency movements.</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12</w:t>
      </w:r>
    </w:p>
    <w:p>
      <w:pPr>
        <w:sectPr>
          <w:pgSz w:w="11900" w:h="16838" w:orient="portrait"/>
          <w:cols w:equalWidth="0" w:num="1">
            <w:col w:w="10219"/>
          </w:cols>
          <w:pgMar w:left="240" w:top="717" w:right="1440" w:bottom="1440" w:gutter="0" w:footer="0" w:header="0"/>
        </w:sectPr>
      </w:pPr>
    </w:p>
    <w:bookmarkStart w:id="12" w:name="page13"/>
    <w:bookmarkEnd w:id="12"/>
    <w:p>
      <w:pPr>
        <w:jc w:val="both"/>
        <w:ind w:right="1999"/>
        <w:spacing w:after="0" w:line="237" w:lineRule="auto"/>
        <w:rPr>
          <w:sz w:val="20"/>
          <w:szCs w:val="20"/>
          <w:color w:val="auto"/>
        </w:rPr>
      </w:pPr>
      <w:r>
        <w:rPr>
          <w:rFonts w:ascii="Courier New" w:cs="Courier New" w:eastAsia="Courier New" w:hAnsi="Courier New"/>
          <w:sz w:val="18"/>
          <w:szCs w:val="18"/>
          <w:color w:val="auto"/>
        </w:rPr>
        <w:t>As of December 30, 1995, the Company's European operations had foreign exchange risk in various European currencies tied to the Dutch Guilder. These currencies include the Austrian Dollar, Belgian Franc, German Mark, Spanish Peseta, Italian Lira, French Franc, British Pound and the U. S. Dollar. The Company's U. S. operations had foreign exchange rate risk in the Canadian Dollar, Dutch Guilder and the British Pound which are tied to the U. S. Dollar. As of December 30, 1995, outstanding foreign exchange forward contracts had a contract value of approximately $35.4 million and outstanding purchased currency options had a contract value of approximately $14.8 million. These contracts have maturity dates ranging from January 3, 1996 to October 2, 1996.</w:t>
      </w:r>
    </w:p>
    <w:p>
      <w:pPr>
        <w:spacing w:after="0" w:line="216"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The primary sources of liquidity for the Company are funds generated by operations and borrowings under the Company's Credit Agreement. As amended, the Credit Agreement is unsecured and provides up to $375 million through March 31, 2000 and does not contain a term loan facility.</w:t>
      </w:r>
    </w:p>
    <w:p>
      <w:pPr>
        <w:spacing w:after="0" w:line="207"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In the opinion of the Company's management, cash flows from operations and capital resources will be sufficient to meet future debt service and working capital needs during the 1996 fiscal year.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Inflation</w:t>
      </w:r>
    </w:p>
    <w:p>
      <w:pPr>
        <w:spacing w:after="0" w:line="207"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The Company is subject to the effects of changing prices. The Company has, however, generally been able to pass along inflationary increases in its costs by increasing the prices of its products.</w:t>
      </w:r>
    </w:p>
    <w:p>
      <w:pPr>
        <w:spacing w:after="0" w:line="209"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Selective price increases for products which contain urea became effective at the beginning of 1996. The price increases offset higher urea prices experienced by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Issues</w:t>
      </w:r>
    </w:p>
    <w:p>
      <w:pPr>
        <w:spacing w:after="0" w:line="207"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In December 1995, the Financial Accounting Standards Board issued Statement of Financial Accounting Standards ("SFAS") No. 123 "Accounting for Stock-Based Compensation", which changes the measurement, recognition and disclosure standards for stock-based compensation. Management is currently evaluating the provisions of SFAS No. 123 and at this time, the effect of adopting SFAS No. 123 on the results of operations and the method of disclosure has not been determined.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Contingencies</w:t>
      </w:r>
    </w:p>
    <w:p>
      <w:pPr>
        <w:spacing w:after="0" w:line="207"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The Company is involved in various lawsuits and claims that arise in the normal course of business. In the opinion of management, these claims individually and in the aggregate are not expected to result in a material adverse effect on the Company's financial position or results of operations; however, there can be no assurance that future quarterly or annual operating results will not be materially affected by final resolution of these matters. Additional information with respect to the more significant of these matters is described in footnote number 8 to the Company's Consolidated Financial Statements.</w:t>
      </w: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13</w:t>
      </w:r>
    </w:p>
    <w:p>
      <w:pPr>
        <w:sectPr>
          <w:pgSz w:w="11900" w:h="16838" w:orient="portrait"/>
          <w:cols w:equalWidth="0" w:num="1">
            <w:col w:w="10219"/>
          </w:cols>
          <w:pgMar w:left="240" w:top="723" w:right="1440" w:bottom="1440" w:gutter="0" w:footer="0" w:header="0"/>
        </w:sectPr>
      </w:pPr>
    </w:p>
    <w:bookmarkStart w:id="13" w:name="page14"/>
    <w:bookmarkEnd w:id="13"/>
    <w:p>
      <w:pPr>
        <w:ind w:left="2740"/>
        <w:spacing w:after="0"/>
        <w:rPr>
          <w:sz w:val="20"/>
          <w:szCs w:val="20"/>
          <w:color w:val="auto"/>
        </w:rPr>
      </w:pPr>
      <w:r>
        <w:rPr>
          <w:rFonts w:ascii="Courier New" w:cs="Courier New" w:eastAsia="Courier New" w:hAnsi="Courier New"/>
          <w:sz w:val="18"/>
          <w:szCs w:val="18"/>
          <w:color w:val="auto"/>
        </w:rPr>
        <w:t>Part II - OTHER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right="4839" w:firstLine="1369"/>
        <w:spacing w:after="0" w:line="235" w:lineRule="auto"/>
        <w:rPr>
          <w:sz w:val="20"/>
          <w:szCs w:val="20"/>
          <w:color w:val="auto"/>
        </w:rPr>
      </w:pPr>
      <w:r>
        <w:rPr>
          <w:rFonts w:ascii="Courier New" w:cs="Courier New" w:eastAsia="Courier New" w:hAnsi="Courier New"/>
          <w:sz w:val="18"/>
          <w:szCs w:val="18"/>
          <w:color w:val="auto"/>
        </w:rPr>
        <w:t>See footnote number 8 to the Company's Consolidated Financial Statements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Items 2-5.</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7" w:lineRule="exact"/>
        <w:rPr>
          <w:sz w:val="20"/>
          <w:szCs w:val="20"/>
          <w:color w:val="auto"/>
        </w:rPr>
      </w:pPr>
    </w:p>
    <w:p>
      <w:pPr>
        <w:ind w:left="540" w:right="1999" w:hanging="532"/>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Exhibit index at page 16 for a list of the exhibits included herewith.</w:t>
      </w:r>
    </w:p>
    <w:p>
      <w:pPr>
        <w:spacing w:after="0" w:line="208" w:lineRule="exact"/>
        <w:rPr>
          <w:rFonts w:ascii="Courier New" w:cs="Courier New" w:eastAsia="Courier New" w:hAnsi="Courier New"/>
          <w:sz w:val="18"/>
          <w:szCs w:val="18"/>
          <w:color w:val="auto"/>
        </w:rPr>
      </w:pPr>
    </w:p>
    <w:p>
      <w:pPr>
        <w:ind w:left="540" w:right="1999" w:hanging="532"/>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reports on Form 8-K were filed during the fiscal quarter ended December 30,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14</w:t>
      </w:r>
    </w:p>
    <w:p>
      <w:pPr>
        <w:sectPr>
          <w:pgSz w:w="11900" w:h="16838" w:orient="portrait"/>
          <w:cols w:equalWidth="0" w:num="1">
            <w:col w:w="10219"/>
          </w:cols>
          <w:pgMar w:left="240" w:top="1122" w:right="1440" w:bottom="1440" w:gutter="0" w:footer="0" w:header="0"/>
        </w:sectPr>
      </w:pPr>
    </w:p>
    <w:bookmarkStart w:id="14" w:name="page15"/>
    <w:bookmarkEnd w:id="14"/>
    <w:p>
      <w:pPr>
        <w:ind w:left="3580"/>
        <w:spacing w:after="0"/>
        <w:rPr>
          <w:sz w:val="20"/>
          <w:szCs w:val="20"/>
          <w:color w:val="auto"/>
        </w:rPr>
      </w:pPr>
      <w:r>
        <w:rPr>
          <w:rFonts w:ascii="Courier New" w:cs="Courier New" w:eastAsia="Courier New" w:hAnsi="Courier New"/>
          <w:sz w:val="16"/>
          <w:szCs w:val="16"/>
          <w:color w:val="auto"/>
        </w:rPr>
        <w:t>SIGNATURES</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line="236" w:lineRule="auto"/>
        <w:rPr>
          <w:sz w:val="20"/>
          <w:szCs w:val="20"/>
          <w:color w:val="auto"/>
        </w:rPr>
      </w:pPr>
      <w:r>
        <w:rPr>
          <w:rFonts w:ascii="Courier New" w:cs="Courier New" w:eastAsia="Courier New" w:hAnsi="Courier New"/>
          <w:sz w:val="18"/>
          <w:szCs w:val="18"/>
          <w:color w:val="auto"/>
        </w:rPr>
        <w:t>Pursuant to the requirements of the Securities Registrant has duly caused this report to be undersigned, thereunto duly authorized.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right="1999" w:firstLine="105"/>
        <w:spacing w:after="0" w:line="235" w:lineRule="auto"/>
        <w:rPr>
          <w:sz w:val="20"/>
          <w:szCs w:val="20"/>
          <w:color w:val="auto"/>
        </w:rPr>
      </w:pPr>
      <w:r>
        <w:rPr>
          <w:rFonts w:ascii="Courier New" w:cs="Courier New" w:eastAsia="Courier New" w:hAnsi="Courier New"/>
          <w:sz w:val="18"/>
          <w:szCs w:val="18"/>
          <w:color w:val="auto"/>
        </w:rPr>
        <w:t>Exchange Act of 1934, the signed on its behalf by the</w:t>
      </w:r>
    </w:p>
    <w:p>
      <w:pPr>
        <w:spacing w:after="0" w:line="402" w:lineRule="exact"/>
        <w:rPr>
          <w:sz w:val="20"/>
          <w:szCs w:val="20"/>
          <w:color w:val="auto"/>
        </w:rPr>
      </w:pPr>
    </w:p>
    <w:p>
      <w:pPr>
        <w:sectPr>
          <w:pgSz w:w="11900" w:h="16838" w:orient="portrait"/>
          <w:cols w:equalWidth="0" w:num="2">
            <w:col w:w="5160" w:space="120"/>
            <w:col w:w="4939"/>
          </w:cols>
          <w:pgMar w:left="240" w:top="72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THE SCOTTS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360" w:val="left"/>
          <w:tab w:leader="none" w:pos="4520" w:val="left"/>
          <w:tab w:leader="none" w:pos="50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12, 1996</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PAUL D. YEAGER</w:t>
      </w:r>
    </w:p>
    <w:p>
      <w:pPr>
        <w:spacing w:after="0"/>
        <w:tabs>
          <w:tab w:leader="none" w:pos="52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Paul D. Yeager</w:t>
      </w:r>
    </w:p>
    <w:p>
      <w:pPr>
        <w:ind w:left="5060"/>
        <w:spacing w:after="0"/>
        <w:rPr>
          <w:sz w:val="20"/>
          <w:szCs w:val="20"/>
          <w:color w:val="auto"/>
        </w:rPr>
      </w:pPr>
      <w:r>
        <w:rPr>
          <w:rFonts w:ascii="Courier New" w:cs="Courier New" w:eastAsia="Courier New" w:hAnsi="Courier New"/>
          <w:sz w:val="18"/>
          <w:szCs w:val="18"/>
          <w:color w:val="auto"/>
        </w:rPr>
        <w:t>Executive Vice President</w:t>
      </w:r>
    </w:p>
    <w:p>
      <w:pPr>
        <w:ind w:left="506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5"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15</w:t>
      </w:r>
    </w:p>
    <w:p>
      <w:pPr>
        <w:sectPr>
          <w:pgSz w:w="11900" w:h="16838" w:orient="portrait"/>
          <w:cols w:equalWidth="0" w:num="1">
            <w:col w:w="10219"/>
          </w:cols>
          <w:pgMar w:left="240" w:top="723" w:right="1440" w:bottom="1440" w:gutter="0" w:footer="0" w:header="0"/>
          <w:type w:val="continuous"/>
        </w:sectPr>
      </w:pPr>
    </w:p>
    <w:bookmarkStart w:id="15" w:name="page16"/>
    <w:bookmarkEnd w:id="15"/>
    <w:p>
      <w:pPr>
        <w:ind w:left="3160"/>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QUARTERLY REPORT ON FORM 10-Q FOR</w:t>
      </w:r>
    </w:p>
    <w:p>
      <w:pPr>
        <w:ind w:left="2120"/>
        <w:spacing w:after="0" w:line="238" w:lineRule="auto"/>
        <w:rPr>
          <w:sz w:val="20"/>
          <w:szCs w:val="20"/>
          <w:color w:val="auto"/>
        </w:rPr>
      </w:pPr>
      <w:r>
        <w:rPr>
          <w:rFonts w:ascii="Courier New" w:cs="Courier New" w:eastAsia="Courier New" w:hAnsi="Courier New"/>
          <w:sz w:val="18"/>
          <w:szCs w:val="18"/>
          <w:color w:val="auto"/>
        </w:rPr>
        <w:t>FISCAL QUARTER ENDED DECEMBER 30, 1995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6100" w:val="left"/>
        </w:tabs>
        <w:rPr>
          <w:sz w:val="20"/>
          <w:szCs w:val="20"/>
          <w:color w:val="auto"/>
        </w:rPr>
      </w:pPr>
      <w:r>
        <w:rPr>
          <w:rFonts w:ascii="Courier New" w:cs="Courier New" w:eastAsia="Courier New" w:hAnsi="Courier New"/>
          <w:sz w:val="18"/>
          <w:szCs w:val="18"/>
          <w:color w:val="auto"/>
        </w:rPr>
        <w:t>EXHIBIT</w:t>
      </w:r>
      <w:r>
        <w:rPr>
          <w:sz w:val="20"/>
          <w:szCs w:val="20"/>
          <w:color w:val="auto"/>
        </w:rPr>
        <w:tab/>
      </w:r>
      <w:r>
        <w:rPr>
          <w:rFonts w:ascii="Courier New" w:cs="Courier New" w:eastAsia="Courier New" w:hAnsi="Courier New"/>
          <w:sz w:val="16"/>
          <w:szCs w:val="16"/>
          <w:color w:val="auto"/>
        </w:rPr>
        <w:t>PAGE</w:t>
      </w:r>
    </w:p>
    <w:p>
      <w:pPr>
        <w:ind w:left="120"/>
        <w:spacing w:after="0"/>
        <w:tabs>
          <w:tab w:leader="none" w:pos="2200" w:val="left"/>
          <w:tab w:leader="none" w:pos="600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r>
        <w:rPr>
          <w:sz w:val="20"/>
          <w:szCs w:val="20"/>
          <w:color w:val="auto"/>
        </w:rPr>
        <w:tab/>
      </w:r>
      <w:r>
        <w:rPr>
          <w:rFonts w:ascii="Courier New" w:cs="Courier New" w:eastAsia="Courier New" w:hAnsi="Courier New"/>
          <w:sz w:val="16"/>
          <w:szCs w:val="16"/>
          <w:color w:val="auto"/>
        </w:rPr>
        <w:t>NUMBER</w:t>
      </w:r>
    </w:p>
    <w:p>
      <w:pPr>
        <w:spacing w:after="0" w:line="202" w:lineRule="exact"/>
        <w:rPr>
          <w:sz w:val="20"/>
          <w:szCs w:val="20"/>
          <w:color w:val="auto"/>
        </w:rPr>
      </w:pPr>
    </w:p>
    <w:p>
      <w:pPr>
        <w:ind w:left="320"/>
        <w:spacing w:after="0"/>
        <w:tabs>
          <w:tab w:leader="none" w:pos="9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Computation of Net Income (Loss)</w:t>
      </w:r>
    </w:p>
    <w:p>
      <w:pPr>
        <w:ind w:left="960"/>
        <w:spacing w:after="0" w:line="238" w:lineRule="auto"/>
        <w:tabs>
          <w:tab w:leader="dot" w:pos="6200" w:val="left"/>
        </w:tabs>
        <w:rPr>
          <w:sz w:val="20"/>
          <w:szCs w:val="20"/>
          <w:color w:val="auto"/>
        </w:rPr>
      </w:pPr>
      <w:r>
        <w:rPr>
          <w:rFonts w:ascii="Courier New" w:cs="Courier New" w:eastAsia="Courier New" w:hAnsi="Courier New"/>
          <w:sz w:val="18"/>
          <w:szCs w:val="18"/>
          <w:color w:val="auto"/>
        </w:rPr>
        <w:t>Per Common Share</w:t>
      </w:r>
      <w:r>
        <w:rPr>
          <w:sz w:val="20"/>
          <w:szCs w:val="20"/>
          <w:color w:val="auto"/>
        </w:rPr>
        <w:tab/>
      </w: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4" w:lineRule="exact"/>
        <w:rPr>
          <w:sz w:val="20"/>
          <w:szCs w:val="20"/>
          <w:color w:val="auto"/>
        </w:rPr>
      </w:pPr>
    </w:p>
    <w:p>
      <w:pPr>
        <w:ind w:left="320"/>
        <w:spacing w:after="0"/>
        <w:tabs>
          <w:tab w:leader="none" w:pos="940" w:val="left"/>
          <w:tab w:leader="dot" w:pos="620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8"/>
          <w:szCs w:val="18"/>
          <w:color w:val="auto"/>
        </w:rPr>
        <w:t>Financial Data Schedule</w:t>
      </w:r>
      <w:r>
        <w:rPr>
          <w:sz w:val="20"/>
          <w:szCs w:val="20"/>
          <w:color w:val="auto"/>
        </w:rPr>
        <w:tab/>
      </w: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16</w:t>
      </w:r>
    </w:p>
    <w:p>
      <w:pPr>
        <w:sectPr>
          <w:pgSz w:w="11900" w:h="16838" w:orient="portrait"/>
          <w:cols w:equalWidth="0" w:num="1">
            <w:col w:w="10219"/>
          </w:cols>
          <w:pgMar w:left="240" w:top="919" w:right="1440" w:bottom="1440" w:gutter="0" w:footer="0" w:header="0"/>
        </w:sectPr>
      </w:pPr>
    </w:p>
    <w:bookmarkStart w:id="16" w:name="page17"/>
    <w:bookmarkEnd w:id="16"/>
    <w:p>
      <w:pPr>
        <w:ind w:left="6860"/>
        <w:spacing w:after="0"/>
        <w:rPr>
          <w:sz w:val="20"/>
          <w:szCs w:val="20"/>
          <w:color w:val="auto"/>
        </w:rPr>
      </w:pPr>
      <w:r>
        <w:rPr>
          <w:rFonts w:ascii="Courier New" w:cs="Courier New" w:eastAsia="Courier New" w:hAnsi="Courier New"/>
          <w:sz w:val="18"/>
          <w:szCs w:val="18"/>
          <w:color w:val="auto"/>
        </w:rPr>
        <w:t>Exhibit 11(a)</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SCOTTS COMPANY</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Computation of Net Income (Loss) Per Common Share</w:t>
      </w:r>
    </w:p>
    <w:p>
      <w:pPr>
        <w:jc w:val="center"/>
        <w:ind w:right="1879"/>
        <w:spacing w:after="0" w:line="238" w:lineRule="auto"/>
        <w:rPr>
          <w:sz w:val="20"/>
          <w:szCs w:val="20"/>
          <w:color w:val="auto"/>
        </w:rPr>
      </w:pPr>
      <w:r>
        <w:rPr>
          <w:rFonts w:ascii="Courier New" w:cs="Courier New" w:eastAsia="Courier New" w:hAnsi="Courier New"/>
          <w:sz w:val="18"/>
          <w:szCs w:val="18"/>
          <w:color w:val="auto"/>
        </w:rPr>
        <w:t>Primary (Unaudited)</w:t>
      </w:r>
    </w:p>
    <w:p>
      <w:pPr>
        <w:jc w:val="center"/>
        <w:ind w:right="1879"/>
        <w:spacing w:after="0"/>
        <w:rPr>
          <w:sz w:val="20"/>
          <w:szCs w:val="20"/>
          <w:color w:val="auto"/>
        </w:rPr>
      </w:pPr>
      <w:r>
        <w:rPr>
          <w:rFonts w:ascii="Courier New" w:cs="Courier New" w:eastAsia="Courier New" w:hAnsi="Courier New"/>
          <w:sz w:val="18"/>
          <w:szCs w:val="18"/>
          <w:color w:val="auto"/>
        </w:rPr>
        <w:t>(Dollars in thousands except per share amounts)</w:t>
      </w:r>
    </w:p>
    <w:p>
      <w:pPr>
        <w:spacing w:after="0" w:line="200" w:lineRule="exact"/>
        <w:rPr>
          <w:sz w:val="20"/>
          <w:szCs w:val="20"/>
          <w:color w:val="auto"/>
        </w:rPr>
      </w:pPr>
    </w:p>
    <w:p>
      <w:pPr>
        <w:spacing w:after="0" w:line="209" w:lineRule="exact"/>
        <w:rPr>
          <w:sz w:val="20"/>
          <w:szCs w:val="20"/>
          <w:color w:val="auto"/>
        </w:rPr>
      </w:pPr>
    </w:p>
    <w:p>
      <w:pPr>
        <w:ind w:left="5700"/>
        <w:spacing w:after="0"/>
        <w:rPr>
          <w:sz w:val="20"/>
          <w:szCs w:val="20"/>
          <w:color w:val="auto"/>
        </w:rPr>
      </w:pPr>
      <w:r>
        <w:rPr>
          <w:rFonts w:ascii="Courier New" w:cs="Courier New" w:eastAsia="Courier New" w:hAnsi="Courier New"/>
          <w:sz w:val="16"/>
          <w:szCs w:val="16"/>
          <w:color w:val="auto"/>
        </w:rPr>
        <w:t>For the Three Months Ended</w:t>
      </w:r>
    </w:p>
    <w:p>
      <w:pPr>
        <w:spacing w:after="0" w:line="16" w:lineRule="exact"/>
        <w:rPr>
          <w:sz w:val="20"/>
          <w:szCs w:val="20"/>
          <w:color w:val="auto"/>
        </w:rPr>
      </w:pPr>
    </w:p>
    <w:p>
      <w:pPr>
        <w:ind w:left="5700"/>
        <w:spacing w:after="0"/>
        <w:tabs>
          <w:tab w:leader="none" w:pos="7160" w:val="left"/>
        </w:tabs>
        <w:rPr>
          <w:sz w:val="20"/>
          <w:szCs w:val="20"/>
          <w:color w:val="auto"/>
        </w:rPr>
      </w:pPr>
      <w:r>
        <w:rPr>
          <w:rFonts w:ascii="Courier New" w:cs="Courier New" w:eastAsia="Courier New" w:hAnsi="Courier New"/>
          <w:sz w:val="18"/>
          <w:szCs w:val="18"/>
          <w:color w:val="auto"/>
        </w:rPr>
        <w:t>December 31</w:t>
      </w:r>
      <w:r>
        <w:rPr>
          <w:sz w:val="20"/>
          <w:szCs w:val="20"/>
          <w:color w:val="auto"/>
        </w:rPr>
        <w:tab/>
      </w:r>
      <w:r>
        <w:rPr>
          <w:rFonts w:ascii="Courier New" w:cs="Courier New" w:eastAsia="Courier New" w:hAnsi="Courier New"/>
          <w:sz w:val="16"/>
          <w:szCs w:val="16"/>
          <w:color w:val="auto"/>
        </w:rPr>
        <w:t>December 30,</w:t>
      </w:r>
    </w:p>
    <w:p>
      <w:pPr>
        <w:ind w:left="6020"/>
        <w:spacing w:after="0" w:line="238" w:lineRule="auto"/>
        <w:tabs>
          <w:tab w:leader="none" w:pos="7580" w:val="left"/>
        </w:tabs>
        <w:rPr>
          <w:sz w:val="20"/>
          <w:szCs w:val="20"/>
          <w:color w:val="auto"/>
        </w:rPr>
      </w:pP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8"/>
          <w:szCs w:val="18"/>
          <w:color w:val="auto"/>
        </w:rPr>
        <w:t>1995</w:t>
      </w:r>
    </w:p>
    <w:p>
      <w:pPr>
        <w:ind w:left="6020"/>
        <w:spacing w:after="0"/>
        <w:tabs>
          <w:tab w:leader="none" w:pos="75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Net loss for computing net loss</w:t>
      </w:r>
    </w:p>
    <w:p>
      <w:pPr>
        <w:ind w:left="320"/>
        <w:spacing w:after="0" w:line="238" w:lineRule="auto"/>
        <w:rPr>
          <w:sz w:val="20"/>
          <w:szCs w:val="20"/>
          <w:color w:val="auto"/>
        </w:rPr>
      </w:pPr>
      <w:r>
        <w:rPr>
          <w:rFonts w:ascii="Courier New" w:cs="Courier New" w:eastAsia="Courier New" w:hAnsi="Courier New"/>
          <w:sz w:val="18"/>
          <w:szCs w:val="18"/>
          <w:color w:val="auto"/>
        </w:rPr>
        <w:t>per common share:</w:t>
      </w:r>
    </w:p>
    <w:p>
      <w:pPr>
        <w:sectPr>
          <w:pgSz w:w="11900" w:h="16838" w:orient="portrait"/>
          <w:cols w:equalWidth="0" w:num="1">
            <w:col w:w="10219"/>
          </w:cols>
          <w:pgMar w:left="240" w:top="339"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loss .........................................</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6"/>
          <w:szCs w:val="16"/>
          <w:color w:val="auto"/>
        </w:rPr>
        <w:t>$(4,598)</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$(7,174)</w:t>
      </w:r>
    </w:p>
    <w:p>
      <w:pPr>
        <w:spacing w:after="0" w:line="200" w:lineRule="exact"/>
        <w:rPr>
          <w:sz w:val="20"/>
          <w:szCs w:val="20"/>
          <w:color w:val="auto"/>
        </w:rPr>
      </w:pPr>
    </w:p>
    <w:p>
      <w:pPr>
        <w:sectPr>
          <w:pgSz w:w="11900" w:h="16838" w:orient="portrait"/>
          <w:cols w:equalWidth="0" w:num="3">
            <w:col w:w="5300" w:space="720"/>
            <w:col w:w="860" w:space="720"/>
            <w:col w:w="2619"/>
          </w:cols>
          <w:pgMar w:left="240" w:top="339"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 dividend .........................</w:t>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(2,436)</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3">
            <w:col w:w="5300" w:space="720"/>
            <w:col w:w="860" w:space="720"/>
            <w:col w:w="2619"/>
          </w:cols>
          <w:pgMar w:left="240" w:top="339"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loss applicable to common shares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$(4,598)</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$(9,610)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3">
            <w:col w:w="5300" w:space="720"/>
            <w:col w:w="860" w:space="720"/>
            <w:col w:w="2619"/>
          </w:cols>
          <w:pgMar w:left="240" w:top="339"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loss per common share ........................</w:t>
      </w:r>
    </w:p>
    <w:p>
      <w:pPr>
        <w:spacing w:after="0" w:line="20" w:lineRule="exact"/>
        <w:rPr>
          <w:sz w:val="20"/>
          <w:szCs w:val="20"/>
          <w:color w:val="auto"/>
        </w:rPr>
      </w:pPr>
      <w:r>
        <w:rPr>
          <w:sz w:val="20"/>
          <w:szCs w:val="20"/>
          <w:color w:val="auto"/>
        </w:rPr>
        <w:br w:type="column"/>
      </w:r>
    </w:p>
    <w:p>
      <w:pPr>
        <w:spacing w:after="0"/>
        <w:tabs>
          <w:tab w:leader="none" w:pos="280" w:val="left"/>
        </w:tabs>
        <w:rPr>
          <w:sz w:val="20"/>
          <w:szCs w:val="20"/>
          <w:color w:val="auto"/>
        </w:rPr>
      </w:pPr>
      <w:r>
        <w:rPr>
          <w:rFonts w:ascii="Courier New" w:cs="Courier New" w:eastAsia="Courier New" w:hAnsi="Courier New"/>
          <w:sz w:val="18"/>
          <w:szCs w:val="18"/>
          <w:color w:val="auto"/>
        </w:rPr>
        <w:t>$</w:t>
        <w:tab/>
        <w:t>(.25)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tabs>
          <w:tab w:leader="none" w:pos="280" w:val="left"/>
        </w:tabs>
        <w:rPr>
          <w:sz w:val="20"/>
          <w:szCs w:val="20"/>
          <w:color w:val="auto"/>
        </w:rPr>
      </w:pPr>
      <w:r>
        <w:rPr>
          <w:rFonts w:ascii="Courier New" w:cs="Courier New" w:eastAsia="Courier New" w:hAnsi="Courier New"/>
          <w:sz w:val="18"/>
          <w:szCs w:val="18"/>
          <w:color w:val="auto"/>
        </w:rPr>
        <w:t>$</w:t>
        <w:tab/>
        <w:t>(.51)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3">
            <w:col w:w="5300" w:space="720"/>
            <w:col w:w="860" w:space="720"/>
            <w:col w:w="2619"/>
          </w:cols>
          <w:pgMar w:left="240" w:top="33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Computation of Weighted Average Number</w:t>
      </w:r>
    </w:p>
    <w:p>
      <w:pPr>
        <w:jc w:val="center"/>
        <w:ind w:right="1979"/>
        <w:spacing w:after="0" w:line="238" w:lineRule="auto"/>
        <w:rPr>
          <w:sz w:val="20"/>
          <w:szCs w:val="20"/>
          <w:color w:val="auto"/>
        </w:rPr>
      </w:pPr>
      <w:r>
        <w:rPr>
          <w:rFonts w:ascii="Courier New" w:cs="Courier New" w:eastAsia="Courier New" w:hAnsi="Courier New"/>
          <w:sz w:val="18"/>
          <w:szCs w:val="18"/>
          <w:color w:val="auto"/>
        </w:rPr>
        <w:t>of Common Shares Outstanding (Unaudited)</w:t>
      </w:r>
    </w:p>
    <w:p>
      <w:pPr>
        <w:spacing w:after="0" w:line="200" w:lineRule="exact"/>
        <w:rPr>
          <w:sz w:val="20"/>
          <w:szCs w:val="20"/>
          <w:color w:val="auto"/>
        </w:rPr>
      </w:pPr>
    </w:p>
    <w:p>
      <w:pPr>
        <w:spacing w:after="0" w:line="210"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For the Three Months Ended</w:t>
      </w:r>
    </w:p>
    <w:p>
      <w:pPr>
        <w:spacing w:after="0" w:line="16" w:lineRule="exact"/>
        <w:rPr>
          <w:sz w:val="20"/>
          <w:szCs w:val="20"/>
          <w:color w:val="auto"/>
        </w:rPr>
      </w:pPr>
    </w:p>
    <w:p>
      <w:pPr>
        <w:ind w:left="5380"/>
        <w:spacing w:after="0"/>
        <w:tabs>
          <w:tab w:leader="none" w:pos="6840" w:val="left"/>
        </w:tabs>
        <w:rPr>
          <w:sz w:val="20"/>
          <w:szCs w:val="20"/>
          <w:color w:val="auto"/>
        </w:rPr>
      </w:pPr>
      <w:r>
        <w:rPr>
          <w:rFonts w:ascii="Courier New" w:cs="Courier New" w:eastAsia="Courier New" w:hAnsi="Courier New"/>
          <w:sz w:val="18"/>
          <w:szCs w:val="18"/>
          <w:color w:val="auto"/>
        </w:rPr>
        <w:t>December 31,</w:t>
      </w:r>
      <w:r>
        <w:rPr>
          <w:sz w:val="20"/>
          <w:szCs w:val="20"/>
          <w:color w:val="auto"/>
        </w:rPr>
        <w:tab/>
      </w:r>
      <w:r>
        <w:rPr>
          <w:rFonts w:ascii="Courier New" w:cs="Courier New" w:eastAsia="Courier New" w:hAnsi="Courier New"/>
          <w:sz w:val="16"/>
          <w:szCs w:val="16"/>
          <w:color w:val="auto"/>
        </w:rPr>
        <w:t>December 30,</w:t>
      </w:r>
    </w:p>
    <w:p>
      <w:pPr>
        <w:ind w:left="5700"/>
        <w:spacing w:after="0" w:line="238" w:lineRule="auto"/>
        <w:tabs>
          <w:tab w:leader="none" w:pos="7260" w:val="left"/>
        </w:tabs>
        <w:rPr>
          <w:sz w:val="20"/>
          <w:szCs w:val="20"/>
          <w:color w:val="auto"/>
        </w:rPr>
      </w:pP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8"/>
          <w:szCs w:val="18"/>
          <w:color w:val="auto"/>
        </w:rPr>
        <w:t>1995</w:t>
      </w:r>
    </w:p>
    <w:p>
      <w:pPr>
        <w:ind w:left="5600"/>
        <w:spacing w:after="0"/>
        <w:tabs>
          <w:tab w:leader="none" w:pos="72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Weighted average number of</w:t>
      </w:r>
    </w:p>
    <w:p>
      <w:pPr>
        <w:ind w:left="420"/>
        <w:spacing w:after="0" w:line="238" w:lineRule="auto"/>
        <w:rPr>
          <w:sz w:val="20"/>
          <w:szCs w:val="20"/>
          <w:color w:val="auto"/>
        </w:rPr>
      </w:pPr>
      <w:r>
        <w:rPr>
          <w:rFonts w:ascii="Courier New" w:cs="Courier New" w:eastAsia="Courier New" w:hAnsi="Courier New"/>
          <w:sz w:val="18"/>
          <w:szCs w:val="18"/>
          <w:color w:val="auto"/>
        </w:rPr>
        <w:t>shares for computing net loss</w:t>
      </w:r>
    </w:p>
    <w:p>
      <w:pPr>
        <w:sectPr>
          <w:pgSz w:w="11900" w:h="16838" w:orient="portrait"/>
          <w:cols w:equalWidth="0" w:num="1">
            <w:col w:w="10219"/>
          </w:cols>
          <w:pgMar w:left="240" w:top="339" w:right="1440" w:bottom="1440" w:gutter="0" w:footer="0" w:header="0"/>
          <w:type w:val="continuous"/>
        </w:sectPr>
      </w:pP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per common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18,667,064(1)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18,688,934 (1)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3">
            <w:col w:w="4560" w:space="720"/>
            <w:col w:w="1360" w:space="320"/>
            <w:col w:w="3259"/>
          </w:cols>
          <w:pgMar w:left="240" w:top="339"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w:t>
      </w:r>
    </w:p>
    <w:p>
      <w:pPr>
        <w:spacing w:after="0" w:line="4" w:lineRule="exact"/>
        <w:rPr>
          <w:sz w:val="20"/>
          <w:szCs w:val="20"/>
          <w:color w:val="auto"/>
        </w:rPr>
      </w:pPr>
    </w:p>
    <w:p>
      <w:pPr>
        <w:jc w:val="both"/>
        <w:ind w:left="540" w:right="1999" w:hanging="532"/>
        <w:spacing w:after="0" w:line="236"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 fully diluted basis, weighted average shares outstanding did not differ from the primary calculation due to the anti-dilutive effect of common stock equivalents in a loss period.</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17</w:t>
      </w:r>
    </w:p>
    <w:p>
      <w:pPr>
        <w:sectPr>
          <w:pgSz w:w="11900" w:h="16838" w:orient="portrait"/>
          <w:cols w:equalWidth="0" w:num="1">
            <w:col w:w="10219"/>
          </w:cols>
          <w:pgMar w:left="240" w:top="339" w:right="1440" w:bottom="1440" w:gutter="0" w:footer="0" w:header="0"/>
          <w:type w:val="continuous"/>
        </w:sectPr>
      </w:pPr>
    </w:p>
    <w:bookmarkStart w:id="17" w:name="page18"/>
    <w:bookmarkEnd w:id="17"/>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jc w:val="both"/>
        <w:ind w:right="1959" w:firstLine="527"/>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THE CONSOLIDATED BALANCE SHEET AND CONSOLIDATED STATEMENT OF INCOME OF THE SCOTTS COMPANY AND IS QUALIFIED IN ITS ENTIRETY BY REFERENCE TO THE FORM 10-Q FOR THE QUARTER ENDED DECEMBER 30, 1995.</w:t>
      </w:r>
    </w:p>
    <w:p>
      <w:pPr>
        <w:spacing w:after="0" w:line="202"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ind w:left="80"/>
        <w:spacing w:after="0" w:line="238" w:lineRule="auto"/>
        <w:rPr>
          <w:sz w:val="20"/>
          <w:szCs w:val="20"/>
          <w:color w:val="auto"/>
        </w:rPr>
      </w:pPr>
      <w:r>
        <w:rPr>
          <w:rFonts w:ascii="Courier New" w:cs="Courier New" w:eastAsia="Courier New" w:hAnsi="Courier New"/>
          <w:sz w:val="18"/>
          <w:szCs w:val="18"/>
          <w:color w:val="auto"/>
        </w:rPr>
        <w:t>U.S. DOLLARS</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3-MOS</w:t>
      </w:r>
    </w:p>
    <w:p>
      <w:pPr>
        <w:ind w:left="2700"/>
        <w:spacing w:after="0" w:line="238" w:lineRule="auto"/>
        <w:rPr>
          <w:sz w:val="20"/>
          <w:szCs w:val="20"/>
          <w:color w:val="auto"/>
        </w:rPr>
      </w:pPr>
      <w:r>
        <w:rPr>
          <w:rFonts w:ascii="Courier New" w:cs="Courier New" w:eastAsia="Courier New" w:hAnsi="Courier New"/>
          <w:sz w:val="18"/>
          <w:szCs w:val="18"/>
          <w:color w:val="auto"/>
        </w:rPr>
        <w:t>SEP-30-1996</w:t>
      </w:r>
    </w:p>
    <w:p>
      <w:pPr>
        <w:ind w:left="3020"/>
        <w:spacing w:after="0"/>
        <w:rPr>
          <w:sz w:val="20"/>
          <w:szCs w:val="20"/>
          <w:color w:val="auto"/>
        </w:rPr>
      </w:pPr>
      <w:r>
        <w:rPr>
          <w:rFonts w:ascii="Courier New" w:cs="Courier New" w:eastAsia="Courier New" w:hAnsi="Courier New"/>
          <w:sz w:val="18"/>
          <w:szCs w:val="18"/>
          <w:color w:val="auto"/>
        </w:rPr>
        <w:t>OCT-01-1995</w:t>
      </w:r>
    </w:p>
    <w:p>
      <w:pPr>
        <w:ind w:left="3240"/>
        <w:spacing w:after="0" w:line="237" w:lineRule="auto"/>
        <w:rPr>
          <w:sz w:val="20"/>
          <w:szCs w:val="20"/>
          <w:color w:val="auto"/>
        </w:rPr>
      </w:pPr>
      <w:r>
        <w:rPr>
          <w:rFonts w:ascii="Courier New" w:cs="Courier New" w:eastAsia="Courier New" w:hAnsi="Courier New"/>
          <w:sz w:val="18"/>
          <w:szCs w:val="18"/>
          <w:color w:val="auto"/>
        </w:rPr>
        <w:t>DEC-30-1995</w:t>
      </w:r>
    </w:p>
    <w:p>
      <w:pPr>
        <w:ind w:left="3980"/>
        <w:spacing w:after="0" w:line="238" w:lineRule="auto"/>
        <w:rPr>
          <w:sz w:val="20"/>
          <w:szCs w:val="20"/>
          <w:color w:val="auto"/>
        </w:rPr>
      </w:pPr>
      <w:r>
        <w:rPr>
          <w:rFonts w:ascii="Courier New" w:cs="Courier New" w:eastAsia="Courier New" w:hAnsi="Courier New"/>
          <w:sz w:val="18"/>
          <w:szCs w:val="18"/>
          <w:color w:val="auto"/>
        </w:rPr>
        <w:t>1</w:t>
      </w:r>
    </w:p>
    <w:p>
      <w:pPr>
        <w:ind w:left="4500"/>
        <w:spacing w:after="0"/>
        <w:rPr>
          <w:sz w:val="20"/>
          <w:szCs w:val="20"/>
          <w:color w:val="auto"/>
        </w:rPr>
      </w:pPr>
      <w:r>
        <w:rPr>
          <w:rFonts w:ascii="Courier New" w:cs="Courier New" w:eastAsia="Courier New" w:hAnsi="Courier New"/>
          <w:sz w:val="18"/>
          <w:szCs w:val="18"/>
          <w:color w:val="auto"/>
        </w:rPr>
        <w:t>7,903</w:t>
      </w:r>
    </w:p>
    <w:p>
      <w:pPr>
        <w:ind w:left="4280"/>
        <w:spacing w:after="0" w:line="237" w:lineRule="auto"/>
        <w:rPr>
          <w:sz w:val="20"/>
          <w:szCs w:val="20"/>
          <w:color w:val="auto"/>
        </w:rPr>
      </w:pPr>
      <w:r>
        <w:rPr>
          <w:rFonts w:ascii="Courier New" w:cs="Courier New" w:eastAsia="Courier New" w:hAnsi="Courier New"/>
          <w:sz w:val="18"/>
          <w:szCs w:val="18"/>
          <w:color w:val="auto"/>
        </w:rPr>
        <w:t>0</w:t>
      </w:r>
    </w:p>
    <w:p>
      <w:pPr>
        <w:ind w:left="3540"/>
        <w:spacing w:after="0"/>
        <w:rPr>
          <w:sz w:val="20"/>
          <w:szCs w:val="20"/>
          <w:color w:val="auto"/>
        </w:rPr>
      </w:pPr>
      <w:r>
        <w:rPr>
          <w:rFonts w:ascii="Courier New" w:cs="Courier New" w:eastAsia="Courier New" w:hAnsi="Courier New"/>
          <w:sz w:val="18"/>
          <w:szCs w:val="18"/>
          <w:color w:val="auto"/>
        </w:rPr>
        <w:t>199,754</w:t>
      </w:r>
    </w:p>
    <w:p>
      <w:pPr>
        <w:ind w:left="3860"/>
        <w:spacing w:after="0" w:line="237" w:lineRule="auto"/>
        <w:rPr>
          <w:sz w:val="20"/>
          <w:szCs w:val="20"/>
          <w:color w:val="auto"/>
        </w:rPr>
      </w:pPr>
      <w:r>
        <w:rPr>
          <w:rFonts w:ascii="Courier New" w:cs="Courier New" w:eastAsia="Courier New" w:hAnsi="Courier New"/>
          <w:sz w:val="18"/>
          <w:szCs w:val="18"/>
          <w:color w:val="auto"/>
        </w:rPr>
        <w:t>3,381</w:t>
      </w:r>
    </w:p>
    <w:p>
      <w:pPr>
        <w:ind w:left="3760"/>
        <w:spacing w:after="0"/>
        <w:rPr>
          <w:sz w:val="20"/>
          <w:szCs w:val="20"/>
          <w:color w:val="auto"/>
        </w:rPr>
      </w:pPr>
      <w:r>
        <w:rPr>
          <w:rFonts w:ascii="Courier New" w:cs="Courier New" w:eastAsia="Courier New" w:hAnsi="Courier New"/>
          <w:sz w:val="18"/>
          <w:szCs w:val="18"/>
          <w:color w:val="auto"/>
        </w:rPr>
        <w:t>184,629</w:t>
      </w:r>
    </w:p>
    <w:p>
      <w:pPr>
        <w:ind w:left="3240"/>
        <w:spacing w:after="0" w:line="237" w:lineRule="auto"/>
        <w:rPr>
          <w:sz w:val="20"/>
          <w:szCs w:val="20"/>
          <w:color w:val="auto"/>
        </w:rPr>
      </w:pPr>
      <w:r>
        <w:rPr>
          <w:rFonts w:ascii="Courier New" w:cs="Courier New" w:eastAsia="Courier New" w:hAnsi="Courier New"/>
          <w:sz w:val="18"/>
          <w:szCs w:val="18"/>
          <w:color w:val="auto"/>
        </w:rPr>
        <w:t>409,847</w:t>
      </w:r>
    </w:p>
    <w:p>
      <w:pPr>
        <w:ind w:left="4280"/>
        <w:spacing w:after="0" w:line="238" w:lineRule="auto"/>
        <w:rPr>
          <w:sz w:val="20"/>
          <w:szCs w:val="20"/>
          <w:color w:val="auto"/>
        </w:rPr>
      </w:pPr>
      <w:r>
        <w:rPr>
          <w:rFonts w:ascii="Courier New" w:cs="Courier New" w:eastAsia="Courier New" w:hAnsi="Courier New"/>
          <w:sz w:val="18"/>
          <w:szCs w:val="18"/>
          <w:color w:val="auto"/>
        </w:rPr>
        <w:t>233,933</w:t>
      </w:r>
    </w:p>
    <w:p>
      <w:pPr>
        <w:ind w:left="3540"/>
        <w:spacing w:after="0"/>
        <w:rPr>
          <w:sz w:val="20"/>
          <w:szCs w:val="20"/>
          <w:color w:val="auto"/>
        </w:rPr>
      </w:pPr>
      <w:r>
        <w:rPr>
          <w:rFonts w:ascii="Courier New" w:cs="Courier New" w:eastAsia="Courier New" w:hAnsi="Courier New"/>
          <w:sz w:val="18"/>
          <w:szCs w:val="18"/>
          <w:color w:val="auto"/>
        </w:rPr>
        <w:t>86,146</w:t>
      </w:r>
    </w:p>
    <w:p>
      <w:pPr>
        <w:ind w:left="3440"/>
        <w:spacing w:after="0" w:line="237" w:lineRule="auto"/>
        <w:rPr>
          <w:sz w:val="20"/>
          <w:szCs w:val="20"/>
          <w:color w:val="auto"/>
        </w:rPr>
      </w:pPr>
      <w:r>
        <w:rPr>
          <w:rFonts w:ascii="Courier New" w:cs="Courier New" w:eastAsia="Courier New" w:hAnsi="Courier New"/>
          <w:sz w:val="18"/>
          <w:szCs w:val="18"/>
          <w:color w:val="auto"/>
        </w:rPr>
        <w:t>864,512</w:t>
      </w:r>
    </w:p>
    <w:p>
      <w:pPr>
        <w:ind w:left="2700"/>
        <w:spacing w:after="0"/>
        <w:rPr>
          <w:sz w:val="20"/>
          <w:szCs w:val="20"/>
          <w:color w:val="auto"/>
        </w:rPr>
      </w:pPr>
      <w:r>
        <w:rPr>
          <w:rFonts w:ascii="Courier New" w:cs="Courier New" w:eastAsia="Courier New" w:hAnsi="Courier New"/>
          <w:sz w:val="18"/>
          <w:szCs w:val="18"/>
          <w:color w:val="auto"/>
        </w:rPr>
        <w:t>134,023</w:t>
      </w:r>
    </w:p>
    <w:p>
      <w:pPr>
        <w:jc w:val="center"/>
        <w:ind w:right="439"/>
        <w:spacing w:after="0" w:line="237" w:lineRule="auto"/>
        <w:rPr>
          <w:sz w:val="20"/>
          <w:szCs w:val="20"/>
          <w:color w:val="auto"/>
        </w:rPr>
      </w:pPr>
      <w:r>
        <w:rPr>
          <w:rFonts w:ascii="Courier New" w:cs="Courier New" w:eastAsia="Courier New" w:hAnsi="Courier New"/>
          <w:sz w:val="18"/>
          <w:szCs w:val="18"/>
          <w:color w:val="auto"/>
        </w:rPr>
        <w:t>0</w:t>
      </w:r>
    </w:p>
    <w:p>
      <w:pPr>
        <w:ind w:left="3340"/>
        <w:spacing w:after="0"/>
        <w:rPr>
          <w:sz w:val="20"/>
          <w:szCs w:val="20"/>
          <w:color w:val="auto"/>
        </w:rPr>
      </w:pPr>
      <w:r>
        <w:rPr>
          <w:rFonts w:ascii="Courier New" w:cs="Courier New" w:eastAsia="Courier New" w:hAnsi="Courier New"/>
          <w:sz w:val="18"/>
          <w:szCs w:val="18"/>
          <w:color w:val="auto"/>
        </w:rPr>
        <w:t>0</w:t>
      </w:r>
    </w:p>
    <w:p>
      <w:pPr>
        <w:ind w:left="3760"/>
        <w:spacing w:after="0" w:line="237" w:lineRule="auto"/>
        <w:rPr>
          <w:sz w:val="20"/>
          <w:szCs w:val="20"/>
          <w:color w:val="auto"/>
        </w:rPr>
      </w:pPr>
      <w:r>
        <w:rPr>
          <w:rFonts w:ascii="Courier New" w:cs="Courier New" w:eastAsia="Courier New" w:hAnsi="Courier New"/>
          <w:sz w:val="18"/>
          <w:szCs w:val="18"/>
          <w:color w:val="auto"/>
        </w:rPr>
        <w:t>177,255</w:t>
      </w:r>
    </w:p>
    <w:p>
      <w:pPr>
        <w:ind w:left="4500"/>
        <w:spacing w:after="0" w:line="238" w:lineRule="auto"/>
        <w:rPr>
          <w:sz w:val="20"/>
          <w:szCs w:val="20"/>
          <w:color w:val="auto"/>
        </w:rPr>
      </w:pPr>
      <w:r>
        <w:rPr>
          <w:rFonts w:ascii="Courier New" w:cs="Courier New" w:eastAsia="Courier New" w:hAnsi="Courier New"/>
          <w:sz w:val="18"/>
          <w:szCs w:val="18"/>
          <w:color w:val="auto"/>
        </w:rPr>
        <w:t>211</w:t>
      </w:r>
    </w:p>
    <w:p>
      <w:pPr>
        <w:ind w:left="3860"/>
        <w:spacing w:after="0"/>
        <w:rPr>
          <w:sz w:val="20"/>
          <w:szCs w:val="20"/>
          <w:color w:val="auto"/>
        </w:rPr>
      </w:pPr>
      <w:r>
        <w:rPr>
          <w:rFonts w:ascii="Courier New" w:cs="Courier New" w:eastAsia="Courier New" w:hAnsi="Courier New"/>
          <w:sz w:val="18"/>
          <w:szCs w:val="18"/>
          <w:color w:val="auto"/>
        </w:rPr>
        <w:t>196,299</w:t>
      </w:r>
    </w:p>
    <w:p>
      <w:pPr>
        <w:ind w:left="1960"/>
        <w:spacing w:after="0" w:line="237" w:lineRule="auto"/>
        <w:rPr>
          <w:sz w:val="20"/>
          <w:szCs w:val="20"/>
          <w:color w:val="auto"/>
        </w:rPr>
      </w:pPr>
      <w:r>
        <w:rPr>
          <w:rFonts w:ascii="Courier New" w:cs="Courier New" w:eastAsia="Courier New" w:hAnsi="Courier New"/>
          <w:sz w:val="18"/>
          <w:szCs w:val="18"/>
          <w:color w:val="auto"/>
        </w:rPr>
        <w:t>864,512</w:t>
      </w:r>
    </w:p>
    <w:p>
      <w:pPr>
        <w:ind w:left="4180"/>
        <w:spacing w:after="0"/>
        <w:rPr>
          <w:sz w:val="20"/>
          <w:szCs w:val="20"/>
          <w:color w:val="auto"/>
        </w:rPr>
      </w:pPr>
      <w:r>
        <w:rPr>
          <w:rFonts w:ascii="Courier New" w:cs="Courier New" w:eastAsia="Courier New" w:hAnsi="Courier New"/>
          <w:sz w:val="18"/>
          <w:szCs w:val="18"/>
          <w:color w:val="auto"/>
        </w:rPr>
        <w:t>117,928</w:t>
      </w:r>
    </w:p>
    <w:p>
      <w:pPr>
        <w:ind w:left="3240"/>
        <w:spacing w:after="0" w:line="237" w:lineRule="auto"/>
        <w:rPr>
          <w:sz w:val="20"/>
          <w:szCs w:val="20"/>
          <w:color w:val="auto"/>
        </w:rPr>
      </w:pPr>
      <w:r>
        <w:rPr>
          <w:rFonts w:ascii="Courier New" w:cs="Courier New" w:eastAsia="Courier New" w:hAnsi="Courier New"/>
          <w:sz w:val="18"/>
          <w:szCs w:val="18"/>
          <w:color w:val="auto"/>
        </w:rPr>
        <w:t>118,070</w:t>
      </w:r>
    </w:p>
    <w:p>
      <w:pPr>
        <w:ind w:left="4500"/>
        <w:spacing w:after="0"/>
        <w:rPr>
          <w:sz w:val="20"/>
          <w:szCs w:val="20"/>
          <w:color w:val="auto"/>
        </w:rPr>
      </w:pPr>
      <w:r>
        <w:rPr>
          <w:rFonts w:ascii="Courier New" w:cs="Courier New" w:eastAsia="Courier New" w:hAnsi="Courier New"/>
          <w:sz w:val="18"/>
          <w:szCs w:val="18"/>
          <w:color w:val="auto"/>
        </w:rPr>
        <w:t>64,714</w:t>
      </w:r>
    </w:p>
    <w:p>
      <w:pPr>
        <w:ind w:left="3540"/>
        <w:spacing w:after="0" w:line="237" w:lineRule="auto"/>
        <w:rPr>
          <w:sz w:val="20"/>
          <w:szCs w:val="20"/>
          <w:color w:val="auto"/>
        </w:rPr>
      </w:pPr>
      <w:r>
        <w:rPr>
          <w:rFonts w:ascii="Courier New" w:cs="Courier New" w:eastAsia="Courier New" w:hAnsi="Courier New"/>
          <w:sz w:val="18"/>
          <w:szCs w:val="18"/>
          <w:color w:val="auto"/>
        </w:rPr>
        <w:t>119,489</w:t>
      </w:r>
    </w:p>
    <w:p>
      <w:pPr>
        <w:ind w:left="3440"/>
        <w:spacing w:after="0"/>
        <w:rPr>
          <w:sz w:val="20"/>
          <w:szCs w:val="20"/>
          <w:color w:val="auto"/>
        </w:rPr>
      </w:pPr>
      <w:r>
        <w:rPr>
          <w:rFonts w:ascii="Courier New" w:cs="Courier New" w:eastAsia="Courier New" w:hAnsi="Courier New"/>
          <w:sz w:val="18"/>
          <w:szCs w:val="18"/>
          <w:color w:val="auto"/>
        </w:rPr>
        <w:t>4,611</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240"/>
        <w:spacing w:after="0" w:line="238" w:lineRule="auto"/>
        <w:rPr>
          <w:sz w:val="20"/>
          <w:szCs w:val="20"/>
          <w:color w:val="auto"/>
        </w:rPr>
      </w:pPr>
      <w:r>
        <w:rPr>
          <w:rFonts w:ascii="Courier New" w:cs="Courier New" w:eastAsia="Courier New" w:hAnsi="Courier New"/>
          <w:sz w:val="18"/>
          <w:szCs w:val="18"/>
          <w:color w:val="auto"/>
        </w:rPr>
        <w:t>6,601</w:t>
      </w:r>
    </w:p>
    <w:p>
      <w:pPr>
        <w:ind w:left="3240"/>
        <w:spacing w:after="0"/>
        <w:rPr>
          <w:sz w:val="20"/>
          <w:szCs w:val="20"/>
          <w:color w:val="auto"/>
        </w:rPr>
      </w:pPr>
      <w:r>
        <w:rPr>
          <w:rFonts w:ascii="Courier New" w:cs="Courier New" w:eastAsia="Courier New" w:hAnsi="Courier New"/>
          <w:sz w:val="18"/>
          <w:szCs w:val="18"/>
          <w:color w:val="auto"/>
        </w:rPr>
        <w:t>(12,631)</w:t>
      </w:r>
    </w:p>
    <w:p>
      <w:pPr>
        <w:ind w:left="3660"/>
        <w:spacing w:after="0" w:line="237" w:lineRule="auto"/>
        <w:rPr>
          <w:sz w:val="20"/>
          <w:szCs w:val="20"/>
          <w:color w:val="auto"/>
        </w:rPr>
      </w:pPr>
      <w:r>
        <w:rPr>
          <w:rFonts w:ascii="Courier New" w:cs="Courier New" w:eastAsia="Courier New" w:hAnsi="Courier New"/>
          <w:sz w:val="18"/>
          <w:szCs w:val="18"/>
          <w:color w:val="auto"/>
        </w:rPr>
        <w:t>(5,457)</w:t>
      </w:r>
    </w:p>
    <w:p>
      <w:pPr>
        <w:ind w:left="2920"/>
        <w:spacing w:after="0"/>
        <w:rPr>
          <w:sz w:val="20"/>
          <w:szCs w:val="20"/>
          <w:color w:val="auto"/>
        </w:rPr>
      </w:pPr>
      <w:r>
        <w:rPr>
          <w:rFonts w:ascii="Courier New" w:cs="Courier New" w:eastAsia="Courier New" w:hAnsi="Courier New"/>
          <w:sz w:val="18"/>
          <w:szCs w:val="18"/>
          <w:color w:val="auto"/>
        </w:rPr>
        <w:t>(7,174)</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jc w:val="center"/>
        <w:ind w:right="2119"/>
        <w:spacing w:after="0" w:line="238" w:lineRule="auto"/>
        <w:rPr>
          <w:sz w:val="20"/>
          <w:szCs w:val="20"/>
          <w:color w:val="auto"/>
        </w:rPr>
      </w:pPr>
      <w:r>
        <w:rPr>
          <w:rFonts w:ascii="Courier New" w:cs="Courier New" w:eastAsia="Courier New" w:hAnsi="Courier New"/>
          <w:sz w:val="18"/>
          <w:szCs w:val="18"/>
          <w:color w:val="auto"/>
        </w:rPr>
        <w:t>(7,174)</w:t>
      </w:r>
    </w:p>
    <w:p>
      <w:pPr>
        <w:jc w:val="center"/>
        <w:ind w:right="2119"/>
        <w:spacing w:after="0"/>
        <w:rPr>
          <w:sz w:val="20"/>
          <w:szCs w:val="20"/>
          <w:color w:val="auto"/>
        </w:rPr>
      </w:pPr>
      <w:r>
        <w:rPr>
          <w:rFonts w:ascii="Courier New" w:cs="Courier New" w:eastAsia="Courier New" w:hAnsi="Courier New"/>
          <w:sz w:val="18"/>
          <w:szCs w:val="18"/>
          <w:color w:val="auto"/>
        </w:rPr>
        <w:t>(.51)</w:t>
      </w:r>
    </w:p>
    <w:p>
      <w:pPr>
        <w:jc w:val="center"/>
        <w:ind w:right="2119"/>
        <w:spacing w:after="0" w:line="237" w:lineRule="auto"/>
        <w:rPr>
          <w:sz w:val="20"/>
          <w:szCs w:val="20"/>
          <w:color w:val="auto"/>
        </w:rPr>
      </w:pPr>
      <w:r>
        <w:rPr>
          <w:rFonts w:ascii="Courier New" w:cs="Courier New" w:eastAsia="Courier New" w:hAnsi="Courier New"/>
          <w:sz w:val="18"/>
          <w:szCs w:val="18"/>
          <w:color w:val="auto"/>
        </w:rPr>
        <w:t>(.51)</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3"/>
    </w:lvl>
  </w:abstractNum>
  <w:abstractNum w:abstractNumId="4">
    <w:nsid w:val="79E2A9E3"/>
    <w:multiLevelType w:val="hybridMultilevel"/>
    <w:lvl w:ilvl="0">
      <w:lvlJc w:val="left"/>
      <w:lvlText w:val="%1."/>
      <w:numFmt w:val="decimal"/>
      <w:start w:val="4"/>
    </w:lvl>
  </w:abstractNum>
  <w:abstractNum w:abstractNumId="5">
    <w:nsid w:val="7545E146"/>
    <w:multiLevelType w:val="hybridMultilevel"/>
    <w:lvl w:ilvl="0">
      <w:lvlJc w:val="left"/>
      <w:lvlText w:val="%1."/>
      <w:numFmt w:val="decimal"/>
      <w:start w:val="5"/>
    </w:lvl>
  </w:abstractNum>
  <w:abstractNum w:abstractNumId="6">
    <w:nsid w:val="515F007C"/>
    <w:multiLevelType w:val="hybridMultilevel"/>
    <w:lvl w:ilvl="0">
      <w:lvlJc w:val="left"/>
      <w:lvlText w:val="%1."/>
      <w:numFmt w:val="decimal"/>
      <w:start w:val="7"/>
    </w:lvl>
  </w:abstractNum>
  <w:abstractNum w:abstractNumId="7">
    <w:nsid w:val="5BD062C2"/>
    <w:multiLevelType w:val="hybridMultilevel"/>
    <w:lvl w:ilvl="0">
      <w:lvlJc w:val="left"/>
      <w:lvlText w:val="%1."/>
      <w:numFmt w:val="decimal"/>
      <w:start w:val="8"/>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2019-12-12T07:12:03Z</dcterms:created>
  <dcterms:modified xsi:type="dcterms:W3CDTF">2019-12-12T07:12:03Z</dcterms:modified>
</cp:coreProperties>
</file>