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[X] QUARTERLY REPORT PURSUANT TO SECTION 13 OR 15(d)</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For the quarterly period ended July 4, 1998</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OR</w:t>
      </w:r>
    </w:p>
    <w:p>
      <w:pPr>
        <w:spacing w:after="0" w:line="19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 ] TRANSITION REPORT PURSUANT TO SECTION 13 OR 15(d)</w:t>
      </w:r>
    </w:p>
    <w:p>
      <w:pPr>
        <w:spacing w:after="0" w:line="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9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Commission file number 1-11593</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THE SCOTTS COMPANY</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19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Ohio</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31-1199481</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87" w:lineRule="exact"/>
        <w:rPr>
          <w:sz w:val="24"/>
          <w:szCs w:val="24"/>
          <w:color w:val="auto"/>
        </w:rPr>
      </w:pPr>
    </w:p>
    <w:p>
      <w:pPr>
        <w:sectPr>
          <w:pgSz w:w="11900" w:h="16838" w:orient="portrait"/>
          <w:cols w:equalWidth="0" w:num="2">
            <w:col w:w="3320" w:space="720"/>
            <w:col w:w="6179"/>
          </w:cols>
          <w:pgMar w:left="240" w:top="243" w:right="1440" w:bottom="1440" w:gutter="0" w:footer="0" w:header="0"/>
          <w:type w:val="continuous"/>
        </w:sectPr>
      </w:pPr>
    </w:p>
    <w:p>
      <w:pPr>
        <w:ind w:left="2960"/>
        <w:spacing w:after="0"/>
        <w:rPr>
          <w:sz w:val="20"/>
          <w:szCs w:val="20"/>
          <w:color w:val="auto"/>
        </w:rPr>
      </w:pPr>
      <w:r>
        <w:rPr>
          <w:rFonts w:ascii="Courier New" w:cs="Courier New" w:eastAsia="Courier New" w:hAnsi="Courier New"/>
          <w:sz w:val="16"/>
          <w:szCs w:val="16"/>
          <w:color w:val="auto"/>
        </w:rPr>
        <w:t>14111 Scottslawn Road</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Marysville, Ohio 43041</w:t>
      </w:r>
    </w:p>
    <w:p>
      <w:pPr>
        <w:spacing w:after="0" w:line="8"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(Zip Code)</w:t>
      </w:r>
    </w:p>
    <w:p>
      <w:pPr>
        <w:sectPr>
          <w:pgSz w:w="11900" w:h="16838" w:orient="portrait"/>
          <w:cols w:equalWidth="0" w:num="1">
            <w:col w:w="10219"/>
          </w:cols>
          <w:pgMar w:left="240" w:top="243" w:right="1440" w:bottom="1440" w:gutter="0" w:footer="0" w:header="0"/>
          <w:type w:val="continuous"/>
        </w:sectPr>
      </w:pP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(937) 644-0011</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No change</w:t>
      </w:r>
    </w:p>
    <w:p>
      <w:pPr>
        <w:spacing w:after="0" w:line="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(Former name, former address and former fiscal year, if changed</w:t>
      </w:r>
    </w:p>
    <w:p>
      <w:pPr>
        <w:spacing w:after="0" w:line="8"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since last report.)</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by check mark whether the registrant (1) has filed all reports required</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6460" w:type="dxa"/>
            <w:vAlign w:val="bottom"/>
            <w:gridSpan w:val="3"/>
          </w:tcPr>
          <w:p>
            <w:pPr>
              <w:spacing w:after="0"/>
              <w:rPr>
                <w:sz w:val="20"/>
                <w:szCs w:val="20"/>
                <w:color w:val="auto"/>
              </w:rPr>
            </w:pPr>
            <w:r>
              <w:rPr>
                <w:rFonts w:ascii="Courier New" w:cs="Courier New" w:eastAsia="Courier New" w:hAnsi="Courier New"/>
                <w:sz w:val="16"/>
                <w:szCs w:val="16"/>
                <w:color w:val="auto"/>
              </w:rPr>
              <w:t>to be filed by Section 13 or 15(d) of the Securities Exchange Act</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of 1934 during</w:t>
            </w:r>
          </w:p>
        </w:tc>
      </w:tr>
      <w:tr>
        <w:trPr>
          <w:trHeight w:val="190"/>
        </w:trPr>
        <w:tc>
          <w:tcPr>
            <w:tcW w:w="7880" w:type="dxa"/>
            <w:vAlign w:val="bottom"/>
            <w:gridSpan w:val="4"/>
          </w:tcPr>
          <w:p>
            <w:pPr>
              <w:spacing w:after="0"/>
              <w:rPr>
                <w:sz w:val="20"/>
                <w:szCs w:val="20"/>
                <w:color w:val="auto"/>
              </w:rPr>
            </w:pPr>
            <w:r>
              <w:rPr>
                <w:rFonts w:ascii="Courier New" w:cs="Courier New" w:eastAsia="Courier New" w:hAnsi="Courier New"/>
                <w:sz w:val="16"/>
                <w:szCs w:val="16"/>
                <w:color w:val="auto"/>
              </w:rPr>
              <w:t>the preceding 12 months (or for such shorter period that the registrant was</w:t>
            </w:r>
          </w:p>
        </w:tc>
      </w:tr>
      <w:tr>
        <w:trPr>
          <w:trHeight w:val="190"/>
        </w:trPr>
        <w:tc>
          <w:tcPr>
            <w:tcW w:w="7880" w:type="dxa"/>
            <w:vAlign w:val="bottom"/>
            <w:gridSpan w:val="4"/>
          </w:tcPr>
          <w:p>
            <w:pPr>
              <w:spacing w:after="0"/>
              <w:rPr>
                <w:sz w:val="20"/>
                <w:szCs w:val="20"/>
                <w:color w:val="auto"/>
              </w:rPr>
            </w:pPr>
            <w:r>
              <w:rPr>
                <w:rFonts w:ascii="Courier New" w:cs="Courier New" w:eastAsia="Courier New" w:hAnsi="Courier New"/>
                <w:sz w:val="16"/>
                <w:szCs w:val="16"/>
                <w:color w:val="auto"/>
              </w:rPr>
              <w:t>required to file such reports), and (2) has been subject to such filing</w:t>
            </w:r>
          </w:p>
        </w:tc>
      </w:tr>
      <w:tr>
        <w:trPr>
          <w:trHeight w:val="190"/>
        </w:trPr>
        <w:tc>
          <w:tcPr>
            <w:tcW w:w="4780" w:type="dxa"/>
            <w:vAlign w:val="bottom"/>
          </w:tcPr>
          <w:p>
            <w:pPr>
              <w:spacing w:after="0"/>
              <w:rPr>
                <w:sz w:val="20"/>
                <w:szCs w:val="20"/>
                <w:color w:val="auto"/>
              </w:rPr>
            </w:pPr>
            <w:r>
              <w:rPr>
                <w:rFonts w:ascii="Courier New" w:cs="Courier New" w:eastAsia="Courier New" w:hAnsi="Courier New"/>
                <w:sz w:val="16"/>
                <w:szCs w:val="16"/>
                <w:color w:val="auto"/>
              </w:rPr>
              <w:t>requirements for the past 90 days.</w:t>
            </w: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9"/>
        </w:trPr>
        <w:tc>
          <w:tcPr>
            <w:tcW w:w="4780" w:type="dxa"/>
            <w:vAlign w:val="bottom"/>
          </w:tcPr>
          <w:p>
            <w:pPr>
              <w:ind w:left="4440"/>
              <w:spacing w:after="0"/>
              <w:rPr>
                <w:sz w:val="20"/>
                <w:szCs w:val="20"/>
                <w:color w:val="auto"/>
              </w:rPr>
            </w:pPr>
            <w:r>
              <w:rPr>
                <w:rFonts w:ascii="Courier New" w:cs="Courier New" w:eastAsia="Courier New" w:hAnsi="Courier New"/>
                <w:sz w:val="16"/>
                <w:szCs w:val="16"/>
                <w:color w:val="auto"/>
              </w:rPr>
              <w:t>Yes</w:t>
            </w:r>
          </w:p>
        </w:tc>
        <w:tc>
          <w:tcPr>
            <w:tcW w:w="98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X</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No</w:t>
            </w:r>
          </w:p>
        </w:tc>
        <w:tc>
          <w:tcPr>
            <w:tcW w:w="1420" w:type="dxa"/>
            <w:vAlign w:val="bottom"/>
          </w:tcPr>
          <w:p>
            <w:pPr>
              <w:spacing w:after="0"/>
              <w:rPr>
                <w:sz w:val="24"/>
                <w:szCs w:val="24"/>
                <w:color w:val="auto"/>
              </w:rPr>
            </w:pPr>
          </w:p>
        </w:tc>
      </w:tr>
      <w:tr>
        <w:trPr>
          <w:trHeight w:val="190"/>
        </w:trPr>
        <w:tc>
          <w:tcPr>
            <w:tcW w:w="4780" w:type="dxa"/>
            <w:vAlign w:val="bottom"/>
          </w:tcPr>
          <w:p>
            <w:pPr>
              <w:spacing w:after="0"/>
              <w:rPr>
                <w:sz w:val="16"/>
                <w:szCs w:val="16"/>
                <w:color w:val="auto"/>
              </w:rPr>
            </w:pPr>
          </w:p>
        </w:tc>
        <w:tc>
          <w:tcPr>
            <w:tcW w:w="9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379"/>
        </w:trPr>
        <w:tc>
          <w:tcPr>
            <w:tcW w:w="6460" w:type="dxa"/>
            <w:vAlign w:val="bottom"/>
            <w:gridSpan w:val="3"/>
          </w:tcPr>
          <w:p>
            <w:pPr>
              <w:spacing w:after="0"/>
              <w:rPr>
                <w:sz w:val="20"/>
                <w:szCs w:val="20"/>
                <w:color w:val="auto"/>
              </w:rPr>
            </w:pPr>
            <w:r>
              <w:rPr>
                <w:rFonts w:ascii="Courier New" w:cs="Courier New" w:eastAsia="Courier New" w:hAnsi="Courier New"/>
                <w:sz w:val="16"/>
                <w:szCs w:val="16"/>
                <w:color w:val="auto"/>
              </w:rPr>
              <w:t>Indicate the number of shares outstanding of each of the issuer's</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classes of</w:t>
            </w:r>
          </w:p>
        </w:tc>
      </w:tr>
      <w:tr>
        <w:trPr>
          <w:trHeight w:val="190"/>
        </w:trPr>
        <w:tc>
          <w:tcPr>
            <w:tcW w:w="4780" w:type="dxa"/>
            <w:vAlign w:val="bottom"/>
          </w:tcPr>
          <w:p>
            <w:pPr>
              <w:spacing w:after="0"/>
              <w:rPr>
                <w:sz w:val="20"/>
                <w:szCs w:val="20"/>
                <w:color w:val="auto"/>
              </w:rPr>
            </w:pPr>
            <w:r>
              <w:rPr>
                <w:rFonts w:ascii="Courier New" w:cs="Courier New" w:eastAsia="Courier New" w:hAnsi="Courier New"/>
                <w:sz w:val="16"/>
                <w:szCs w:val="16"/>
                <w:color w:val="auto"/>
              </w:rPr>
              <w:t>common stock as of the latest practicable date.</w:t>
            </w: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9"/>
        </w:trPr>
        <w:tc>
          <w:tcPr>
            <w:tcW w:w="4780" w:type="dxa"/>
            <w:vAlign w:val="bottom"/>
          </w:tcPr>
          <w:p>
            <w:pPr>
              <w:spacing w:after="0"/>
              <w:rPr>
                <w:sz w:val="20"/>
                <w:szCs w:val="20"/>
                <w:color w:val="auto"/>
              </w:rPr>
            </w:pPr>
            <w:r>
              <w:rPr>
                <w:rFonts w:ascii="Courier New" w:cs="Courier New" w:eastAsia="Courier New" w:hAnsi="Courier New"/>
                <w:sz w:val="16"/>
                <w:szCs w:val="16"/>
                <w:color w:val="auto"/>
              </w:rPr>
              <w:t>18,679,023 Common Shares, voting, no par value</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Outstanding at</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August 6, 1998</w:t>
            </w:r>
          </w:p>
        </w:tc>
      </w:tr>
    </w:tbl>
    <w:p>
      <w:pPr>
        <w:spacing w:after="0" w:line="5" w:lineRule="exact"/>
        <w:rPr>
          <w:sz w:val="24"/>
          <w:szCs w:val="24"/>
          <w:color w:val="auto"/>
        </w:rPr>
      </w:pPr>
    </w:p>
    <w:p>
      <w:pPr>
        <w:spacing w:after="0"/>
        <w:tabs>
          <w:tab w:leader="none" w:pos="52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Exhibit Index at page 25</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020" w:type="dxa"/>
            <w:vAlign w:val="bottom"/>
          </w:tcPr>
          <w:p>
            <w:pPr>
              <w:ind w:left="1220"/>
              <w:spacing w:after="0"/>
              <w:rPr>
                <w:sz w:val="20"/>
                <w:szCs w:val="20"/>
                <w:color w:val="auto"/>
              </w:rPr>
            </w:pPr>
            <w:r>
              <w:rPr>
                <w:rFonts w:ascii="Courier New" w:cs="Courier New" w:eastAsia="Courier New" w:hAnsi="Courier New"/>
                <w:sz w:val="16"/>
                <w:szCs w:val="16"/>
                <w:color w:val="auto"/>
              </w:rPr>
              <w:t>Page No.</w:t>
            </w:r>
          </w:p>
        </w:tc>
      </w:tr>
      <w:tr>
        <w:trPr>
          <w:trHeight w:val="190"/>
        </w:trPr>
        <w:tc>
          <w:tcPr>
            <w:tcW w:w="98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020" w:type="dxa"/>
            <w:vAlign w:val="bottom"/>
          </w:tcPr>
          <w:p>
            <w:pPr>
              <w:ind w:left="1220"/>
              <w:spacing w:after="0"/>
              <w:rPr>
                <w:sz w:val="20"/>
                <w:szCs w:val="20"/>
                <w:color w:val="auto"/>
              </w:rPr>
            </w:pPr>
            <w:r>
              <w:rPr>
                <w:rFonts w:ascii="Courier New" w:cs="Courier New" w:eastAsia="Courier New" w:hAnsi="Courier New"/>
                <w:sz w:val="16"/>
                <w:szCs w:val="16"/>
                <w:color w:val="auto"/>
              </w:rPr>
              <w:t>--------</w:t>
            </w:r>
          </w:p>
        </w:tc>
      </w:tr>
      <w:tr>
        <w:trPr>
          <w:trHeight w:val="569"/>
        </w:trPr>
        <w:tc>
          <w:tcPr>
            <w:tcW w:w="9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36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2020" w:type="dxa"/>
            <w:vAlign w:val="bottom"/>
          </w:tcPr>
          <w:p>
            <w:pPr>
              <w:spacing w:after="0"/>
              <w:rPr>
                <w:sz w:val="24"/>
                <w:szCs w:val="24"/>
                <w:color w:val="auto"/>
              </w:rPr>
            </w:pPr>
          </w:p>
        </w:tc>
      </w:tr>
      <w:tr>
        <w:trPr>
          <w:trHeight w:val="379"/>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Item 1.</w:t>
            </w: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Financial Statements</w:t>
            </w:r>
          </w:p>
        </w:tc>
        <w:tc>
          <w:tcPr>
            <w:tcW w:w="2020" w:type="dxa"/>
            <w:vAlign w:val="bottom"/>
          </w:tcPr>
          <w:p>
            <w:pPr>
              <w:spacing w:after="0"/>
              <w:rPr>
                <w:sz w:val="24"/>
                <w:szCs w:val="24"/>
                <w:color w:val="auto"/>
              </w:rPr>
            </w:pPr>
          </w:p>
        </w:tc>
      </w:tr>
      <w:tr>
        <w:trPr>
          <w:trHeight w:val="379"/>
        </w:trPr>
        <w:tc>
          <w:tcPr>
            <w:tcW w:w="980" w:type="dxa"/>
            <w:vAlign w:val="bottom"/>
          </w:tcPr>
          <w:p>
            <w:pPr>
              <w:spacing w:after="0"/>
              <w:rPr>
                <w:sz w:val="24"/>
                <w:szCs w:val="24"/>
                <w:color w:val="auto"/>
              </w:rPr>
            </w:pP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Consolidated Statements of Operations - Three and nine month</w:t>
            </w:r>
          </w:p>
        </w:tc>
        <w:tc>
          <w:tcPr>
            <w:tcW w:w="2020" w:type="dxa"/>
            <w:vAlign w:val="bottom"/>
          </w:tcPr>
          <w:p>
            <w:pPr>
              <w:spacing w:after="0"/>
              <w:rPr>
                <w:sz w:val="24"/>
                <w:szCs w:val="24"/>
                <w:color w:val="auto"/>
              </w:rPr>
            </w:pPr>
          </w:p>
        </w:tc>
      </w:tr>
      <w:tr>
        <w:trPr>
          <w:trHeight w:val="190"/>
        </w:trPr>
        <w:tc>
          <w:tcPr>
            <w:tcW w:w="980" w:type="dxa"/>
            <w:vAlign w:val="bottom"/>
          </w:tcPr>
          <w:p>
            <w:pPr>
              <w:spacing w:after="0"/>
              <w:rPr>
                <w:sz w:val="16"/>
                <w:szCs w:val="16"/>
                <w:color w:val="auto"/>
              </w:rPr>
            </w:pP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periods ended July 4, 1998 and June 28, 1997</w:t>
            </w:r>
          </w:p>
        </w:tc>
        <w:tc>
          <w:tcPr>
            <w:tcW w:w="2020" w:type="dxa"/>
            <w:vAlign w:val="bottom"/>
          </w:tcPr>
          <w:p>
            <w:pPr>
              <w:ind w:left="1620"/>
              <w:spacing w:after="0"/>
              <w:rPr>
                <w:sz w:val="20"/>
                <w:szCs w:val="20"/>
                <w:color w:val="auto"/>
              </w:rPr>
            </w:pPr>
            <w:r>
              <w:rPr>
                <w:rFonts w:ascii="Courier New" w:cs="Courier New" w:eastAsia="Courier New" w:hAnsi="Courier New"/>
                <w:sz w:val="16"/>
                <w:szCs w:val="16"/>
                <w:color w:val="auto"/>
              </w:rPr>
              <w:t>3</w:t>
            </w:r>
          </w:p>
        </w:tc>
      </w:tr>
      <w:tr>
        <w:trPr>
          <w:trHeight w:val="379"/>
        </w:trPr>
        <w:tc>
          <w:tcPr>
            <w:tcW w:w="980" w:type="dxa"/>
            <w:vAlign w:val="bottom"/>
          </w:tcPr>
          <w:p>
            <w:pPr>
              <w:spacing w:after="0"/>
              <w:rPr>
                <w:sz w:val="24"/>
                <w:szCs w:val="24"/>
                <w:color w:val="auto"/>
              </w:rPr>
            </w:pP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Consolidated Statements of Cash Flows - Nine month periods</w:t>
            </w:r>
          </w:p>
        </w:tc>
        <w:tc>
          <w:tcPr>
            <w:tcW w:w="2020" w:type="dxa"/>
            <w:vAlign w:val="bottom"/>
          </w:tcPr>
          <w:p>
            <w:pPr>
              <w:spacing w:after="0"/>
              <w:rPr>
                <w:sz w:val="24"/>
                <w:szCs w:val="24"/>
                <w:color w:val="auto"/>
              </w:rPr>
            </w:pPr>
          </w:p>
        </w:tc>
      </w:tr>
      <w:tr>
        <w:trPr>
          <w:trHeight w:val="190"/>
        </w:trPr>
        <w:tc>
          <w:tcPr>
            <w:tcW w:w="980" w:type="dxa"/>
            <w:vAlign w:val="bottom"/>
          </w:tcPr>
          <w:p>
            <w:pPr>
              <w:spacing w:after="0"/>
              <w:rPr>
                <w:sz w:val="16"/>
                <w:szCs w:val="16"/>
                <w:color w:val="auto"/>
              </w:rPr>
            </w:pP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ended July 4, 1998 and June 28, 1997</w:t>
            </w:r>
          </w:p>
        </w:tc>
        <w:tc>
          <w:tcPr>
            <w:tcW w:w="2020" w:type="dxa"/>
            <w:vAlign w:val="bottom"/>
          </w:tcPr>
          <w:p>
            <w:pPr>
              <w:ind w:left="1620"/>
              <w:spacing w:after="0"/>
              <w:rPr>
                <w:sz w:val="20"/>
                <w:szCs w:val="20"/>
                <w:color w:val="auto"/>
              </w:rPr>
            </w:pPr>
            <w:r>
              <w:rPr>
                <w:rFonts w:ascii="Courier New" w:cs="Courier New" w:eastAsia="Courier New" w:hAnsi="Courier New"/>
                <w:sz w:val="16"/>
                <w:szCs w:val="16"/>
                <w:color w:val="auto"/>
              </w:rPr>
              <w:t>4</w:t>
            </w:r>
          </w:p>
        </w:tc>
      </w:tr>
      <w:tr>
        <w:trPr>
          <w:trHeight w:val="379"/>
        </w:trPr>
        <w:tc>
          <w:tcPr>
            <w:tcW w:w="980" w:type="dxa"/>
            <w:vAlign w:val="bottom"/>
          </w:tcPr>
          <w:p>
            <w:pPr>
              <w:spacing w:after="0"/>
              <w:rPr>
                <w:sz w:val="24"/>
                <w:szCs w:val="24"/>
                <w:color w:val="auto"/>
              </w:rPr>
            </w:pP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Consolidated Balance Sheets -</w:t>
            </w:r>
          </w:p>
        </w:tc>
        <w:tc>
          <w:tcPr>
            <w:tcW w:w="2020" w:type="dxa"/>
            <w:vAlign w:val="bottom"/>
          </w:tcPr>
          <w:p>
            <w:pPr>
              <w:spacing w:after="0"/>
              <w:rPr>
                <w:sz w:val="24"/>
                <w:szCs w:val="24"/>
                <w:color w:val="auto"/>
              </w:rPr>
            </w:pPr>
          </w:p>
        </w:tc>
      </w:tr>
      <w:tr>
        <w:trPr>
          <w:trHeight w:val="190"/>
        </w:trPr>
        <w:tc>
          <w:tcPr>
            <w:tcW w:w="980" w:type="dxa"/>
            <w:vAlign w:val="bottom"/>
          </w:tcPr>
          <w:p>
            <w:pPr>
              <w:spacing w:after="0"/>
              <w:rPr>
                <w:sz w:val="16"/>
                <w:szCs w:val="16"/>
                <w:color w:val="auto"/>
              </w:rPr>
            </w:pP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July 4, 1998, June 28, 1997, and September 30, 1997</w:t>
            </w:r>
          </w:p>
        </w:tc>
        <w:tc>
          <w:tcPr>
            <w:tcW w:w="2020" w:type="dxa"/>
            <w:vAlign w:val="bottom"/>
          </w:tcPr>
          <w:p>
            <w:pPr>
              <w:ind w:left="1620"/>
              <w:spacing w:after="0"/>
              <w:rPr>
                <w:sz w:val="20"/>
                <w:szCs w:val="20"/>
                <w:color w:val="auto"/>
              </w:rPr>
            </w:pPr>
            <w:r>
              <w:rPr>
                <w:rFonts w:ascii="Courier New" w:cs="Courier New" w:eastAsia="Courier New" w:hAnsi="Courier New"/>
                <w:sz w:val="16"/>
                <w:szCs w:val="16"/>
                <w:color w:val="auto"/>
              </w:rPr>
              <w:t>5</w:t>
            </w:r>
          </w:p>
        </w:tc>
      </w:tr>
      <w:tr>
        <w:trPr>
          <w:trHeight w:val="379"/>
        </w:trPr>
        <w:tc>
          <w:tcPr>
            <w:tcW w:w="980" w:type="dxa"/>
            <w:vAlign w:val="bottom"/>
          </w:tcPr>
          <w:p>
            <w:pPr>
              <w:spacing w:after="0"/>
              <w:rPr>
                <w:sz w:val="24"/>
                <w:szCs w:val="24"/>
                <w:color w:val="auto"/>
              </w:rPr>
            </w:pP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2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6-13</w:t>
            </w:r>
          </w:p>
        </w:tc>
      </w:tr>
      <w:tr>
        <w:trPr>
          <w:trHeight w:val="379"/>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Item 2.</w:t>
            </w: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Management's Discussion and Analysis of</w:t>
            </w:r>
          </w:p>
        </w:tc>
        <w:tc>
          <w:tcPr>
            <w:tcW w:w="2020" w:type="dxa"/>
            <w:vAlign w:val="bottom"/>
          </w:tcPr>
          <w:p>
            <w:pPr>
              <w:spacing w:after="0"/>
              <w:rPr>
                <w:sz w:val="24"/>
                <w:szCs w:val="24"/>
                <w:color w:val="auto"/>
              </w:rPr>
            </w:pPr>
          </w:p>
        </w:tc>
      </w:tr>
      <w:tr>
        <w:trPr>
          <w:trHeight w:val="190"/>
        </w:trPr>
        <w:tc>
          <w:tcPr>
            <w:tcW w:w="980" w:type="dxa"/>
            <w:vAlign w:val="bottom"/>
          </w:tcPr>
          <w:p>
            <w:pPr>
              <w:spacing w:after="0"/>
              <w:rPr>
                <w:sz w:val="16"/>
                <w:szCs w:val="16"/>
                <w:color w:val="auto"/>
              </w:rPr>
            </w:pP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2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14-22</w:t>
            </w:r>
          </w:p>
        </w:tc>
      </w:tr>
      <w:tr>
        <w:trPr>
          <w:trHeight w:val="569"/>
        </w:trPr>
        <w:tc>
          <w:tcPr>
            <w:tcW w:w="9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36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2020" w:type="dxa"/>
            <w:vAlign w:val="bottom"/>
          </w:tcPr>
          <w:p>
            <w:pPr>
              <w:spacing w:after="0"/>
              <w:rPr>
                <w:sz w:val="24"/>
                <w:szCs w:val="24"/>
                <w:color w:val="auto"/>
              </w:rPr>
            </w:pPr>
          </w:p>
        </w:tc>
      </w:tr>
      <w:tr>
        <w:trPr>
          <w:trHeight w:val="379"/>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Item 1.</w:t>
            </w: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Legal Proceedings</w:t>
            </w:r>
          </w:p>
        </w:tc>
        <w:tc>
          <w:tcPr>
            <w:tcW w:w="2020" w:type="dxa"/>
            <w:vAlign w:val="bottom"/>
          </w:tcPr>
          <w:p>
            <w:pPr>
              <w:ind w:left="1620"/>
              <w:spacing w:after="0"/>
              <w:rPr>
                <w:sz w:val="20"/>
                <w:szCs w:val="20"/>
                <w:color w:val="auto"/>
              </w:rPr>
            </w:pPr>
            <w:r>
              <w:rPr>
                <w:rFonts w:ascii="Courier New" w:cs="Courier New" w:eastAsia="Courier New" w:hAnsi="Courier New"/>
                <w:sz w:val="16"/>
                <w:szCs w:val="16"/>
                <w:color w:val="auto"/>
              </w:rPr>
              <w:t>23</w:t>
            </w:r>
          </w:p>
        </w:tc>
      </w:tr>
      <w:tr>
        <w:trPr>
          <w:trHeight w:val="379"/>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Item 5.</w:t>
            </w: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Other Information</w:t>
            </w:r>
          </w:p>
        </w:tc>
        <w:tc>
          <w:tcPr>
            <w:tcW w:w="2020" w:type="dxa"/>
            <w:vAlign w:val="bottom"/>
          </w:tcPr>
          <w:p>
            <w:pPr>
              <w:ind w:left="1620"/>
              <w:spacing w:after="0"/>
              <w:rPr>
                <w:sz w:val="20"/>
                <w:szCs w:val="20"/>
                <w:color w:val="auto"/>
              </w:rPr>
            </w:pPr>
            <w:r>
              <w:rPr>
                <w:rFonts w:ascii="Courier New" w:cs="Courier New" w:eastAsia="Courier New" w:hAnsi="Courier New"/>
                <w:sz w:val="16"/>
                <w:szCs w:val="16"/>
                <w:color w:val="auto"/>
              </w:rPr>
              <w:t>23</w:t>
            </w:r>
          </w:p>
        </w:tc>
      </w:tr>
      <w:tr>
        <w:trPr>
          <w:trHeight w:val="379"/>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Item 6.</w:t>
            </w:r>
          </w:p>
        </w:tc>
        <w:tc>
          <w:tcPr>
            <w:tcW w:w="7360" w:type="dxa"/>
            <w:vAlign w:val="bottom"/>
          </w:tcPr>
          <w:p>
            <w:pPr>
              <w:ind w:left="200"/>
              <w:spacing w:after="0"/>
              <w:rPr>
                <w:sz w:val="20"/>
                <w:szCs w:val="20"/>
                <w:color w:val="auto"/>
              </w:rPr>
            </w:pPr>
            <w:r>
              <w:rPr>
                <w:rFonts w:ascii="Courier New" w:cs="Courier New" w:eastAsia="Courier New" w:hAnsi="Courier New"/>
                <w:sz w:val="16"/>
                <w:szCs w:val="16"/>
                <w:color w:val="auto"/>
              </w:rPr>
              <w:t>Exhibits</w:t>
            </w:r>
          </w:p>
        </w:tc>
        <w:tc>
          <w:tcPr>
            <w:tcW w:w="2020" w:type="dxa"/>
            <w:vAlign w:val="bottom"/>
          </w:tcPr>
          <w:p>
            <w:pPr>
              <w:ind w:left="1620"/>
              <w:spacing w:after="0"/>
              <w:rPr>
                <w:sz w:val="20"/>
                <w:szCs w:val="20"/>
                <w:color w:val="auto"/>
              </w:rPr>
            </w:pPr>
            <w:r>
              <w:rPr>
                <w:rFonts w:ascii="Courier New" w:cs="Courier New" w:eastAsia="Courier New" w:hAnsi="Courier New"/>
                <w:sz w:val="16"/>
                <w:szCs w:val="16"/>
                <w:color w:val="auto"/>
              </w:rPr>
              <w:t>23</w:t>
            </w:r>
          </w:p>
        </w:tc>
      </w:tr>
      <w:tr>
        <w:trPr>
          <w:trHeight w:val="569"/>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Signatures</w:t>
            </w:r>
          </w:p>
        </w:tc>
        <w:tc>
          <w:tcPr>
            <w:tcW w:w="7360" w:type="dxa"/>
            <w:vAlign w:val="bottom"/>
          </w:tcPr>
          <w:p>
            <w:pPr>
              <w:spacing w:after="0"/>
              <w:rPr>
                <w:sz w:val="24"/>
                <w:szCs w:val="24"/>
                <w:color w:val="auto"/>
              </w:rPr>
            </w:pPr>
          </w:p>
        </w:tc>
        <w:tc>
          <w:tcPr>
            <w:tcW w:w="2020" w:type="dxa"/>
            <w:vAlign w:val="bottom"/>
          </w:tcPr>
          <w:p>
            <w:pPr>
              <w:ind w:left="1620"/>
              <w:spacing w:after="0"/>
              <w:rPr>
                <w:sz w:val="20"/>
                <w:szCs w:val="20"/>
                <w:color w:val="auto"/>
              </w:rPr>
            </w:pPr>
            <w:r>
              <w:rPr>
                <w:rFonts w:ascii="Courier New" w:cs="Courier New" w:eastAsia="Courier New" w:hAnsi="Courier New"/>
                <w:sz w:val="16"/>
                <w:szCs w:val="16"/>
                <w:color w:val="auto"/>
              </w:rPr>
              <w:t>24</w:t>
            </w:r>
          </w:p>
        </w:tc>
      </w:tr>
      <w:tr>
        <w:trPr>
          <w:trHeight w:val="569"/>
        </w:trPr>
        <w:tc>
          <w:tcPr>
            <w:tcW w:w="8340" w:type="dxa"/>
            <w:vAlign w:val="bottom"/>
            <w:gridSpan w:val="2"/>
          </w:tcPr>
          <w:p>
            <w:pPr>
              <w:spacing w:after="0"/>
              <w:rPr>
                <w:sz w:val="20"/>
                <w:szCs w:val="20"/>
                <w:color w:val="auto"/>
              </w:rPr>
            </w:pPr>
            <w:r>
              <w:rPr>
                <w:rFonts w:ascii="Courier New" w:cs="Courier New" w:eastAsia="Courier New" w:hAnsi="Courier New"/>
                <w:sz w:val="16"/>
                <w:szCs w:val="16"/>
                <w:color w:val="auto"/>
              </w:rPr>
              <w:t>Exhibit Index</w:t>
            </w:r>
          </w:p>
        </w:tc>
        <w:tc>
          <w:tcPr>
            <w:tcW w:w="2020" w:type="dxa"/>
            <w:vAlign w:val="bottom"/>
          </w:tcPr>
          <w:p>
            <w:pPr>
              <w:ind w:left="1620"/>
              <w:spacing w:after="0"/>
              <w:rPr>
                <w:sz w:val="20"/>
                <w:szCs w:val="20"/>
                <w:color w:val="auto"/>
              </w:rPr>
            </w:pPr>
            <w:r>
              <w:rPr>
                <w:rFonts w:ascii="Courier New" w:cs="Courier New" w:eastAsia="Courier New" w:hAnsi="Courier New"/>
                <w:sz w:val="16"/>
                <w:szCs w:val="16"/>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360"/>
          </w:cols>
          <w:pgMar w:left="240" w:top="306" w:right="129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PART I - FINANCIAL INFORMATION</w:t>
      </w:r>
    </w:p>
    <w:p>
      <w:pPr>
        <w:spacing w:after="0" w:line="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ITEM 1. FINANCIAL STATEMENTS</w:t>
      </w:r>
    </w:p>
    <w:p>
      <w:pPr>
        <w:spacing w:after="0" w:line="19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(Unaudited)</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31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Three Months Ended</w:t>
            </w:r>
          </w:p>
        </w:tc>
        <w:tc>
          <w:tcPr>
            <w:tcW w:w="26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5020" w:type="dxa"/>
            <w:vAlign w:val="bottom"/>
          </w:tcPr>
          <w:p>
            <w:pPr>
              <w:spacing w:after="0"/>
              <w:rPr>
                <w:sz w:val="16"/>
                <w:szCs w:val="16"/>
                <w:color w:val="auto"/>
              </w:rPr>
            </w:pPr>
          </w:p>
        </w:tc>
        <w:tc>
          <w:tcPr>
            <w:tcW w:w="316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July 4,</w:t>
            </w:r>
          </w:p>
        </w:tc>
        <w:tc>
          <w:tcPr>
            <w:tcW w:w="16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June 28,</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July 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June 28,</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1998</w:t>
            </w:r>
          </w:p>
        </w:tc>
        <w:tc>
          <w:tcPr>
            <w:tcW w:w="16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1997</w:t>
            </w:r>
          </w:p>
        </w:tc>
        <w:tc>
          <w:tcPr>
            <w:tcW w:w="1580" w:type="dxa"/>
            <w:vAlign w:val="bottom"/>
          </w:tcPr>
          <w:p>
            <w:pPr>
              <w:ind w:left="600"/>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569"/>
        </w:trPr>
        <w:tc>
          <w:tcPr>
            <w:tcW w:w="50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$367.5</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$299.0</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$923.2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$745.4</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235.7</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188.3</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578.8</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463.7</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131.8</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110.7</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344.4</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281.7</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32.9</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26.5</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93.9</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77.9</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43.8</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37.1</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121.9</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95.9</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3.5</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2.7</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Other expense (income), net</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1.3</w:t>
            </w:r>
          </w:p>
        </w:tc>
        <w:tc>
          <w:tcPr>
            <w:tcW w:w="16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(0.7)</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50.3</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45.1</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116.2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97.5</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9.7</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7.6</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27.0</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21.5</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40.6</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37.5</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89.2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76.0</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16.2</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16.4</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36.9</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33.0</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24.4</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21.1</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52.3</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43.0</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Extraordinary loss on early extinguishment of</w:t>
            </w: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debt, net of income tax benefit</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24.4</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21.1</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51.6</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43.0</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2.4</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2.4</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7.3</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7.3</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Income applicable to common shareholders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$ 22.0</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$ 18.7</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$ 44.3</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$ 35.7</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Before extraordinary loss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$ 1.18</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$ 1.01</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$ 2.41</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$ 1.92</w:t>
            </w: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Extraordinary loss, net of income tax benefit</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0.04</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Basic earnings per share</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$ 1.18</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$ 1.01</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$ 2.37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$ 1.92</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Before extraordinary loss</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$ 0.80</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$ 0.71</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$ 1.72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$ 1.47</w:t>
            </w: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Extraordinary loss, net of income tax benefit</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0.02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Diluted earnings per share</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$ 0.80</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$ 0.71</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$ 1.70</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$ 1.47</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Common shares used in basic</w:t>
            </w: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earnings per share computation</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18.7</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18.6</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18.7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18.6</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Common shares and common stock</w:t>
            </w: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equivalents used in diluted</w:t>
            </w:r>
          </w:p>
        </w:tc>
        <w:tc>
          <w:tcPr>
            <w:tcW w:w="1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earnings per share computation</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30.6</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29.9</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30.3</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29.3</w:t>
            </w:r>
          </w:p>
        </w:tc>
      </w:tr>
      <w:tr>
        <w:trPr>
          <w:trHeight w:val="190"/>
        </w:trPr>
        <w:tc>
          <w:tcPr>
            <w:tcW w:w="5020" w:type="dxa"/>
            <w:vAlign w:val="bottom"/>
          </w:tcPr>
          <w:p>
            <w:pPr>
              <w:spacing w:after="0"/>
              <w:rPr>
                <w:sz w:val="16"/>
                <w:szCs w:val="16"/>
                <w:color w:val="auto"/>
              </w:rPr>
            </w:pP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0840"/>
          </w:cols>
          <w:pgMar w:left="240" w:top="306" w:right="819" w:bottom="0" w:gutter="0" w:footer="0" w:header="0"/>
        </w:sectPr>
      </w:pPr>
    </w:p>
    <w:bookmarkStart w:id="3" w:name="page4"/>
    <w:bookmarkEnd w:id="3"/>
    <w:p>
      <w:pPr>
        <w:ind w:left="244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9019"/>
          </w:cols>
          <w:pgMar w:left="1440" w:top="142"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8"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8"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(Unaudited)</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60" w:type="dxa"/>
            <w:vAlign w:val="bottom"/>
            <w:gridSpan w:val="3"/>
          </w:tcPr>
          <w:p>
            <w:pPr>
              <w:jc w:val="right"/>
              <w:ind w:right="2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7400" w:type="dxa"/>
            <w:vAlign w:val="bottom"/>
          </w:tcPr>
          <w:p>
            <w:pPr>
              <w:spacing w:after="0"/>
              <w:rPr>
                <w:sz w:val="16"/>
                <w:szCs w:val="16"/>
                <w:color w:val="auto"/>
              </w:rPr>
            </w:pPr>
          </w:p>
        </w:tc>
        <w:tc>
          <w:tcPr>
            <w:tcW w:w="3140" w:type="dxa"/>
            <w:vAlign w:val="bottom"/>
            <w:gridSpan w:val="4"/>
          </w:tcPr>
          <w:p>
            <w:pPr>
              <w:ind w:left="580"/>
              <w:spacing w:after="0"/>
              <w:rPr>
                <w:sz w:val="20"/>
                <w:szCs w:val="20"/>
                <w:color w:val="auto"/>
              </w:rPr>
            </w:pPr>
            <w:r>
              <w:rPr>
                <w:rFonts w:ascii="Courier New" w:cs="Courier New" w:eastAsia="Courier New" w:hAnsi="Courier New"/>
                <w:sz w:val="16"/>
                <w:szCs w:val="16"/>
                <w:color w:val="auto"/>
              </w:rPr>
              <w:t>--------------------------</w:t>
            </w:r>
          </w:p>
        </w:tc>
      </w:tr>
      <w:tr>
        <w:trPr>
          <w:trHeight w:val="190"/>
        </w:trPr>
        <w:tc>
          <w:tcPr>
            <w:tcW w:w="7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July 4,</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28,</w:t>
            </w:r>
          </w:p>
        </w:tc>
      </w:tr>
      <w:tr>
        <w:trPr>
          <w:trHeight w:val="190"/>
        </w:trPr>
        <w:tc>
          <w:tcPr>
            <w:tcW w:w="7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1998</w:t>
            </w:r>
          </w:p>
        </w:tc>
        <w:tc>
          <w:tcPr>
            <w:tcW w:w="640" w:type="dxa"/>
            <w:vAlign w:val="bottom"/>
          </w:tcPr>
          <w:p>
            <w:pPr>
              <w:spacing w:after="0"/>
              <w:rPr>
                <w:sz w:val="16"/>
                <w:szCs w:val="16"/>
                <w:color w:val="auto"/>
              </w:rPr>
            </w:pPr>
          </w:p>
        </w:tc>
        <w:tc>
          <w:tcPr>
            <w:tcW w:w="64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7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64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74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7400" w:type="dxa"/>
            <w:vAlign w:val="bottom"/>
          </w:tcPr>
          <w:p>
            <w:pPr>
              <w:ind w:left="300"/>
              <w:spacing w:after="0"/>
              <w:rPr>
                <w:sz w:val="20"/>
                <w:szCs w:val="20"/>
                <w:color w:val="auto"/>
              </w:rPr>
            </w:pPr>
            <w:r>
              <w:rPr>
                <w:rFonts w:ascii="Courier New" w:cs="Courier New" w:eastAsia="Courier New" w:hAnsi="Courier New"/>
                <w:sz w:val="16"/>
                <w:szCs w:val="16"/>
                <w:color w:val="auto"/>
              </w:rPr>
              <w:t>Net income</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51.6</w:t>
            </w:r>
          </w:p>
        </w:tc>
        <w:tc>
          <w:tcPr>
            <w:tcW w:w="6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43.0</w:t>
            </w:r>
          </w:p>
        </w:tc>
      </w:tr>
      <w:tr>
        <w:trPr>
          <w:trHeight w:val="190"/>
        </w:trPr>
        <w:tc>
          <w:tcPr>
            <w:tcW w:w="7400" w:type="dxa"/>
            <w:vAlign w:val="bottom"/>
          </w:tcPr>
          <w:p>
            <w:pPr>
              <w:ind w:left="30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7400" w:type="dxa"/>
            <w:vAlign w:val="bottom"/>
          </w:tcPr>
          <w:p>
            <w:pPr>
              <w:ind w:left="600"/>
              <w:spacing w:after="0"/>
              <w:rPr>
                <w:sz w:val="20"/>
                <w:szCs w:val="20"/>
                <w:color w:val="auto"/>
              </w:rPr>
            </w:pPr>
            <w:r>
              <w:rPr>
                <w:rFonts w:ascii="Courier New" w:cs="Courier New" w:eastAsia="Courier New" w:hAnsi="Courier New"/>
                <w:sz w:val="16"/>
                <w:szCs w:val="16"/>
                <w:color w:val="auto"/>
              </w:rPr>
              <w:t>used in operating activities:</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7400" w:type="dxa"/>
            <w:vAlign w:val="bottom"/>
          </w:tcPr>
          <w:p>
            <w:pPr>
              <w:ind w:left="880"/>
              <w:spacing w:after="0"/>
              <w:rPr>
                <w:sz w:val="20"/>
                <w:szCs w:val="20"/>
                <w:color w:val="auto"/>
              </w:rPr>
            </w:pPr>
            <w:r>
              <w:rPr>
                <w:rFonts w:ascii="Courier New" w:cs="Courier New" w:eastAsia="Courier New" w:hAnsi="Courier New"/>
                <w:sz w:val="16"/>
                <w:szCs w:val="16"/>
                <w:color w:val="auto"/>
              </w:rPr>
              <w:t>Depreciation and amortization</w:t>
            </w:r>
          </w:p>
        </w:tc>
        <w:tc>
          <w:tcPr>
            <w:tcW w:w="68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27.6</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r>
      <w:tr>
        <w:trPr>
          <w:trHeight w:val="190"/>
        </w:trPr>
        <w:tc>
          <w:tcPr>
            <w:tcW w:w="7400" w:type="dxa"/>
            <w:vAlign w:val="bottom"/>
          </w:tcPr>
          <w:p>
            <w:pPr>
              <w:ind w:left="880"/>
              <w:spacing w:after="0"/>
              <w:rPr>
                <w:sz w:val="20"/>
                <w:szCs w:val="20"/>
                <w:color w:val="auto"/>
              </w:rPr>
            </w:pPr>
            <w:r>
              <w:rPr>
                <w:rFonts w:ascii="Courier New" w:cs="Courier New" w:eastAsia="Courier New" w:hAnsi="Courier New"/>
                <w:sz w:val="16"/>
                <w:szCs w:val="16"/>
                <w:color w:val="auto"/>
              </w:rPr>
              <w:t>Extraordinary loss, net of income tax benefit</w:t>
            </w:r>
          </w:p>
        </w:tc>
        <w:tc>
          <w:tcPr>
            <w:tcW w:w="68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0.7</w:t>
            </w:r>
          </w:p>
        </w:tc>
        <w:tc>
          <w:tcPr>
            <w:tcW w:w="640" w:type="dxa"/>
            <w:vAlign w:val="bottom"/>
          </w:tcPr>
          <w:p>
            <w:pPr>
              <w:spacing w:after="0"/>
              <w:rPr>
                <w:sz w:val="16"/>
                <w:szCs w:val="16"/>
                <w:color w:val="auto"/>
              </w:rPr>
            </w:pPr>
          </w:p>
        </w:tc>
        <w:tc>
          <w:tcPr>
            <w:tcW w:w="6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7400" w:type="dxa"/>
            <w:vAlign w:val="bottom"/>
          </w:tcPr>
          <w:p>
            <w:pPr>
              <w:ind w:left="880"/>
              <w:spacing w:after="0"/>
              <w:rPr>
                <w:sz w:val="20"/>
                <w:szCs w:val="20"/>
                <w:color w:val="auto"/>
              </w:rPr>
            </w:pPr>
            <w:r>
              <w:rPr>
                <w:rFonts w:ascii="Courier New" w:cs="Courier New" w:eastAsia="Courier New" w:hAnsi="Courier New"/>
                <w:sz w:val="16"/>
                <w:szCs w:val="16"/>
                <w:color w:val="auto"/>
              </w:rPr>
              <w:t>Net change in certain components of</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7400" w:type="dxa"/>
            <w:vAlign w:val="bottom"/>
          </w:tcPr>
          <w:p>
            <w:pPr>
              <w:ind w:left="1280"/>
              <w:spacing w:after="0"/>
              <w:rPr>
                <w:sz w:val="20"/>
                <w:szCs w:val="20"/>
                <w:color w:val="auto"/>
              </w:rPr>
            </w:pPr>
            <w:r>
              <w:rPr>
                <w:rFonts w:ascii="Courier New" w:cs="Courier New" w:eastAsia="Courier New" w:hAnsi="Courier New"/>
                <w:sz w:val="16"/>
                <w:szCs w:val="16"/>
                <w:color w:val="auto"/>
              </w:rPr>
              <w:t>working capital</w:t>
            </w:r>
          </w:p>
        </w:tc>
        <w:tc>
          <w:tcPr>
            <w:tcW w:w="68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13.4</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27.3</w:t>
            </w:r>
          </w:p>
        </w:tc>
      </w:tr>
      <w:tr>
        <w:trPr>
          <w:trHeight w:val="190"/>
        </w:trPr>
        <w:tc>
          <w:tcPr>
            <w:tcW w:w="7400" w:type="dxa"/>
            <w:vAlign w:val="bottom"/>
          </w:tcPr>
          <w:p>
            <w:pPr>
              <w:ind w:left="880"/>
              <w:spacing w:after="0"/>
              <w:rPr>
                <w:sz w:val="20"/>
                <w:szCs w:val="20"/>
                <w:color w:val="auto"/>
              </w:rPr>
            </w:pPr>
            <w:r>
              <w:rPr>
                <w:rFonts w:ascii="Courier New" w:cs="Courier New" w:eastAsia="Courier New" w:hAnsi="Courier New"/>
                <w:sz w:val="16"/>
                <w:szCs w:val="16"/>
                <w:color w:val="auto"/>
              </w:rPr>
              <w:t>Net change in other assets and liabilities and</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7400" w:type="dxa"/>
            <w:vAlign w:val="bottom"/>
          </w:tcPr>
          <w:p>
            <w:pPr>
              <w:ind w:left="1280"/>
              <w:spacing w:after="0"/>
              <w:rPr>
                <w:sz w:val="20"/>
                <w:szCs w:val="20"/>
                <w:color w:val="auto"/>
              </w:rPr>
            </w:pPr>
            <w:r>
              <w:rPr>
                <w:rFonts w:ascii="Courier New" w:cs="Courier New" w:eastAsia="Courier New" w:hAnsi="Courier New"/>
                <w:sz w:val="16"/>
                <w:szCs w:val="16"/>
                <w:color w:val="auto"/>
              </w:rPr>
              <w:t>other adjustments</w:t>
            </w:r>
          </w:p>
        </w:tc>
        <w:tc>
          <w:tcPr>
            <w:tcW w:w="68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(0.3)</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90"/>
        </w:trPr>
        <w:tc>
          <w:tcPr>
            <w:tcW w:w="7400" w:type="dxa"/>
            <w:vAlign w:val="bottom"/>
          </w:tcPr>
          <w:p>
            <w:pPr>
              <w:spacing w:after="0"/>
              <w:rPr>
                <w:sz w:val="16"/>
                <w:szCs w:val="16"/>
                <w:color w:val="auto"/>
              </w:rPr>
            </w:pP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500"/>
              <w:spacing w:after="0"/>
              <w:rPr>
                <w:sz w:val="20"/>
                <w:szCs w:val="20"/>
                <w:color w:val="auto"/>
              </w:rPr>
            </w:pPr>
            <w:r>
              <w:rPr>
                <w:rFonts w:ascii="Courier New" w:cs="Courier New" w:eastAsia="Courier New" w:hAnsi="Courier New"/>
                <w:sz w:val="16"/>
                <w:szCs w:val="16"/>
                <w:color w:val="auto"/>
                <w:w w:val="98"/>
              </w:rPr>
              <w:t>--------</w:t>
            </w:r>
          </w:p>
        </w:tc>
      </w:tr>
      <w:tr>
        <w:trPr>
          <w:trHeight w:val="379"/>
        </w:trPr>
        <w:tc>
          <w:tcPr>
            <w:tcW w:w="7400" w:type="dxa"/>
            <w:vAlign w:val="bottom"/>
          </w:tcPr>
          <w:p>
            <w:pPr>
              <w:ind w:left="17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680" w:type="dxa"/>
            <w:vAlign w:val="bottom"/>
          </w:tcPr>
          <w:p>
            <w:pPr>
              <w:spacing w:after="0"/>
              <w:rPr>
                <w:sz w:val="24"/>
                <w:szCs w:val="24"/>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93.0</w:t>
            </w:r>
          </w:p>
        </w:tc>
        <w:tc>
          <w:tcPr>
            <w:tcW w:w="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93.2</w:t>
            </w:r>
          </w:p>
        </w:tc>
      </w:tr>
      <w:tr>
        <w:trPr>
          <w:trHeight w:val="190"/>
        </w:trPr>
        <w:tc>
          <w:tcPr>
            <w:tcW w:w="7400" w:type="dxa"/>
            <w:vAlign w:val="bottom"/>
          </w:tcPr>
          <w:p>
            <w:pPr>
              <w:spacing w:after="0"/>
              <w:rPr>
                <w:sz w:val="16"/>
                <w:szCs w:val="16"/>
                <w:color w:val="auto"/>
              </w:rPr>
            </w:pP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500"/>
              <w:spacing w:after="0"/>
              <w:rPr>
                <w:sz w:val="20"/>
                <w:szCs w:val="20"/>
                <w:color w:val="auto"/>
              </w:rPr>
            </w:pPr>
            <w:r>
              <w:rPr>
                <w:rFonts w:ascii="Courier New" w:cs="Courier New" w:eastAsia="Courier New" w:hAnsi="Courier New"/>
                <w:sz w:val="16"/>
                <w:szCs w:val="16"/>
                <w:color w:val="auto"/>
                <w:w w:val="98"/>
              </w:rPr>
              <w:t>--------</w:t>
            </w:r>
          </w:p>
        </w:tc>
      </w:tr>
      <w:tr>
        <w:trPr>
          <w:trHeight w:val="190"/>
        </w:trPr>
        <w:tc>
          <w:tcPr>
            <w:tcW w:w="74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7400" w:type="dxa"/>
            <w:vAlign w:val="bottom"/>
          </w:tcPr>
          <w:p>
            <w:pPr>
              <w:ind w:left="300"/>
              <w:spacing w:after="0"/>
              <w:rPr>
                <w:sz w:val="20"/>
                <w:szCs w:val="20"/>
                <w:color w:val="auto"/>
              </w:rPr>
            </w:pPr>
            <w:r>
              <w:rPr>
                <w:rFonts w:ascii="Courier New" w:cs="Courier New" w:eastAsia="Courier New" w:hAnsi="Courier New"/>
                <w:sz w:val="16"/>
                <w:szCs w:val="16"/>
                <w:color w:val="auto"/>
              </w:rPr>
              <w:t>Investment in property, plant and equipment, net</w:t>
            </w:r>
          </w:p>
        </w:tc>
        <w:tc>
          <w:tcPr>
            <w:tcW w:w="68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(21.7)</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90"/>
        </w:trPr>
        <w:tc>
          <w:tcPr>
            <w:tcW w:w="7400" w:type="dxa"/>
            <w:vAlign w:val="bottom"/>
          </w:tcPr>
          <w:p>
            <w:pPr>
              <w:ind w:left="300"/>
              <w:spacing w:after="0"/>
              <w:rPr>
                <w:sz w:val="20"/>
                <w:szCs w:val="20"/>
                <w:color w:val="auto"/>
              </w:rPr>
            </w:pPr>
            <w:r>
              <w:rPr>
                <w:rFonts w:ascii="Courier New" w:cs="Courier New" w:eastAsia="Courier New" w:hAnsi="Courier New"/>
                <w:sz w:val="16"/>
                <w:szCs w:val="16"/>
                <w:color w:val="auto"/>
              </w:rPr>
              <w:t>Acquisitions, net of cash acquired</w:t>
            </w:r>
          </w:p>
        </w:tc>
        <w:tc>
          <w:tcPr>
            <w:tcW w:w="68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(146.4)</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(47.1)</w:t>
            </w:r>
          </w:p>
        </w:tc>
      </w:tr>
      <w:tr>
        <w:trPr>
          <w:trHeight w:val="190"/>
        </w:trPr>
        <w:tc>
          <w:tcPr>
            <w:tcW w:w="7400" w:type="dxa"/>
            <w:vAlign w:val="bottom"/>
          </w:tcPr>
          <w:p>
            <w:pPr>
              <w:spacing w:after="0"/>
              <w:rPr>
                <w:sz w:val="16"/>
                <w:szCs w:val="16"/>
                <w:color w:val="auto"/>
              </w:rPr>
            </w:pP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400" w:type="dxa"/>
            <w:vAlign w:val="bottom"/>
          </w:tcPr>
          <w:p>
            <w:pPr>
              <w:ind w:left="1780"/>
              <w:spacing w:after="0"/>
              <w:rPr>
                <w:sz w:val="20"/>
                <w:szCs w:val="20"/>
                <w:color w:val="auto"/>
              </w:rPr>
            </w:pPr>
            <w:r>
              <w:rPr>
                <w:rFonts w:ascii="Courier New" w:cs="Courier New" w:eastAsia="Courier New" w:hAnsi="Courier New"/>
                <w:sz w:val="16"/>
                <w:szCs w:val="16"/>
                <w:color w:val="auto"/>
              </w:rPr>
              <w:t>Net cash used in investing activities</w:t>
            </w:r>
          </w:p>
        </w:tc>
        <w:tc>
          <w:tcPr>
            <w:tcW w:w="680" w:type="dxa"/>
            <w:vAlign w:val="bottom"/>
          </w:tcPr>
          <w:p>
            <w:pPr>
              <w:spacing w:after="0"/>
              <w:rPr>
                <w:sz w:val="24"/>
                <w:szCs w:val="24"/>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(168.1)</w:t>
            </w:r>
          </w:p>
        </w:tc>
        <w:tc>
          <w:tcPr>
            <w:tcW w:w="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(56.5)</w:t>
            </w:r>
          </w:p>
        </w:tc>
      </w:tr>
      <w:tr>
        <w:trPr>
          <w:trHeight w:val="190"/>
        </w:trPr>
        <w:tc>
          <w:tcPr>
            <w:tcW w:w="7400" w:type="dxa"/>
            <w:vAlign w:val="bottom"/>
          </w:tcPr>
          <w:p>
            <w:pPr>
              <w:spacing w:after="0"/>
              <w:rPr>
                <w:sz w:val="16"/>
                <w:szCs w:val="16"/>
                <w:color w:val="auto"/>
              </w:rPr>
            </w:pP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4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7400" w:type="dxa"/>
            <w:vAlign w:val="bottom"/>
          </w:tcPr>
          <w:p>
            <w:pPr>
              <w:ind w:left="300"/>
              <w:spacing w:after="0"/>
              <w:rPr>
                <w:sz w:val="20"/>
                <w:szCs w:val="20"/>
                <w:color w:val="auto"/>
              </w:rPr>
            </w:pPr>
            <w:r>
              <w:rPr>
                <w:rFonts w:ascii="Courier New" w:cs="Courier New" w:eastAsia="Courier New" w:hAnsi="Courier New"/>
                <w:sz w:val="16"/>
                <w:szCs w:val="16"/>
                <w:color w:val="auto"/>
              </w:rPr>
              <w:t>Revolving lines of credit and bank line of credit, net</w:t>
            </w:r>
          </w:p>
        </w:tc>
        <w:tc>
          <w:tcPr>
            <w:tcW w:w="68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101.4</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(12.1)</w:t>
            </w:r>
          </w:p>
        </w:tc>
      </w:tr>
      <w:tr>
        <w:trPr>
          <w:trHeight w:val="190"/>
        </w:trPr>
        <w:tc>
          <w:tcPr>
            <w:tcW w:w="7400" w:type="dxa"/>
            <w:vAlign w:val="bottom"/>
          </w:tcPr>
          <w:p>
            <w:pPr>
              <w:ind w:left="300"/>
              <w:spacing w:after="0"/>
              <w:rPr>
                <w:sz w:val="20"/>
                <w:szCs w:val="20"/>
                <w:color w:val="auto"/>
              </w:rPr>
            </w:pPr>
            <w:r>
              <w:rPr>
                <w:rFonts w:ascii="Courier New" w:cs="Courier New" w:eastAsia="Courier New" w:hAnsi="Courier New"/>
                <w:sz w:val="16"/>
                <w:szCs w:val="16"/>
                <w:color w:val="auto"/>
              </w:rPr>
              <w:t>Dividends on Preferred Stock</w:t>
            </w:r>
          </w:p>
        </w:tc>
        <w:tc>
          <w:tcPr>
            <w:tcW w:w="68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(7.3)</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90"/>
        </w:trPr>
        <w:tc>
          <w:tcPr>
            <w:tcW w:w="7400" w:type="dxa"/>
            <w:vAlign w:val="bottom"/>
          </w:tcPr>
          <w:p>
            <w:pPr>
              <w:ind w:left="300"/>
              <w:spacing w:after="0"/>
              <w:rPr>
                <w:sz w:val="20"/>
                <w:szCs w:val="20"/>
                <w:color w:val="auto"/>
              </w:rPr>
            </w:pPr>
            <w:r>
              <w:rPr>
                <w:rFonts w:ascii="Courier New" w:cs="Courier New" w:eastAsia="Courier New" w:hAnsi="Courier New"/>
                <w:sz w:val="16"/>
                <w:szCs w:val="16"/>
                <w:color w:val="auto"/>
              </w:rPr>
              <w:t>Other, net</w:t>
            </w:r>
          </w:p>
        </w:tc>
        <w:tc>
          <w:tcPr>
            <w:tcW w:w="68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(2.3)</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90"/>
        </w:trPr>
        <w:tc>
          <w:tcPr>
            <w:tcW w:w="7400" w:type="dxa"/>
            <w:vAlign w:val="bottom"/>
          </w:tcPr>
          <w:p>
            <w:pPr>
              <w:spacing w:after="0"/>
              <w:rPr>
                <w:sz w:val="16"/>
                <w:szCs w:val="16"/>
                <w:color w:val="auto"/>
              </w:rPr>
            </w:pPr>
          </w:p>
        </w:tc>
        <w:tc>
          <w:tcPr>
            <w:tcW w:w="186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400" w:type="dxa"/>
            <w:vAlign w:val="bottom"/>
          </w:tcPr>
          <w:p>
            <w:pPr>
              <w:ind w:left="1780"/>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680" w:type="dxa"/>
            <w:vAlign w:val="bottom"/>
          </w:tcPr>
          <w:p>
            <w:pPr>
              <w:spacing w:after="0"/>
              <w:rPr>
                <w:sz w:val="24"/>
                <w:szCs w:val="24"/>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91.8</w:t>
            </w:r>
          </w:p>
        </w:tc>
        <w:tc>
          <w:tcPr>
            <w:tcW w:w="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(18.3)</w:t>
            </w:r>
          </w:p>
        </w:tc>
      </w:tr>
      <w:tr>
        <w:trPr>
          <w:trHeight w:val="190"/>
        </w:trPr>
        <w:tc>
          <w:tcPr>
            <w:tcW w:w="7400" w:type="dxa"/>
            <w:vAlign w:val="bottom"/>
          </w:tcPr>
          <w:p>
            <w:pPr>
              <w:spacing w:after="0"/>
              <w:rPr>
                <w:sz w:val="16"/>
                <w:szCs w:val="16"/>
                <w:color w:val="auto"/>
              </w:rPr>
            </w:pP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4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680" w:type="dxa"/>
            <w:vAlign w:val="bottom"/>
          </w:tcPr>
          <w:p>
            <w:pPr>
              <w:spacing w:after="0"/>
              <w:rPr>
                <w:sz w:val="24"/>
                <w:szCs w:val="24"/>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(0.1)</w:t>
            </w:r>
          </w:p>
        </w:tc>
        <w:tc>
          <w:tcPr>
            <w:tcW w:w="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r>
      <w:tr>
        <w:trPr>
          <w:trHeight w:val="190"/>
        </w:trPr>
        <w:tc>
          <w:tcPr>
            <w:tcW w:w="7400" w:type="dxa"/>
            <w:vAlign w:val="bottom"/>
          </w:tcPr>
          <w:p>
            <w:pPr>
              <w:spacing w:after="0"/>
              <w:rPr>
                <w:sz w:val="16"/>
                <w:szCs w:val="16"/>
                <w:color w:val="auto"/>
              </w:rPr>
            </w:pP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400" w:type="dxa"/>
            <w:vAlign w:val="bottom"/>
          </w:tcPr>
          <w:p>
            <w:pPr>
              <w:spacing w:after="0"/>
              <w:rPr>
                <w:sz w:val="20"/>
                <w:szCs w:val="20"/>
                <w:color w:val="auto"/>
              </w:rPr>
            </w:pPr>
            <w:r>
              <w:rPr>
                <w:rFonts w:ascii="Courier New" w:cs="Courier New" w:eastAsia="Courier New" w:hAnsi="Courier New"/>
                <w:sz w:val="16"/>
                <w:szCs w:val="16"/>
                <w:color w:val="auto"/>
              </w:rPr>
              <w:t>Net increase in cash</w:t>
            </w:r>
          </w:p>
        </w:tc>
        <w:tc>
          <w:tcPr>
            <w:tcW w:w="680" w:type="dxa"/>
            <w:vAlign w:val="bottom"/>
          </w:tcPr>
          <w:p>
            <w:pPr>
              <w:spacing w:after="0"/>
              <w:rPr>
                <w:sz w:val="24"/>
                <w:szCs w:val="24"/>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16.6</w:t>
            </w:r>
          </w:p>
        </w:tc>
        <w:tc>
          <w:tcPr>
            <w:tcW w:w="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17.8</w:t>
            </w:r>
          </w:p>
        </w:tc>
      </w:tr>
      <w:tr>
        <w:trPr>
          <w:trHeight w:val="379"/>
        </w:trPr>
        <w:tc>
          <w:tcPr>
            <w:tcW w:w="740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680" w:type="dxa"/>
            <w:vAlign w:val="bottom"/>
          </w:tcPr>
          <w:p>
            <w:pPr>
              <w:spacing w:after="0"/>
              <w:rPr>
                <w:sz w:val="24"/>
                <w:szCs w:val="24"/>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13.0</w:t>
            </w:r>
          </w:p>
        </w:tc>
        <w:tc>
          <w:tcPr>
            <w:tcW w:w="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r>
      <w:tr>
        <w:trPr>
          <w:trHeight w:val="190"/>
        </w:trPr>
        <w:tc>
          <w:tcPr>
            <w:tcW w:w="7400" w:type="dxa"/>
            <w:vAlign w:val="bottom"/>
          </w:tcPr>
          <w:p>
            <w:pPr>
              <w:spacing w:after="0"/>
              <w:rPr>
                <w:sz w:val="16"/>
                <w:szCs w:val="16"/>
                <w:color w:val="auto"/>
              </w:rPr>
            </w:pP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400" w:type="dxa"/>
            <w:vAlign w:val="bottom"/>
          </w:tcPr>
          <w:p>
            <w:pPr>
              <w:spacing w:after="0"/>
              <w:rPr>
                <w:sz w:val="20"/>
                <w:szCs w:val="20"/>
                <w:color w:val="auto"/>
              </w:rPr>
            </w:pPr>
            <w:r>
              <w:rPr>
                <w:rFonts w:ascii="Courier New" w:cs="Courier New" w:eastAsia="Courier New" w:hAnsi="Courier New"/>
                <w:sz w:val="16"/>
                <w:szCs w:val="16"/>
                <w:color w:val="auto"/>
              </w:rPr>
              <w:t>Cash at end of period</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29.6</w:t>
            </w:r>
          </w:p>
        </w:tc>
        <w:tc>
          <w:tcPr>
            <w:tcW w:w="6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28.4</w:t>
            </w:r>
          </w:p>
        </w:tc>
      </w:tr>
      <w:tr>
        <w:trPr>
          <w:trHeight w:val="190"/>
        </w:trPr>
        <w:tc>
          <w:tcPr>
            <w:tcW w:w="7400" w:type="dxa"/>
            <w:vAlign w:val="bottom"/>
          </w:tcPr>
          <w:p>
            <w:pPr>
              <w:spacing w:after="0"/>
              <w:rPr>
                <w:sz w:val="16"/>
                <w:szCs w:val="16"/>
                <w:color w:val="auto"/>
              </w:rPr>
            </w:pP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40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7400" w:type="dxa"/>
            <w:vAlign w:val="bottom"/>
          </w:tcPr>
          <w:p>
            <w:pPr>
              <w:ind w:left="300"/>
              <w:spacing w:after="0"/>
              <w:rPr>
                <w:sz w:val="20"/>
                <w:szCs w:val="20"/>
                <w:color w:val="auto"/>
              </w:rPr>
            </w:pPr>
            <w:r>
              <w:rPr>
                <w:rFonts w:ascii="Courier New" w:cs="Courier New" w:eastAsia="Courier New" w:hAnsi="Courier New"/>
                <w:sz w:val="16"/>
                <w:szCs w:val="16"/>
                <w:color w:val="auto"/>
              </w:rPr>
              <w:t>Businesses Acquired:</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7400" w:type="dxa"/>
            <w:vAlign w:val="bottom"/>
          </w:tcPr>
          <w:p>
            <w:pPr>
              <w:ind w:left="500"/>
              <w:spacing w:after="0"/>
              <w:rPr>
                <w:sz w:val="20"/>
                <w:szCs w:val="20"/>
                <w:color w:val="auto"/>
              </w:rPr>
            </w:pPr>
            <w:r>
              <w:rPr>
                <w:rFonts w:ascii="Courier New" w:cs="Courier New" w:eastAsia="Courier New" w:hAnsi="Courier New"/>
                <w:sz w:val="16"/>
                <w:szCs w:val="16"/>
                <w:color w:val="auto"/>
              </w:rPr>
              <w:t>Fair value of assets acquired</w:t>
            </w: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$ 213.4</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$ 115.9</w:t>
            </w:r>
          </w:p>
        </w:tc>
      </w:tr>
      <w:tr>
        <w:trPr>
          <w:trHeight w:val="190"/>
        </w:trPr>
        <w:tc>
          <w:tcPr>
            <w:tcW w:w="7400" w:type="dxa"/>
            <w:vAlign w:val="bottom"/>
          </w:tcPr>
          <w:p>
            <w:pPr>
              <w:ind w:left="500"/>
              <w:spacing w:after="0"/>
              <w:rPr>
                <w:sz w:val="20"/>
                <w:szCs w:val="20"/>
                <w:color w:val="auto"/>
              </w:rPr>
            </w:pPr>
            <w:r>
              <w:rPr>
                <w:rFonts w:ascii="Courier New" w:cs="Courier New" w:eastAsia="Courier New" w:hAnsi="Courier New"/>
                <w:sz w:val="16"/>
                <w:szCs w:val="16"/>
                <w:color w:val="auto"/>
              </w:rPr>
              <w:t>Liabilities assumed and minority interest</w:t>
            </w:r>
          </w:p>
        </w:tc>
        <w:tc>
          <w:tcPr>
            <w:tcW w:w="68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(45.9)</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(69.2)</w:t>
            </w:r>
          </w:p>
        </w:tc>
      </w:tr>
      <w:tr>
        <w:trPr>
          <w:trHeight w:val="190"/>
        </w:trPr>
        <w:tc>
          <w:tcPr>
            <w:tcW w:w="7400" w:type="dxa"/>
            <w:vAlign w:val="bottom"/>
          </w:tcPr>
          <w:p>
            <w:pPr>
              <w:ind w:left="500"/>
              <w:spacing w:after="0"/>
              <w:rPr>
                <w:sz w:val="20"/>
                <w:szCs w:val="20"/>
                <w:color w:val="auto"/>
              </w:rPr>
            </w:pPr>
            <w:r>
              <w:rPr>
                <w:rFonts w:ascii="Courier New" w:cs="Courier New" w:eastAsia="Courier New" w:hAnsi="Courier New"/>
                <w:sz w:val="16"/>
                <w:szCs w:val="16"/>
                <w:color w:val="auto"/>
              </w:rPr>
              <w:t>Debt issued</w:t>
            </w:r>
          </w:p>
        </w:tc>
        <w:tc>
          <w:tcPr>
            <w:tcW w:w="18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$ 164.5</w:t>
            </w:r>
          </w:p>
        </w:tc>
        <w:tc>
          <w:tcPr>
            <w:tcW w:w="6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37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540"/>
          </w:cols>
          <w:pgMar w:left="240" w:top="306" w:right="1119" w:bottom="998"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CONSOLIDATED BALANCE SHEETS</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July 4,</w:t>
            </w:r>
          </w:p>
        </w:tc>
        <w:tc>
          <w:tcPr>
            <w:tcW w:w="21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June 28,</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6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1998</w:t>
            </w:r>
          </w:p>
        </w:tc>
        <w:tc>
          <w:tcPr>
            <w:tcW w:w="1040" w:type="dxa"/>
            <w:vAlign w:val="bottom"/>
          </w:tcPr>
          <w:p>
            <w:pPr>
              <w:spacing w:after="0"/>
              <w:rPr>
                <w:sz w:val="16"/>
                <w:szCs w:val="16"/>
                <w:color w:val="auto"/>
              </w:rPr>
            </w:pPr>
          </w:p>
        </w:tc>
        <w:tc>
          <w:tcPr>
            <w:tcW w:w="10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1997</w:t>
            </w:r>
          </w:p>
        </w:tc>
        <w:tc>
          <w:tcPr>
            <w:tcW w:w="74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6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6"/>
                <w:szCs w:val="16"/>
                <w:color w:val="auto"/>
              </w:rPr>
            </w:pPr>
          </w:p>
        </w:tc>
        <w:tc>
          <w:tcPr>
            <w:tcW w:w="10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ind w:left="3640"/>
              <w:spacing w:after="0"/>
              <w:rPr>
                <w:sz w:val="20"/>
                <w:szCs w:val="20"/>
                <w:color w:val="auto"/>
              </w:rPr>
            </w:pPr>
            <w:r>
              <w:rPr>
                <w:rFonts w:ascii="Courier New" w:cs="Courier New" w:eastAsia="Courier New" w:hAnsi="Courier New"/>
                <w:sz w:val="16"/>
                <w:szCs w:val="16"/>
                <w:color w:val="auto"/>
              </w:rPr>
              <w:t>ASSETS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Cash</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29.6</w:t>
            </w:r>
          </w:p>
        </w:tc>
        <w:tc>
          <w:tcPr>
            <w:tcW w:w="104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28.4</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13.0</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less allowances</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20" w:type="dxa"/>
            <w:vAlign w:val="bottom"/>
          </w:tcPr>
          <w:p>
            <w:pPr>
              <w:ind w:left="500"/>
              <w:spacing w:after="0"/>
              <w:rPr>
                <w:sz w:val="20"/>
                <w:szCs w:val="20"/>
                <w:color w:val="auto"/>
              </w:rPr>
            </w:pPr>
            <w:r>
              <w:rPr>
                <w:rFonts w:ascii="Courier New" w:cs="Courier New" w:eastAsia="Courier New" w:hAnsi="Courier New"/>
                <w:sz w:val="16"/>
                <w:szCs w:val="16"/>
                <w:color w:val="auto"/>
              </w:rPr>
              <w:t>of $5.5, $5.9 and $5.7, respectively</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164.6</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141.6</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104.3</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Inventories, net</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165.3</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152.6</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146.1</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Prepaid and other assets</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29.9</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21.5</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22.4</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ind w:left="500"/>
              <w:spacing w:after="0"/>
              <w:rPr>
                <w:sz w:val="20"/>
                <w:szCs w:val="20"/>
                <w:color w:val="auto"/>
              </w:rPr>
            </w:pPr>
            <w:r>
              <w:rPr>
                <w:rFonts w:ascii="Courier New" w:cs="Courier New" w:eastAsia="Courier New" w:hAnsi="Courier New"/>
                <w:sz w:val="16"/>
                <w:szCs w:val="16"/>
                <w:color w:val="auto"/>
              </w:rPr>
              <w:t>Total current assets</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389.4</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344.1</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285.8</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187.7</w:t>
            </w:r>
          </w:p>
        </w:tc>
        <w:tc>
          <w:tcPr>
            <w:tcW w:w="1040" w:type="dxa"/>
            <w:vAlign w:val="bottom"/>
          </w:tcPr>
          <w:p>
            <w:pPr>
              <w:spacing w:after="0"/>
              <w:rPr>
                <w:sz w:val="24"/>
                <w:szCs w:val="24"/>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135.6</w:t>
            </w:r>
          </w:p>
        </w:tc>
        <w:tc>
          <w:tcPr>
            <w:tcW w:w="740" w:type="dxa"/>
            <w:vAlign w:val="bottom"/>
          </w:tcPr>
          <w:p>
            <w:pPr>
              <w:spacing w:after="0"/>
              <w:rPr>
                <w:sz w:val="24"/>
                <w:szCs w:val="24"/>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146.1</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297.4</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218.0</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215.6</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Other intangibles, net</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138.2</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140.3</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136.6</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1.5</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3.5</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ind w:left="500"/>
              <w:spacing w:after="0"/>
              <w:rPr>
                <w:sz w:val="20"/>
                <w:szCs w:val="20"/>
                <w:color w:val="auto"/>
              </w:rPr>
            </w:pPr>
            <w:r>
              <w:rPr>
                <w:rFonts w:ascii="Courier New" w:cs="Courier New" w:eastAsia="Courier New" w:hAnsi="Courier New"/>
                <w:sz w:val="16"/>
                <w:szCs w:val="16"/>
                <w:color w:val="auto"/>
              </w:rPr>
              <w:t>Total Assets</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$1,019.1</w:t>
            </w:r>
          </w:p>
        </w:tc>
        <w:tc>
          <w:tcPr>
            <w:tcW w:w="104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839.5</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787.6</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ind w:left="2180"/>
              <w:spacing w:after="0"/>
              <w:rPr>
                <w:sz w:val="20"/>
                <w:szCs w:val="20"/>
                <w:color w:val="auto"/>
              </w:rPr>
            </w:pPr>
            <w:r>
              <w:rPr>
                <w:rFonts w:ascii="Courier New" w:cs="Courier New" w:eastAsia="Courier New" w:hAnsi="Courier New"/>
                <w:sz w:val="16"/>
                <w:szCs w:val="16"/>
                <w:color w:val="auto"/>
              </w:rPr>
              <w:t>LIABILITIES AND SHAREHOLDERS' EQUITY</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Revolving credit line and other short-term debt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104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1.6</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1.5</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77.8</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53.8</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54.1</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Accrued liabilities</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98.2</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73.1</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57.8</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Accrued taxes</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37.3</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25.9</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ind w:left="500"/>
              <w:spacing w:after="0"/>
              <w:rPr>
                <w:sz w:val="20"/>
                <w:szCs w:val="20"/>
                <w:color w:val="auto"/>
              </w:rPr>
            </w:pPr>
            <w:r>
              <w:rPr>
                <w:rFonts w:ascii="Courier New" w:cs="Courier New" w:eastAsia="Courier New" w:hAnsi="Courier New"/>
                <w:sz w:val="16"/>
                <w:szCs w:val="16"/>
                <w:color w:val="auto"/>
              </w:rPr>
              <w:t>Total current liabilities</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215.8</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165.8</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139.3</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Term debt, less current portion</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327.6</w:t>
            </w:r>
          </w:p>
        </w:tc>
        <w:tc>
          <w:tcPr>
            <w:tcW w:w="1040" w:type="dxa"/>
            <w:vAlign w:val="bottom"/>
          </w:tcPr>
          <w:p>
            <w:pPr>
              <w:spacing w:after="0"/>
              <w:rPr>
                <w:sz w:val="24"/>
                <w:szCs w:val="24"/>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239.8</w:t>
            </w:r>
          </w:p>
        </w:tc>
        <w:tc>
          <w:tcPr>
            <w:tcW w:w="740" w:type="dxa"/>
            <w:vAlign w:val="bottom"/>
          </w:tcPr>
          <w:p>
            <w:pPr>
              <w:spacing w:after="0"/>
              <w:rPr>
                <w:sz w:val="24"/>
                <w:szCs w:val="24"/>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219.8</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45.6</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37.5</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39.3</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ind w:left="500"/>
              <w:spacing w:after="0"/>
              <w:rPr>
                <w:sz w:val="20"/>
                <w:szCs w:val="20"/>
                <w:color w:val="auto"/>
              </w:rPr>
            </w:pPr>
            <w:r>
              <w:rPr>
                <w:rFonts w:ascii="Courier New" w:cs="Courier New" w:eastAsia="Courier New" w:hAnsi="Courier New"/>
                <w:sz w:val="16"/>
                <w:szCs w:val="16"/>
                <w:color w:val="auto"/>
              </w:rPr>
              <w:t>Total Liabilities</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589.0</w:t>
            </w:r>
          </w:p>
        </w:tc>
        <w:tc>
          <w:tcPr>
            <w:tcW w:w="1040" w:type="dxa"/>
            <w:vAlign w:val="bottom"/>
          </w:tcPr>
          <w:p>
            <w:pPr>
              <w:spacing w:after="0"/>
              <w:rPr>
                <w:sz w:val="24"/>
                <w:szCs w:val="24"/>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443.1</w:t>
            </w:r>
          </w:p>
        </w:tc>
        <w:tc>
          <w:tcPr>
            <w:tcW w:w="740" w:type="dxa"/>
            <w:vAlign w:val="bottom"/>
          </w:tcPr>
          <w:p>
            <w:pPr>
              <w:spacing w:after="0"/>
              <w:rPr>
                <w:sz w:val="24"/>
                <w:szCs w:val="24"/>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398.4</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Class A Convertible Preferred Stock, no par value</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177.3</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177.3</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177.3</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Common shares, no par value, $.01 stated</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20" w:type="dxa"/>
            <w:vAlign w:val="bottom"/>
          </w:tcPr>
          <w:p>
            <w:pPr>
              <w:ind w:left="500"/>
              <w:spacing w:after="0"/>
              <w:rPr>
                <w:sz w:val="20"/>
                <w:szCs w:val="20"/>
                <w:color w:val="auto"/>
              </w:rPr>
            </w:pPr>
            <w:r>
              <w:rPr>
                <w:rFonts w:ascii="Courier New" w:cs="Courier New" w:eastAsia="Courier New" w:hAnsi="Courier New"/>
                <w:sz w:val="16"/>
                <w:szCs w:val="16"/>
                <w:color w:val="auto"/>
              </w:rPr>
              <w:t>value per share, issued 21.1 shares</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0.2</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0.2</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Capital in excess of par value</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208.3</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207.2</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207.8</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Retained earnings</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94.4</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56.1</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50.1</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Cumulative foreign currency translation account</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c>
          <w:tcPr>
            <w:tcW w:w="104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(2.3)</w:t>
            </w:r>
          </w:p>
        </w:tc>
        <w:tc>
          <w:tcPr>
            <w:tcW w:w="740" w:type="dxa"/>
            <w:vAlign w:val="bottom"/>
          </w:tcPr>
          <w:p>
            <w:pPr>
              <w:spacing w:after="0"/>
              <w:rPr>
                <w:sz w:val="16"/>
                <w:szCs w:val="16"/>
                <w:color w:val="auto"/>
              </w:rPr>
            </w:pPr>
          </w:p>
        </w:tc>
        <w:tc>
          <w:tcPr>
            <w:tcW w:w="8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(4.3)</w:t>
            </w:r>
          </w:p>
        </w:tc>
      </w:tr>
      <w:tr>
        <w:trPr>
          <w:trHeight w:val="190"/>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Treasury stock, 2.4, 2.4, and 2.4 common shares,</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20" w:type="dxa"/>
            <w:vAlign w:val="bottom"/>
          </w:tcPr>
          <w:p>
            <w:pPr>
              <w:ind w:left="700"/>
              <w:spacing w:after="0"/>
              <w:rPr>
                <w:sz w:val="20"/>
                <w:szCs w:val="20"/>
                <w:color w:val="auto"/>
              </w:rPr>
            </w:pPr>
            <w:r>
              <w:rPr>
                <w:rFonts w:ascii="Courier New" w:cs="Courier New" w:eastAsia="Courier New" w:hAnsi="Courier New"/>
                <w:sz w:val="16"/>
                <w:szCs w:val="16"/>
                <w:color w:val="auto"/>
              </w:rPr>
              <w:t>respectively, at cost</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(43.9)</w:t>
            </w:r>
          </w:p>
        </w:tc>
        <w:tc>
          <w:tcPr>
            <w:tcW w:w="104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(42.1)</w:t>
            </w:r>
          </w:p>
        </w:tc>
        <w:tc>
          <w:tcPr>
            <w:tcW w:w="740" w:type="dxa"/>
            <w:vAlign w:val="bottom"/>
          </w:tcPr>
          <w:p>
            <w:pPr>
              <w:spacing w:after="0"/>
              <w:rPr>
                <w:sz w:val="16"/>
                <w:szCs w:val="16"/>
                <w:color w:val="auto"/>
              </w:rPr>
            </w:pPr>
          </w:p>
        </w:tc>
        <w:tc>
          <w:tcPr>
            <w:tcW w:w="8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(41.9)</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ind w:left="500"/>
              <w:spacing w:after="0"/>
              <w:rPr>
                <w:sz w:val="20"/>
                <w:szCs w:val="20"/>
                <w:color w:val="auto"/>
              </w:rPr>
            </w:pPr>
            <w:r>
              <w:rPr>
                <w:rFonts w:ascii="Courier New" w:cs="Courier New" w:eastAsia="Courier New" w:hAnsi="Courier New"/>
                <w:sz w:val="16"/>
                <w:szCs w:val="16"/>
                <w:color w:val="auto"/>
              </w:rPr>
              <w:t>Total Shareholders' Equity</w:t>
            </w:r>
          </w:p>
        </w:tc>
        <w:tc>
          <w:tcPr>
            <w:tcW w:w="6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430.1</w:t>
            </w:r>
          </w:p>
        </w:tc>
        <w:tc>
          <w:tcPr>
            <w:tcW w:w="10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396.4</w:t>
            </w:r>
          </w:p>
        </w:tc>
        <w:tc>
          <w:tcPr>
            <w:tcW w:w="7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389.2</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ind w:left="50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$1,019.1</w:t>
            </w:r>
          </w:p>
        </w:tc>
        <w:tc>
          <w:tcPr>
            <w:tcW w:w="104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839.5</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787.6</w:t>
            </w:r>
          </w:p>
        </w:tc>
      </w:tr>
      <w:tr>
        <w:trPr>
          <w:trHeight w:val="190"/>
        </w:trPr>
        <w:tc>
          <w:tcPr>
            <w:tcW w:w="6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37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11520"/>
          </w:cols>
          <w:pgMar w:left="240" w:top="306" w:right="139" w:bottom="809" w:gutter="0" w:footer="0" w:header="0"/>
        </w:sectPr>
      </w:pPr>
    </w:p>
    <w:bookmarkStart w:id="6" w:name="page7"/>
    <w:bookmarkEnd w:id="6"/>
    <w:p>
      <w:pPr>
        <w:ind w:left="299"/>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5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8" w:lineRule="exact"/>
        <w:rPr>
          <w:sz w:val="20"/>
          <w:szCs w:val="20"/>
          <w:color w:val="auto"/>
        </w:rPr>
      </w:pPr>
    </w:p>
    <w:p>
      <w:pPr>
        <w:ind w:left="187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8" w:lineRule="exact"/>
        <w:rPr>
          <w:sz w:val="20"/>
          <w:szCs w:val="20"/>
          <w:color w:val="auto"/>
        </w:rPr>
      </w:pPr>
    </w:p>
    <w:p>
      <w:pPr>
        <w:ind w:left="299"/>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388" w:lineRule="exact"/>
        <w:rPr>
          <w:sz w:val="20"/>
          <w:szCs w:val="20"/>
          <w:color w:val="auto"/>
        </w:rPr>
      </w:pPr>
    </w:p>
    <w:p>
      <w:pPr>
        <w:ind w:left="599" w:right="5479" w:hanging="599"/>
        <w:spacing w:after="0" w:line="502" w:lineRule="auto"/>
        <w:tabs>
          <w:tab w:leader="none" w:pos="59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ind w:left="5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189" w:lineRule="exact"/>
        <w:rPr>
          <w:rFonts w:ascii="Courier New" w:cs="Courier New" w:eastAsia="Courier New" w:hAnsi="Courier New"/>
          <w:sz w:val="16"/>
          <w:szCs w:val="16"/>
          <w:color w:val="auto"/>
        </w:rPr>
      </w:pPr>
    </w:p>
    <w:p>
      <w:pPr>
        <w:ind w:left="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97" w:lineRule="exact"/>
        <w:rPr>
          <w:rFonts w:ascii="Courier New" w:cs="Courier New" w:eastAsia="Courier New" w:hAnsi="Courier New"/>
          <w:sz w:val="16"/>
          <w:szCs w:val="16"/>
          <w:color w:val="auto"/>
        </w:rPr>
      </w:pPr>
    </w:p>
    <w:p>
      <w:pPr>
        <w:ind w:left="599"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include the accounts of The Scotts Company ("Scotts") and its wholly-owned subsidiaries, Hyponex Corporation ("Hyponex"), Earthgro, Inc. ("Earthgro"), Republic Tool and Manufacturing Corp. ("Republic"), Scotts-Sierra Horticultural Products Company ("Sierra"), Scotts' Miracle-Gro Products, Inc. ("Miracle-Gro"), Miracle Holdings Limited ("Miracle Holdings"), and Levington Group Limited ("Levington"), (collectively, the "Company"). All material intercompany transactions have been eliminated.</w:t>
      </w:r>
    </w:p>
    <w:p>
      <w:pPr>
        <w:spacing w:after="0" w:line="189" w:lineRule="exact"/>
        <w:rPr>
          <w:rFonts w:ascii="Courier New" w:cs="Courier New" w:eastAsia="Courier New" w:hAnsi="Courier New"/>
          <w:sz w:val="16"/>
          <w:szCs w:val="16"/>
          <w:color w:val="auto"/>
        </w:rPr>
      </w:pPr>
    </w:p>
    <w:p>
      <w:pPr>
        <w:ind w:left="5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sheets as of July 4, 1998 and June 28, 1997, and the related consolidated statements of operations for the three and nine month periods, and cash flows for the nine month periods, ended July 4, 1998 and June 28, 1997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1997 Annual Report on Form 10-K.</w:t>
      </w:r>
    </w:p>
    <w:p>
      <w:pPr>
        <w:spacing w:after="0" w:line="189" w:lineRule="exact"/>
        <w:rPr>
          <w:rFonts w:ascii="Courier New" w:cs="Courier New" w:eastAsia="Courier New" w:hAnsi="Courier New"/>
          <w:sz w:val="16"/>
          <w:szCs w:val="16"/>
          <w:color w:val="auto"/>
        </w:rPr>
      </w:pPr>
    </w:p>
    <w:p>
      <w:pPr>
        <w:ind w:left="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97" w:lineRule="exact"/>
        <w:rPr>
          <w:rFonts w:ascii="Courier New" w:cs="Courier New" w:eastAsia="Courier New" w:hAnsi="Courier New"/>
          <w:sz w:val="16"/>
          <w:szCs w:val="16"/>
          <w:color w:val="auto"/>
        </w:rPr>
      </w:pPr>
    </w:p>
    <w:p>
      <w:pPr>
        <w:ind w:left="5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89" w:lineRule="exact"/>
        <w:rPr>
          <w:rFonts w:ascii="Courier New" w:cs="Courier New" w:eastAsia="Courier New" w:hAnsi="Courier New"/>
          <w:sz w:val="16"/>
          <w:szCs w:val="16"/>
          <w:color w:val="auto"/>
        </w:rPr>
      </w:pPr>
    </w:p>
    <w:p>
      <w:pPr>
        <w:ind w:left="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197" w:lineRule="exact"/>
        <w:rPr>
          <w:rFonts w:ascii="Courier New" w:cs="Courier New" w:eastAsia="Courier New" w:hAnsi="Courier New"/>
          <w:sz w:val="16"/>
          <w:szCs w:val="16"/>
          <w:color w:val="auto"/>
        </w:rPr>
      </w:pPr>
    </w:p>
    <w:p>
      <w:pPr>
        <w:ind w:left="5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Costs for these advertising and promotional programs are generally expensed ratably over the year in relation to revenues or related performance measures.</w:t>
      </w:r>
    </w:p>
    <w:p>
      <w:pPr>
        <w:spacing w:after="0" w:line="379" w:lineRule="exact"/>
        <w:rPr>
          <w:sz w:val="20"/>
          <w:szCs w:val="20"/>
          <w:color w:val="auto"/>
        </w:rPr>
      </w:pPr>
    </w:p>
    <w:p>
      <w:pPr>
        <w:ind w:left="3639"/>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18"/>
          </w:cols>
          <w:pgMar w:left="241" w:top="306" w:right="1440" w:bottom="1440" w:gutter="0" w:footer="0" w:header="0"/>
        </w:sectPr>
      </w:pPr>
    </w:p>
    <w:bookmarkStart w:id="7" w:name="page8"/>
    <w:bookmarkEnd w:id="7"/>
    <w:p>
      <w:pPr>
        <w:ind w:left="299"/>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7" w:lineRule="exact"/>
        <w:rPr>
          <w:sz w:val="20"/>
          <w:szCs w:val="20"/>
          <w:color w:val="auto"/>
        </w:rPr>
      </w:pPr>
    </w:p>
    <w:p>
      <w:pPr>
        <w:ind w:left="225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8" w:lineRule="exact"/>
        <w:rPr>
          <w:sz w:val="20"/>
          <w:szCs w:val="20"/>
          <w:color w:val="auto"/>
        </w:rPr>
      </w:pPr>
    </w:p>
    <w:p>
      <w:pPr>
        <w:ind w:left="187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8" w:lineRule="exact"/>
        <w:rPr>
          <w:sz w:val="20"/>
          <w:szCs w:val="20"/>
          <w:color w:val="auto"/>
        </w:rPr>
      </w:pPr>
    </w:p>
    <w:p>
      <w:pPr>
        <w:ind w:left="299"/>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388" w:lineRule="exact"/>
        <w:rPr>
          <w:sz w:val="20"/>
          <w:szCs w:val="20"/>
          <w:color w:val="auto"/>
        </w:rPr>
      </w:pPr>
    </w:p>
    <w:p>
      <w:pPr>
        <w:ind w:left="599"/>
        <w:spacing w:after="0"/>
        <w:rPr>
          <w:sz w:val="20"/>
          <w:szCs w:val="20"/>
          <w:color w:val="auto"/>
        </w:rPr>
      </w:pPr>
      <w:r>
        <w:rPr>
          <w:rFonts w:ascii="Courier New" w:cs="Courier New" w:eastAsia="Courier New" w:hAnsi="Courier New"/>
          <w:sz w:val="16"/>
          <w:szCs w:val="16"/>
          <w:color w:val="auto"/>
        </w:rPr>
        <w:t>Reclassifications</w:t>
      </w:r>
    </w:p>
    <w:p>
      <w:pPr>
        <w:spacing w:after="0" w:line="198" w:lineRule="exact"/>
        <w:rPr>
          <w:sz w:val="20"/>
          <w:szCs w:val="20"/>
          <w:color w:val="auto"/>
        </w:rPr>
      </w:pPr>
    </w:p>
    <w:p>
      <w:pPr>
        <w:ind w:left="599" w:right="2919"/>
        <w:spacing w:after="0" w:line="255" w:lineRule="auto"/>
        <w:rPr>
          <w:sz w:val="20"/>
          <w:szCs w:val="20"/>
          <w:color w:val="auto"/>
        </w:rPr>
      </w:pPr>
      <w:r>
        <w:rPr>
          <w:rFonts w:ascii="Courier New" w:cs="Courier New" w:eastAsia="Courier New" w:hAnsi="Courier New"/>
          <w:sz w:val="16"/>
          <w:szCs w:val="16"/>
          <w:color w:val="auto"/>
        </w:rPr>
        <w:t>Certain reclassifications have been made in prior periods' financial statements to conform to fiscal 1998 classifications.</w:t>
      </w:r>
    </w:p>
    <w:p>
      <w:pPr>
        <w:spacing w:after="0" w:line="184" w:lineRule="exact"/>
        <w:rPr>
          <w:sz w:val="20"/>
          <w:szCs w:val="20"/>
          <w:color w:val="auto"/>
        </w:rPr>
      </w:pPr>
    </w:p>
    <w:p>
      <w:pPr>
        <w:ind w:left="599" w:hanging="599"/>
        <w:spacing w:after="0"/>
        <w:tabs>
          <w:tab w:leader="none" w:pos="59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97" w:lineRule="exact"/>
        <w:rPr>
          <w:rFonts w:ascii="Courier New" w:cs="Courier New" w:eastAsia="Courier New" w:hAnsi="Courier New"/>
          <w:sz w:val="16"/>
          <w:szCs w:val="16"/>
          <w:color w:val="auto"/>
        </w:rPr>
      </w:pPr>
    </w:p>
    <w:p>
      <w:pPr>
        <w:ind w:left="599" w:right="233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February 1998, the Company acquired all the shares of Earthgro, Inc., a regional organics company located in Glastonbury, Connecticut, for $47.0, including deal costs and refinancing of certain assumed debt.</w:t>
      </w:r>
    </w:p>
    <w:p>
      <w:pPr>
        <w:spacing w:after="0" w:line="185" w:lineRule="exact"/>
        <w:rPr>
          <w:rFonts w:ascii="Courier New" w:cs="Courier New" w:eastAsia="Courier New" w:hAnsi="Courier New"/>
          <w:sz w:val="16"/>
          <w:szCs w:val="16"/>
          <w:color w:val="auto"/>
        </w:rPr>
      </w:pPr>
    </w:p>
    <w:p>
      <w:pPr>
        <w:ind w:left="599"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December 1997, the Company acquired all the shares of Levington, a leading producer of consumer and professional lawn fertilizer and growing media in the U.K, for $93.7, including deal costs and refinancing of certain assumed debt.</w:t>
      </w:r>
    </w:p>
    <w:p>
      <w:pPr>
        <w:spacing w:after="0" w:line="186" w:lineRule="exact"/>
        <w:rPr>
          <w:rFonts w:ascii="Courier New" w:cs="Courier New" w:eastAsia="Courier New" w:hAnsi="Courier New"/>
          <w:sz w:val="16"/>
          <w:szCs w:val="16"/>
          <w:color w:val="auto"/>
        </w:rPr>
      </w:pPr>
    </w:p>
    <w:p>
      <w:pPr>
        <w:ind w:left="599"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final allocation of the purchase price to acquired net assets is pending for both Earthgro and Levington. The excess of the purchase price over the net book value of acquired assets is currently recorded on the balance sheet as goodwill.</w:t>
      </w:r>
    </w:p>
    <w:p>
      <w:pPr>
        <w:spacing w:after="0" w:line="186" w:lineRule="exact"/>
        <w:rPr>
          <w:rFonts w:ascii="Courier New" w:cs="Courier New" w:eastAsia="Courier New" w:hAnsi="Courier New"/>
          <w:sz w:val="16"/>
          <w:szCs w:val="16"/>
          <w:color w:val="auto"/>
        </w:rPr>
      </w:pPr>
    </w:p>
    <w:p>
      <w:pPr>
        <w:ind w:left="599" w:right="24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1997, the Company acquired the approximately two-thirds interest in Miracle Holdings which the Company did not already own, for $46.6. Miracle Holdings owns Miracle Garden Care Limited ("MGC"), a manufacturer and distributor of lawn and garden products in the U.K.</w:t>
      </w:r>
    </w:p>
    <w:p>
      <w:pPr>
        <w:spacing w:after="0" w:line="186" w:lineRule="exact"/>
        <w:rPr>
          <w:rFonts w:ascii="Courier New" w:cs="Courier New" w:eastAsia="Courier New" w:hAnsi="Courier New"/>
          <w:sz w:val="16"/>
          <w:szCs w:val="16"/>
          <w:color w:val="auto"/>
        </w:rPr>
      </w:pPr>
    </w:p>
    <w:p>
      <w:pPr>
        <w:ind w:left="599"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fiscal 1998 the Company also invested in or acquired other entities relative to its long term strategic plan. These investments include Scotts Lawn Service, Sanford Scientific, Inc. (genetics) and the U.S. Home and Garden Consumer Products Business of AgrEvo Environmental Health, Inc. (pesticides).</w:t>
      </w:r>
    </w:p>
    <w:p>
      <w:pPr>
        <w:spacing w:after="0" w:line="185" w:lineRule="exact"/>
        <w:rPr>
          <w:rFonts w:ascii="Courier New" w:cs="Courier New" w:eastAsia="Courier New" w:hAnsi="Courier New"/>
          <w:sz w:val="16"/>
          <w:szCs w:val="16"/>
          <w:color w:val="auto"/>
        </w:rPr>
      </w:pPr>
    </w:p>
    <w:p>
      <w:pPr>
        <w:ind w:left="599"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above acquisitions was accounted for under the purchase method of accounting. Due to the materiality of Levington, Earthgro and Miracle Holdings, the following pro forma results of operations are provided and give effect to these acquisitions as if they had occurred October 1, 1996.</w:t>
      </w:r>
    </w:p>
    <w:p>
      <w:pPr>
        <w:spacing w:after="0" w:line="187" w:lineRule="exact"/>
        <w:rPr>
          <w:sz w:val="20"/>
          <w:szCs w:val="20"/>
          <w:color w:val="auto"/>
        </w:rPr>
      </w:pPr>
    </w:p>
    <w:tbl>
      <w:tblPr>
        <w:tblLayout w:type="fixed"/>
        <w:tblInd w:w="779"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Nine Months Ended</w:t>
            </w:r>
          </w:p>
        </w:tc>
        <w:tc>
          <w:tcPr>
            <w:tcW w:w="780" w:type="dxa"/>
            <w:vAlign w:val="bottom"/>
          </w:tcPr>
          <w:p>
            <w:pPr>
              <w:spacing w:after="0"/>
              <w:rPr>
                <w:sz w:val="16"/>
                <w:szCs w:val="16"/>
                <w:color w:val="auto"/>
              </w:rPr>
            </w:pPr>
          </w:p>
        </w:tc>
      </w:tr>
      <w:tr>
        <w:trPr>
          <w:trHeight w:val="190"/>
        </w:trPr>
        <w:tc>
          <w:tcPr>
            <w:tcW w:w="4000" w:type="dxa"/>
            <w:vAlign w:val="bottom"/>
          </w:tcPr>
          <w:p>
            <w:pPr>
              <w:spacing w:after="0"/>
              <w:rPr>
                <w:sz w:val="16"/>
                <w:szCs w:val="16"/>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000" w:type="dxa"/>
            <w:vAlign w:val="bottom"/>
          </w:tcPr>
          <w:p>
            <w:pPr>
              <w:spacing w:after="0"/>
              <w:rPr>
                <w:sz w:val="16"/>
                <w:szCs w:val="16"/>
                <w:color w:val="auto"/>
              </w:rPr>
            </w:pP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July 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June 28,</w:t>
            </w:r>
          </w:p>
        </w:tc>
      </w:tr>
      <w:tr>
        <w:trPr>
          <w:trHeight w:val="190"/>
        </w:trPr>
        <w:tc>
          <w:tcPr>
            <w:tcW w:w="4000" w:type="dxa"/>
            <w:vAlign w:val="bottom"/>
          </w:tcPr>
          <w:p>
            <w:pPr>
              <w:spacing w:after="0"/>
              <w:rPr>
                <w:sz w:val="16"/>
                <w:szCs w:val="16"/>
                <w:color w:val="auto"/>
              </w:rPr>
            </w:pPr>
          </w:p>
        </w:tc>
        <w:tc>
          <w:tcPr>
            <w:tcW w:w="2320" w:type="dxa"/>
            <w:vAlign w:val="bottom"/>
          </w:tcPr>
          <w:p>
            <w:pPr>
              <w:jc w:val="right"/>
              <w:ind w:right="1398"/>
              <w:spacing w:after="0"/>
              <w:rPr>
                <w:sz w:val="20"/>
                <w:szCs w:val="20"/>
                <w:color w:val="auto"/>
              </w:rPr>
            </w:pPr>
            <w:r>
              <w:rPr>
                <w:rFonts w:ascii="Courier New" w:cs="Courier New" w:eastAsia="Courier New" w:hAnsi="Courier New"/>
                <w:sz w:val="16"/>
                <w:szCs w:val="16"/>
                <w:color w:val="auto"/>
              </w:rPr>
              <w:t>1998</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4000" w:type="dxa"/>
            <w:vAlign w:val="bottom"/>
          </w:tcPr>
          <w:p>
            <w:pPr>
              <w:spacing w:after="0"/>
              <w:rPr>
                <w:sz w:val="16"/>
                <w:szCs w:val="16"/>
                <w:color w:val="auto"/>
              </w:rPr>
            </w:pPr>
          </w:p>
        </w:tc>
        <w:tc>
          <w:tcPr>
            <w:tcW w:w="2320" w:type="dxa"/>
            <w:vAlign w:val="bottom"/>
          </w:tcPr>
          <w:p>
            <w:pPr>
              <w:jc w:val="right"/>
              <w:ind w:right="139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569"/>
        </w:trPr>
        <w:tc>
          <w:tcPr>
            <w:tcW w:w="40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$945.3</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$864.2</w:t>
            </w:r>
          </w:p>
        </w:tc>
      </w:tr>
      <w:tr>
        <w:trPr>
          <w:trHeight w:val="190"/>
        </w:trPr>
        <w:tc>
          <w:tcPr>
            <w:tcW w:w="4000" w:type="dxa"/>
            <w:vAlign w:val="bottom"/>
          </w:tcPr>
          <w:p>
            <w:pPr>
              <w:spacing w:after="0"/>
              <w:rPr>
                <w:sz w:val="16"/>
                <w:szCs w:val="16"/>
                <w:color w:val="auto"/>
              </w:rPr>
            </w:pP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0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$ 50.3</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$ 44.0</w:t>
            </w:r>
          </w:p>
        </w:tc>
      </w:tr>
      <w:tr>
        <w:trPr>
          <w:trHeight w:val="190"/>
        </w:trPr>
        <w:tc>
          <w:tcPr>
            <w:tcW w:w="4000" w:type="dxa"/>
            <w:vAlign w:val="bottom"/>
          </w:tcPr>
          <w:p>
            <w:pPr>
              <w:spacing w:after="0"/>
              <w:rPr>
                <w:sz w:val="16"/>
                <w:szCs w:val="16"/>
                <w:color w:val="auto"/>
              </w:rPr>
            </w:pP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400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Before extraordinary loss</w:t>
            </w: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$ 2.34</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$ 1.97</w:t>
            </w:r>
          </w:p>
        </w:tc>
      </w:tr>
      <w:tr>
        <w:trPr>
          <w:trHeight w:val="190"/>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Extraordinary loss, net of income</w:t>
            </w:r>
          </w:p>
        </w:tc>
        <w:tc>
          <w:tcPr>
            <w:tcW w:w="2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4000" w:type="dxa"/>
            <w:vAlign w:val="bottom"/>
          </w:tcPr>
          <w:p>
            <w:pPr>
              <w:ind w:left="800"/>
              <w:spacing w:after="0"/>
              <w:rPr>
                <w:sz w:val="20"/>
                <w:szCs w:val="20"/>
                <w:color w:val="auto"/>
              </w:rPr>
            </w:pPr>
            <w:r>
              <w:rPr>
                <w:rFonts w:ascii="Courier New" w:cs="Courier New" w:eastAsia="Courier New" w:hAnsi="Courier New"/>
                <w:sz w:val="16"/>
                <w:szCs w:val="16"/>
                <w:color w:val="auto"/>
              </w:rPr>
              <w:t>tax benefit</w:t>
            </w: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0.04</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000" w:type="dxa"/>
            <w:vAlign w:val="bottom"/>
          </w:tcPr>
          <w:p>
            <w:pPr>
              <w:spacing w:after="0"/>
              <w:rPr>
                <w:sz w:val="16"/>
                <w:szCs w:val="16"/>
                <w:color w:val="auto"/>
              </w:rPr>
            </w:pP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Basic earnings per share</w:t>
            </w: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$ 2.30</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$ 1.97</w:t>
            </w:r>
          </w:p>
        </w:tc>
      </w:tr>
      <w:tr>
        <w:trPr>
          <w:trHeight w:val="190"/>
        </w:trPr>
        <w:tc>
          <w:tcPr>
            <w:tcW w:w="4000" w:type="dxa"/>
            <w:vAlign w:val="bottom"/>
          </w:tcPr>
          <w:p>
            <w:pPr>
              <w:spacing w:after="0"/>
              <w:rPr>
                <w:sz w:val="16"/>
                <w:szCs w:val="16"/>
                <w:color w:val="auto"/>
              </w:rPr>
            </w:pP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40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Before extraordinary loss</w:t>
            </w: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$ 1.68</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$ 1.50</w:t>
            </w:r>
          </w:p>
        </w:tc>
      </w:tr>
      <w:tr>
        <w:trPr>
          <w:trHeight w:val="190"/>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Extraordinary loss, net of income</w:t>
            </w:r>
          </w:p>
        </w:tc>
        <w:tc>
          <w:tcPr>
            <w:tcW w:w="2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4000" w:type="dxa"/>
            <w:vAlign w:val="bottom"/>
          </w:tcPr>
          <w:p>
            <w:pPr>
              <w:ind w:left="800"/>
              <w:spacing w:after="0"/>
              <w:rPr>
                <w:sz w:val="20"/>
                <w:szCs w:val="20"/>
                <w:color w:val="auto"/>
              </w:rPr>
            </w:pPr>
            <w:r>
              <w:rPr>
                <w:rFonts w:ascii="Courier New" w:cs="Courier New" w:eastAsia="Courier New" w:hAnsi="Courier New"/>
                <w:sz w:val="16"/>
                <w:szCs w:val="16"/>
                <w:color w:val="auto"/>
              </w:rPr>
              <w:t>tax benefit</w:t>
            </w: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0.02</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000" w:type="dxa"/>
            <w:vAlign w:val="bottom"/>
          </w:tcPr>
          <w:p>
            <w:pPr>
              <w:spacing w:after="0"/>
              <w:rPr>
                <w:sz w:val="16"/>
                <w:szCs w:val="16"/>
                <w:color w:val="auto"/>
              </w:rPr>
            </w:pP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000" w:type="dxa"/>
            <w:vAlign w:val="bottom"/>
          </w:tcPr>
          <w:p>
            <w:pPr>
              <w:ind w:left="400"/>
              <w:spacing w:after="0"/>
              <w:rPr>
                <w:sz w:val="20"/>
                <w:szCs w:val="20"/>
                <w:color w:val="auto"/>
              </w:rPr>
            </w:pPr>
            <w:r>
              <w:rPr>
                <w:rFonts w:ascii="Courier New" w:cs="Courier New" w:eastAsia="Courier New" w:hAnsi="Courier New"/>
                <w:sz w:val="16"/>
                <w:szCs w:val="16"/>
                <w:color w:val="auto"/>
              </w:rPr>
              <w:t>Diluted earnings per share</w:t>
            </w: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$ 1.66</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$ 1.50</w:t>
            </w:r>
          </w:p>
        </w:tc>
      </w:tr>
      <w:tr>
        <w:trPr>
          <w:trHeight w:val="190"/>
        </w:trPr>
        <w:tc>
          <w:tcPr>
            <w:tcW w:w="4000" w:type="dxa"/>
            <w:vAlign w:val="bottom"/>
          </w:tcPr>
          <w:p>
            <w:pPr>
              <w:spacing w:after="0"/>
              <w:rPr>
                <w:sz w:val="16"/>
                <w:szCs w:val="16"/>
                <w:color w:val="auto"/>
              </w:rPr>
            </w:pPr>
          </w:p>
        </w:tc>
        <w:tc>
          <w:tcPr>
            <w:tcW w:w="23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left="599" w:right="2339"/>
        <w:spacing w:after="0" w:line="252" w:lineRule="auto"/>
        <w:rPr>
          <w:sz w:val="20"/>
          <w:szCs w:val="20"/>
          <w:color w:val="auto"/>
        </w:rPr>
      </w:pPr>
      <w:r>
        <w:rPr>
          <w:rFonts w:ascii="Courier New" w:cs="Courier New" w:eastAsia="Courier New" w:hAnsi="Courier New"/>
          <w:sz w:val="16"/>
          <w:szCs w:val="16"/>
          <w:color w:val="auto"/>
        </w:rPr>
        <w:t>The pro forma information does not purport to be indicative of actual results of operations if the Earthgro, Levington and Miracle Holdings acquisitions had occurred as of October 1, 1996, and is not intended to be indicative of future results or trends.</w:t>
      </w:r>
    </w:p>
    <w:p>
      <w:pPr>
        <w:spacing w:after="0" w:line="187" w:lineRule="exact"/>
        <w:rPr>
          <w:sz w:val="20"/>
          <w:szCs w:val="20"/>
          <w:color w:val="auto"/>
        </w:rPr>
      </w:pPr>
    </w:p>
    <w:p>
      <w:pPr>
        <w:ind w:left="3639"/>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218"/>
          </w:cols>
          <w:pgMar w:left="241" w:top="306" w:right="1440" w:bottom="809"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Notes to Consolidated Financial Statements (all</w:t>
      </w:r>
    </w:p>
    <w:p>
      <w:pPr>
        <w:spacing w:after="0" w:line="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amounts are in millions except per share data or as otherwise noted)</w:t>
      </w:r>
    </w:p>
    <w:p>
      <w:pPr>
        <w:spacing w:after="0" w:line="388" w:lineRule="exact"/>
        <w:rPr>
          <w:sz w:val="20"/>
          <w:szCs w:val="20"/>
          <w:color w:val="auto"/>
        </w:rPr>
      </w:pPr>
    </w:p>
    <w:p>
      <w:pPr>
        <w:ind w:left="600" w:hanging="599"/>
        <w:spacing w:after="0"/>
        <w:tabs>
          <w:tab w:leader="none" w:pos="6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97" w:lineRule="exact"/>
        <w:rPr>
          <w:rFonts w:ascii="Courier New" w:cs="Courier New" w:eastAsia="Courier New" w:hAnsi="Courier New"/>
          <w:sz w:val="16"/>
          <w:szCs w:val="16"/>
          <w:color w:val="auto"/>
        </w:rPr>
      </w:pPr>
    </w:p>
    <w:p>
      <w:pPr>
        <w:ind w:left="600" w:right="86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of $8.7, $9.1 and $12.3, respectively, consisted of:</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July 4,</w:t>
            </w:r>
          </w:p>
        </w:tc>
        <w:tc>
          <w:tcPr>
            <w:tcW w:w="1320" w:type="dxa"/>
            <w:vAlign w:val="bottom"/>
          </w:tcPr>
          <w:p>
            <w:pPr>
              <w:jc w:val="center"/>
              <w:ind w:left="458"/>
              <w:spacing w:after="0"/>
              <w:rPr>
                <w:sz w:val="20"/>
                <w:szCs w:val="20"/>
                <w:color w:val="auto"/>
              </w:rPr>
            </w:pPr>
            <w:r>
              <w:rPr>
                <w:rFonts w:ascii="Courier New" w:cs="Courier New" w:eastAsia="Courier New" w:hAnsi="Courier New"/>
                <w:sz w:val="16"/>
                <w:szCs w:val="16"/>
                <w:color w:val="auto"/>
              </w:rPr>
              <w:t>June 28,</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center"/>
              <w:ind w:left="458"/>
              <w:spacing w:after="0"/>
              <w:rPr>
                <w:sz w:val="20"/>
                <w:szCs w:val="20"/>
                <w:color w:val="auto"/>
              </w:rPr>
            </w:pPr>
            <w:r>
              <w:rPr>
                <w:rFonts w:ascii="Courier New" w:cs="Courier New" w:eastAsia="Courier New" w:hAnsi="Courier New"/>
                <w:sz w:val="16"/>
                <w:szCs w:val="16"/>
                <w:color w:val="auto"/>
                <w:w w:val="98"/>
              </w:rPr>
              <w:t>1997</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ind w:left="458"/>
              <w:spacing w:after="0"/>
              <w:rPr>
                <w:sz w:val="20"/>
                <w:szCs w:val="20"/>
                <w:color w:val="auto"/>
              </w:rPr>
            </w:pPr>
            <w:r>
              <w:rPr>
                <w:rFonts w:ascii="Courier New" w:cs="Courier New" w:eastAsia="Courier New" w:hAnsi="Courier New"/>
                <w:sz w:val="16"/>
                <w:szCs w:val="16"/>
                <w:color w:val="auto"/>
                <w:w w:val="98"/>
              </w:rPr>
              <w:t>----</w:t>
            </w:r>
          </w:p>
        </w:tc>
      </w:tr>
      <w:tr>
        <w:trPr>
          <w:trHeight w:val="569"/>
        </w:trPr>
        <w:tc>
          <w:tcPr>
            <w:tcW w:w="400" w:type="dxa"/>
            <w:vAlign w:val="bottom"/>
          </w:tcPr>
          <w:p>
            <w:pPr>
              <w:spacing w:after="0"/>
              <w:rPr>
                <w:sz w:val="24"/>
                <w:szCs w:val="24"/>
                <w:color w:val="auto"/>
              </w:rPr>
            </w:pPr>
          </w:p>
        </w:tc>
        <w:tc>
          <w:tcPr>
            <w:tcW w:w="4480" w:type="dxa"/>
            <w:vAlign w:val="bottom"/>
          </w:tcPr>
          <w:p>
            <w:pPr>
              <w:ind w:left="300"/>
              <w:spacing w:after="0"/>
              <w:rPr>
                <w:sz w:val="20"/>
                <w:szCs w:val="20"/>
                <w:color w:val="auto"/>
              </w:rPr>
            </w:pPr>
            <w:r>
              <w:rPr>
                <w:rFonts w:ascii="Courier New" w:cs="Courier New" w:eastAsia="Courier New" w:hAnsi="Courier New"/>
                <w:sz w:val="16"/>
                <w:szCs w:val="16"/>
                <w:color w:val="auto"/>
              </w:rPr>
              <w:t>Finished goods</w:t>
            </w: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$108.7</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$102.9</w:t>
            </w:r>
          </w:p>
        </w:tc>
      </w:tr>
      <w:tr>
        <w:trPr>
          <w:trHeight w:val="190"/>
        </w:trPr>
        <w:tc>
          <w:tcPr>
            <w:tcW w:w="400" w:type="dxa"/>
            <w:vAlign w:val="bottom"/>
          </w:tcPr>
          <w:p>
            <w:pPr>
              <w:spacing w:after="0"/>
              <w:rPr>
                <w:sz w:val="16"/>
                <w:szCs w:val="16"/>
                <w:color w:val="auto"/>
              </w:rPr>
            </w:pPr>
          </w:p>
        </w:tc>
        <w:tc>
          <w:tcPr>
            <w:tcW w:w="4480" w:type="dxa"/>
            <w:vAlign w:val="bottom"/>
          </w:tcPr>
          <w:p>
            <w:pPr>
              <w:ind w:left="300"/>
              <w:spacing w:after="0"/>
              <w:rPr>
                <w:sz w:val="20"/>
                <w:szCs w:val="20"/>
                <w:color w:val="auto"/>
              </w:rPr>
            </w:pPr>
            <w:r>
              <w:rPr>
                <w:rFonts w:ascii="Courier New" w:cs="Courier New" w:eastAsia="Courier New" w:hAnsi="Courier New"/>
                <w:sz w:val="16"/>
                <w:szCs w:val="16"/>
                <w:color w:val="auto"/>
              </w:rPr>
              <w:t>Raw materials</w:t>
            </w: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56.6</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49.7</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$165.3</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$152.6</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4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3"/>
              </w:rPr>
              <w:t>4.</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Long-Term Debt</w:t>
            </w: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9"/>
        </w:trPr>
        <w:tc>
          <w:tcPr>
            <w:tcW w:w="4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July 4,</w:t>
            </w:r>
          </w:p>
        </w:tc>
        <w:tc>
          <w:tcPr>
            <w:tcW w:w="1320" w:type="dxa"/>
            <w:vAlign w:val="bottom"/>
          </w:tcPr>
          <w:p>
            <w:pPr>
              <w:jc w:val="center"/>
              <w:ind w:left="458"/>
              <w:spacing w:after="0"/>
              <w:rPr>
                <w:sz w:val="20"/>
                <w:szCs w:val="20"/>
                <w:color w:val="auto"/>
              </w:rPr>
            </w:pPr>
            <w:r>
              <w:rPr>
                <w:rFonts w:ascii="Courier New" w:cs="Courier New" w:eastAsia="Courier New" w:hAnsi="Courier New"/>
                <w:sz w:val="16"/>
                <w:szCs w:val="16"/>
                <w:color w:val="auto"/>
              </w:rPr>
              <w:t>June 28,</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center"/>
              <w:ind w:left="458"/>
              <w:spacing w:after="0"/>
              <w:rPr>
                <w:sz w:val="20"/>
                <w:szCs w:val="20"/>
                <w:color w:val="auto"/>
              </w:rPr>
            </w:pPr>
            <w:r>
              <w:rPr>
                <w:rFonts w:ascii="Courier New" w:cs="Courier New" w:eastAsia="Courier New" w:hAnsi="Courier New"/>
                <w:sz w:val="16"/>
                <w:szCs w:val="16"/>
                <w:color w:val="auto"/>
                <w:w w:val="98"/>
              </w:rPr>
              <w:t>1997</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ind w:left="458"/>
              <w:spacing w:after="0"/>
              <w:rPr>
                <w:sz w:val="20"/>
                <w:szCs w:val="20"/>
                <w:color w:val="auto"/>
              </w:rPr>
            </w:pPr>
            <w:r>
              <w:rPr>
                <w:rFonts w:ascii="Courier New" w:cs="Courier New" w:eastAsia="Courier New" w:hAnsi="Courier New"/>
                <w:sz w:val="16"/>
                <w:szCs w:val="16"/>
                <w:color w:val="auto"/>
                <w:w w:val="98"/>
              </w:rPr>
              <w:t>----</w:t>
            </w:r>
          </w:p>
        </w:tc>
      </w:tr>
      <w:tr>
        <w:trPr>
          <w:trHeight w:val="379"/>
        </w:trPr>
        <w:tc>
          <w:tcPr>
            <w:tcW w:w="400" w:type="dxa"/>
            <w:vAlign w:val="bottom"/>
          </w:tcPr>
          <w:p>
            <w:pPr>
              <w:spacing w:after="0"/>
              <w:rPr>
                <w:sz w:val="24"/>
                <w:szCs w:val="24"/>
                <w:color w:val="auto"/>
              </w:rPr>
            </w:pPr>
          </w:p>
        </w:tc>
        <w:tc>
          <w:tcPr>
            <w:tcW w:w="4480" w:type="dxa"/>
            <w:vAlign w:val="bottom"/>
          </w:tcPr>
          <w:p>
            <w:pPr>
              <w:ind w:left="300"/>
              <w:spacing w:after="0"/>
              <w:rPr>
                <w:sz w:val="20"/>
                <w:szCs w:val="20"/>
                <w:color w:val="auto"/>
              </w:rPr>
            </w:pPr>
            <w:r>
              <w:rPr>
                <w:rFonts w:ascii="Courier New" w:cs="Courier New" w:eastAsia="Courier New" w:hAnsi="Courier New"/>
                <w:sz w:val="16"/>
                <w:szCs w:val="16"/>
                <w:color w:val="auto"/>
              </w:rPr>
              <w:t>Revolving credit line</w:t>
            </w: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$225.7</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$141.9</w:t>
            </w:r>
          </w:p>
        </w:tc>
      </w:tr>
      <w:tr>
        <w:trPr>
          <w:trHeight w:val="190"/>
        </w:trPr>
        <w:tc>
          <w:tcPr>
            <w:tcW w:w="400" w:type="dxa"/>
            <w:vAlign w:val="bottom"/>
          </w:tcPr>
          <w:p>
            <w:pPr>
              <w:spacing w:after="0"/>
              <w:rPr>
                <w:sz w:val="16"/>
                <w:szCs w:val="16"/>
                <w:color w:val="auto"/>
              </w:rPr>
            </w:pPr>
          </w:p>
        </w:tc>
        <w:tc>
          <w:tcPr>
            <w:tcW w:w="4480" w:type="dxa"/>
            <w:vAlign w:val="bottom"/>
          </w:tcPr>
          <w:p>
            <w:pPr>
              <w:ind w:left="300"/>
              <w:spacing w:after="0"/>
              <w:rPr>
                <w:sz w:val="20"/>
                <w:szCs w:val="20"/>
                <w:color w:val="auto"/>
              </w:rPr>
            </w:pPr>
            <w:r>
              <w:rPr>
                <w:rFonts w:ascii="Courier New" w:cs="Courier New" w:eastAsia="Courier New" w:hAnsi="Courier New"/>
                <w:sz w:val="16"/>
                <w:szCs w:val="16"/>
                <w:color w:val="auto"/>
              </w:rPr>
              <w:t>9 7/8% Senior Subordinated Notes</w:t>
            </w: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4480" w:type="dxa"/>
            <w:vAlign w:val="bottom"/>
          </w:tcPr>
          <w:p>
            <w:pPr>
              <w:ind w:left="680"/>
              <w:spacing w:after="0"/>
              <w:rPr>
                <w:sz w:val="20"/>
                <w:szCs w:val="20"/>
                <w:color w:val="auto"/>
              </w:rPr>
            </w:pPr>
            <w:r>
              <w:rPr>
                <w:rFonts w:ascii="Courier New" w:cs="Courier New" w:eastAsia="Courier New" w:hAnsi="Courier New"/>
                <w:sz w:val="16"/>
                <w:szCs w:val="16"/>
                <w:color w:val="auto"/>
              </w:rPr>
              <w:t>$100.0 face amount (net of</w:t>
            </w:r>
          </w:p>
        </w:tc>
        <w:tc>
          <w:tcPr>
            <w:tcW w:w="19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4480" w:type="dxa"/>
            <w:vAlign w:val="bottom"/>
          </w:tcPr>
          <w:p>
            <w:pPr>
              <w:ind w:left="680"/>
              <w:spacing w:after="0"/>
              <w:rPr>
                <w:sz w:val="20"/>
                <w:szCs w:val="20"/>
                <w:color w:val="auto"/>
              </w:rPr>
            </w:pPr>
            <w:r>
              <w:rPr>
                <w:rFonts w:ascii="Courier New" w:cs="Courier New" w:eastAsia="Courier New" w:hAnsi="Courier New"/>
                <w:sz w:val="16"/>
                <w:szCs w:val="16"/>
                <w:color w:val="auto"/>
              </w:rPr>
              <w:t>unamortized discount)</w:t>
            </w: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99.5</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99.4</w:t>
            </w:r>
          </w:p>
        </w:tc>
      </w:tr>
      <w:tr>
        <w:trPr>
          <w:trHeight w:val="190"/>
        </w:trPr>
        <w:tc>
          <w:tcPr>
            <w:tcW w:w="400" w:type="dxa"/>
            <w:vAlign w:val="bottom"/>
          </w:tcPr>
          <w:p>
            <w:pPr>
              <w:spacing w:after="0"/>
              <w:rPr>
                <w:sz w:val="16"/>
                <w:szCs w:val="16"/>
                <w:color w:val="auto"/>
              </w:rPr>
            </w:pPr>
          </w:p>
        </w:tc>
        <w:tc>
          <w:tcPr>
            <w:tcW w:w="4480" w:type="dxa"/>
            <w:vAlign w:val="bottom"/>
          </w:tcPr>
          <w:p>
            <w:pPr>
              <w:ind w:left="300"/>
              <w:spacing w:after="0"/>
              <w:rPr>
                <w:sz w:val="20"/>
                <w:szCs w:val="20"/>
                <w:color w:val="auto"/>
              </w:rPr>
            </w:pPr>
            <w:r>
              <w:rPr>
                <w:rFonts w:ascii="Courier New" w:cs="Courier New" w:eastAsia="Courier New" w:hAnsi="Courier New"/>
                <w:sz w:val="16"/>
                <w:szCs w:val="16"/>
                <w:color w:val="auto"/>
              </w:rPr>
              <w:t>Capital lease obligations and other</w:t>
            </w: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5.8</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0.1</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331.0</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241.4</w:t>
            </w:r>
          </w:p>
        </w:tc>
      </w:tr>
      <w:tr>
        <w:trPr>
          <w:trHeight w:val="190"/>
        </w:trPr>
        <w:tc>
          <w:tcPr>
            <w:tcW w:w="400" w:type="dxa"/>
            <w:vAlign w:val="bottom"/>
          </w:tcPr>
          <w:p>
            <w:pPr>
              <w:spacing w:after="0"/>
              <w:rPr>
                <w:sz w:val="16"/>
                <w:szCs w:val="16"/>
                <w:color w:val="auto"/>
              </w:rPr>
            </w:pPr>
          </w:p>
        </w:tc>
        <w:tc>
          <w:tcPr>
            <w:tcW w:w="4480" w:type="dxa"/>
            <w:vAlign w:val="bottom"/>
          </w:tcPr>
          <w:p>
            <w:pPr>
              <w:ind w:left="300"/>
              <w:spacing w:after="0"/>
              <w:rPr>
                <w:sz w:val="20"/>
                <w:szCs w:val="20"/>
                <w:color w:val="auto"/>
              </w:rPr>
            </w:pPr>
            <w:r>
              <w:rPr>
                <w:rFonts w:ascii="Courier New" w:cs="Courier New" w:eastAsia="Courier New" w:hAnsi="Courier New"/>
                <w:sz w:val="16"/>
                <w:szCs w:val="16"/>
                <w:color w:val="auto"/>
              </w:rPr>
              <w:t>Less current portions</w:t>
            </w: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3.4</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$327.6</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$239.8</w:t>
            </w:r>
          </w:p>
        </w:tc>
      </w:t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600" w:right="480"/>
        <w:spacing w:after="0" w:line="255" w:lineRule="auto"/>
        <w:rPr>
          <w:sz w:val="20"/>
          <w:szCs w:val="20"/>
          <w:color w:val="auto"/>
        </w:rPr>
      </w:pPr>
      <w:r>
        <w:rPr>
          <w:rFonts w:ascii="Courier New" w:cs="Courier New" w:eastAsia="Courier New" w:hAnsi="Courier New"/>
          <w:sz w:val="16"/>
          <w:szCs w:val="16"/>
          <w:color w:val="auto"/>
        </w:rPr>
        <w:t>Maturities of term debt and capital leases for the next five fiscal years are as follows: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90"/>
        </w:trPr>
        <w:tc>
          <w:tcPr>
            <w:tcW w:w="240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90"/>
        </w:trPr>
        <w:tc>
          <w:tcPr>
            <w:tcW w:w="240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90"/>
        </w:trPr>
        <w:tc>
          <w:tcPr>
            <w:tcW w:w="240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90"/>
        </w:trPr>
        <w:tc>
          <w:tcPr>
            <w:tcW w:w="240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90"/>
        </w:trPr>
        <w:tc>
          <w:tcPr>
            <w:tcW w:w="240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325.4</w:t>
            </w:r>
          </w:p>
        </w:tc>
      </w:tr>
    </w:tbl>
    <w:p>
      <w:pPr>
        <w:spacing w:after="0" w:line="194" w:lineRule="exact"/>
        <w:rPr>
          <w:sz w:val="20"/>
          <w:szCs w:val="20"/>
          <w:color w:val="auto"/>
        </w:rPr>
      </w:pPr>
    </w:p>
    <w:p>
      <w:pPr>
        <w:ind w:left="600" w:right="380"/>
        <w:spacing w:after="0" w:line="251" w:lineRule="auto"/>
        <w:rPr>
          <w:sz w:val="20"/>
          <w:szCs w:val="20"/>
          <w:color w:val="auto"/>
        </w:rPr>
      </w:pPr>
      <w:r>
        <w:rPr>
          <w:rFonts w:ascii="Courier New" w:cs="Courier New" w:eastAsia="Courier New" w:hAnsi="Courier New"/>
          <w:sz w:val="16"/>
          <w:szCs w:val="16"/>
          <w:color w:val="auto"/>
        </w:rPr>
        <w:t>On February 26, 1998, the Company replaced its existing credit facility with a senior unsecured revolving credit facility with The Chase Manhattan Bank ("Chase") and various participating banks. The new facility provides up to $550 to the Company, an increase of $125 over the previous facility, and establishes a $200 sub-tranche available in U.K. Pounds Sterling and a $50 sub-tranche available in other foreign currencies in which the Company transacts business. Interest pursuant to the competitive advance facility is determined by auction. Interest pursuant to the revolving credit facility is at a floating rate initially equal, at the Company's option, to the Alternate Base Rate, as defined, without additional margin, or the Eurodollar Rate, as defined, plus a margin of .30% per annum, which margin may be decreased to .20% or increased up to .50% based on the unsecured debt ratings of the Company. The new facility provides for the payment of a facility fee of .15% per annum, which fee may be reduced to .10% or increased up to .375% based on the unsecured debt ratings of the Company. The agreement contains certain financial and operating covenants, including maintenance of interest coverage and leverage ratios, as well as restrictions on capital expenditures. All other provisions of the credit facility remain substantially the same as the extinguished facility.</w:t>
      </w:r>
    </w:p>
    <w:p>
      <w:pPr>
        <w:spacing w:after="0" w:line="190" w:lineRule="exact"/>
        <w:rPr>
          <w:sz w:val="20"/>
          <w:szCs w:val="20"/>
          <w:color w:val="auto"/>
        </w:rPr>
      </w:pPr>
    </w:p>
    <w:p>
      <w:pPr>
        <w:ind w:left="600" w:right="560"/>
        <w:spacing w:after="0" w:line="253" w:lineRule="auto"/>
        <w:rPr>
          <w:sz w:val="20"/>
          <w:szCs w:val="20"/>
          <w:color w:val="auto"/>
        </w:rPr>
      </w:pPr>
      <w:r>
        <w:rPr>
          <w:rFonts w:ascii="Courier New" w:cs="Courier New" w:eastAsia="Courier New" w:hAnsi="Courier New"/>
          <w:sz w:val="16"/>
          <w:szCs w:val="16"/>
          <w:color w:val="auto"/>
        </w:rPr>
        <w:t>In conjunction with the early extinguishment of the existing credit facility, the Company recorded an extraordinary loss of $1.2 ($0.7 after tax) related to the write-off of unamortized deferred financing costs.</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0" w:hanging="492"/>
        <w:spacing w:after="0" w:line="251" w:lineRule="auto"/>
        <w:rPr>
          <w:sz w:val="20"/>
          <w:szCs w:val="20"/>
          <w:color w:val="auto"/>
        </w:rPr>
      </w:pPr>
      <w:r>
        <w:rPr>
          <w:rFonts w:ascii="Courier New" w:cs="Courier New" w:eastAsia="Courier New" w:hAnsi="Courier New"/>
          <w:sz w:val="16"/>
          <w:szCs w:val="16"/>
          <w:color w:val="auto"/>
        </w:rPr>
        <w:t>September 30, 1997</w:t>
      </w:r>
    </w:p>
    <w:p>
      <w:pPr>
        <w:ind w:left="48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6"/>
          <w:szCs w:val="16"/>
          <w:color w:val="auto"/>
        </w:rPr>
        <w:t>$102.8</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6"/>
          <w:szCs w:val="16"/>
          <w:color w:val="auto"/>
        </w:rPr>
        <w:t>43.3</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$146.1</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0" w:hanging="492"/>
        <w:spacing w:after="0" w:line="251" w:lineRule="auto"/>
        <w:rPr>
          <w:sz w:val="20"/>
          <w:szCs w:val="20"/>
          <w:color w:val="auto"/>
        </w:rPr>
      </w:pPr>
      <w:r>
        <w:rPr>
          <w:rFonts w:ascii="Courier New" w:cs="Courier New" w:eastAsia="Courier New" w:hAnsi="Courier New"/>
          <w:sz w:val="16"/>
          <w:szCs w:val="16"/>
          <w:color w:val="auto"/>
        </w:rPr>
        <w:t>September 30, 1997</w:t>
      </w:r>
    </w:p>
    <w:p>
      <w:pPr>
        <w:ind w:left="4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$121.8</w:t>
      </w:r>
    </w:p>
    <w:p>
      <w:pPr>
        <w:spacing w:after="0" w:line="38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6"/>
          <w:szCs w:val="16"/>
          <w:color w:val="auto"/>
        </w:rPr>
        <w:t>99.4</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6"/>
          <w:szCs w:val="16"/>
          <w:color w:val="auto"/>
        </w:rPr>
        <w:t>0.1</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6"/>
          <w:szCs w:val="16"/>
          <w:color w:val="auto"/>
        </w:rPr>
        <w:t>221.3</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6"/>
          <w:szCs w:val="16"/>
          <w:color w:val="auto"/>
        </w:rPr>
        <w:t>1.5</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$219.8</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260" w:space="720"/>
            <w:col w:w="1280"/>
          </w:cols>
          <w:pgMar w:left="240" w:top="306" w:right="1399" w:bottom="5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Notes to Consolidated Financial Statements (all</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amounts are in millions except per share data or as otherwise noted)</w:t>
      </w:r>
    </w:p>
    <w:p>
      <w:pPr>
        <w:spacing w:after="0" w:line="198" w:lineRule="exact"/>
        <w:rPr>
          <w:sz w:val="20"/>
          <w:szCs w:val="20"/>
          <w:color w:val="auto"/>
        </w:rPr>
      </w:pPr>
    </w:p>
    <w:p>
      <w:pPr>
        <w:ind w:left="600" w:hanging="599"/>
        <w:spacing w:after="0"/>
        <w:tabs>
          <w:tab w:leader="none" w:pos="6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w:t>
      </w:r>
    </w:p>
    <w:p>
      <w:pPr>
        <w:spacing w:after="0" w:line="197" w:lineRule="exact"/>
        <w:rPr>
          <w:rFonts w:ascii="Courier New" w:cs="Courier New" w:eastAsia="Courier New" w:hAnsi="Courier New"/>
          <w:sz w:val="16"/>
          <w:szCs w:val="16"/>
          <w:color w:val="auto"/>
        </w:rPr>
      </w:pPr>
    </w:p>
    <w:p>
      <w:pPr>
        <w:ind w:left="600" w:right="31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the first quarter of fiscal 1998, the Company adopted Statement of Financial Accounting Standards No. 128, "Earnings Per Share" ("FAS 128"), which establishes standards for computing and presenting earnings per share ("EPS"). FAS 128 requires the presentation of basic and diluted EPS. Basic EPS is computed by dividing income applicable to common shareholders by the weighted average number of common shares outstanding during the period. Diluted EPS is computed by dividing net income by the weighted-average number of common shares outstanding and dilutive common share equivalents.</w:t>
      </w:r>
    </w:p>
    <w:p>
      <w:pPr>
        <w:spacing w:after="0" w:line="189" w:lineRule="exact"/>
        <w:rPr>
          <w:rFonts w:ascii="Courier New" w:cs="Courier New" w:eastAsia="Courier New" w:hAnsi="Courier New"/>
          <w:sz w:val="16"/>
          <w:szCs w:val="16"/>
          <w:color w:val="auto"/>
        </w:rPr>
      </w:pPr>
    </w:p>
    <w:p>
      <w:pPr>
        <w:ind w:left="600" w:right="316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information necessary to calculate basic and diluted earnings per common share.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60" w:type="dxa"/>
            <w:vAlign w:val="bottom"/>
            <w:gridSpan w:val="3"/>
          </w:tcPr>
          <w:p>
            <w:pPr>
              <w:jc w:val="right"/>
              <w:ind w:right="758"/>
              <w:spacing w:after="0"/>
              <w:rPr>
                <w:sz w:val="20"/>
                <w:szCs w:val="20"/>
                <w:color w:val="auto"/>
              </w:rPr>
            </w:pPr>
            <w:r>
              <w:rPr>
                <w:rFonts w:ascii="Courier New" w:cs="Courier New" w:eastAsia="Courier New" w:hAnsi="Courier New"/>
                <w:sz w:val="16"/>
                <w:szCs w:val="16"/>
                <w:color w:val="auto"/>
              </w:rPr>
              <w:t>Three Months Ended</w:t>
            </w:r>
          </w:p>
        </w:tc>
        <w:tc>
          <w:tcPr>
            <w:tcW w:w="640" w:type="dxa"/>
            <w:vAlign w:val="bottom"/>
          </w:tcPr>
          <w:p>
            <w:pPr>
              <w:spacing w:after="0"/>
              <w:rPr>
                <w:sz w:val="16"/>
                <w:szCs w:val="16"/>
                <w:color w:val="auto"/>
              </w:rPr>
            </w:pPr>
          </w:p>
        </w:tc>
        <w:tc>
          <w:tcPr>
            <w:tcW w:w="2460" w:type="dxa"/>
            <w:vAlign w:val="bottom"/>
            <w:gridSpan w:val="3"/>
          </w:tcPr>
          <w:p>
            <w:pPr>
              <w:jc w:val="right"/>
              <w:ind w:right="31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4240" w:type="dxa"/>
            <w:vAlign w:val="bottom"/>
          </w:tcPr>
          <w:p>
            <w:pPr>
              <w:spacing w:after="0"/>
              <w:rPr>
                <w:sz w:val="16"/>
                <w:szCs w:val="16"/>
                <w:color w:val="auto"/>
              </w:rPr>
            </w:pPr>
          </w:p>
        </w:tc>
        <w:tc>
          <w:tcPr>
            <w:tcW w:w="3600" w:type="dxa"/>
            <w:vAlign w:val="bottom"/>
            <w:gridSpan w:val="4"/>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31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40" w:type="dxa"/>
            <w:vAlign w:val="bottom"/>
          </w:tcPr>
          <w:p>
            <w:pPr>
              <w:spacing w:after="0"/>
              <w:rPr>
                <w:sz w:val="16"/>
                <w:szCs w:val="16"/>
                <w:color w:val="auto"/>
              </w:rPr>
            </w:pPr>
          </w:p>
        </w:tc>
        <w:tc>
          <w:tcPr>
            <w:tcW w:w="18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July 4,</w:t>
            </w:r>
          </w:p>
        </w:tc>
        <w:tc>
          <w:tcPr>
            <w:tcW w:w="17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June 28,</w:t>
            </w:r>
          </w:p>
        </w:tc>
        <w:tc>
          <w:tcPr>
            <w:tcW w:w="17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July 4,</w:t>
            </w:r>
          </w:p>
        </w:tc>
        <w:tc>
          <w:tcPr>
            <w:tcW w:w="1320" w:type="dxa"/>
            <w:vAlign w:val="bottom"/>
            <w:gridSpan w:val="2"/>
          </w:tcPr>
          <w:p>
            <w:pPr>
              <w:ind w:left="540"/>
              <w:spacing w:after="0"/>
              <w:rPr>
                <w:sz w:val="20"/>
                <w:szCs w:val="20"/>
                <w:color w:val="auto"/>
              </w:rPr>
            </w:pPr>
            <w:r>
              <w:rPr>
                <w:rFonts w:ascii="Courier New" w:cs="Courier New" w:eastAsia="Courier New" w:hAnsi="Courier New"/>
                <w:sz w:val="16"/>
                <w:szCs w:val="16"/>
                <w:color w:val="auto"/>
                <w:w w:val="98"/>
              </w:rPr>
              <w:t>June 28,</w:t>
            </w:r>
          </w:p>
        </w:tc>
      </w:tr>
      <w:tr>
        <w:trPr>
          <w:trHeight w:val="190"/>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1998</w:t>
            </w:r>
          </w:p>
        </w:tc>
        <w:tc>
          <w:tcPr>
            <w:tcW w:w="580" w:type="dxa"/>
            <w:vAlign w:val="bottom"/>
          </w:tcPr>
          <w:p>
            <w:pPr>
              <w:spacing w:after="0"/>
              <w:rPr>
                <w:sz w:val="16"/>
                <w:szCs w:val="16"/>
                <w:color w:val="auto"/>
              </w:rPr>
            </w:pPr>
          </w:p>
        </w:tc>
        <w:tc>
          <w:tcPr>
            <w:tcW w:w="1140" w:type="dxa"/>
            <w:vAlign w:val="bottom"/>
          </w:tcPr>
          <w:p>
            <w:pPr>
              <w:jc w:val="right"/>
              <w:ind w:right="658"/>
              <w:spacing w:after="0"/>
              <w:rPr>
                <w:sz w:val="20"/>
                <w:szCs w:val="20"/>
                <w:color w:val="auto"/>
              </w:rPr>
            </w:pPr>
            <w:r>
              <w:rPr>
                <w:rFonts w:ascii="Courier New" w:cs="Courier New" w:eastAsia="Courier New" w:hAnsi="Courier New"/>
                <w:sz w:val="16"/>
                <w:szCs w:val="16"/>
                <w:color w:val="auto"/>
                <w:w w:val="98"/>
              </w:rPr>
              <w:t>1997</w:t>
            </w:r>
          </w:p>
        </w:tc>
        <w:tc>
          <w:tcPr>
            <w:tcW w:w="640" w:type="dxa"/>
            <w:vAlign w:val="bottom"/>
          </w:tcPr>
          <w:p>
            <w:pPr>
              <w:spacing w:after="0"/>
              <w:rPr>
                <w:sz w:val="16"/>
                <w:szCs w:val="16"/>
                <w:color w:val="auto"/>
              </w:rPr>
            </w:pPr>
          </w:p>
        </w:tc>
        <w:tc>
          <w:tcPr>
            <w:tcW w:w="1140" w:type="dxa"/>
            <w:vAlign w:val="bottom"/>
          </w:tcPr>
          <w:p>
            <w:pPr>
              <w:jc w:val="right"/>
              <w:ind w:right="658"/>
              <w:spacing w:after="0"/>
              <w:rPr>
                <w:sz w:val="20"/>
                <w:szCs w:val="20"/>
                <w:color w:val="auto"/>
              </w:rPr>
            </w:pPr>
            <w:r>
              <w:rPr>
                <w:rFonts w:ascii="Courier New" w:cs="Courier New" w:eastAsia="Courier New" w:hAnsi="Courier New"/>
                <w:sz w:val="16"/>
                <w:szCs w:val="16"/>
                <w:color w:val="auto"/>
                <w:w w:val="98"/>
              </w:rPr>
              <w:t>1998</w:t>
            </w:r>
          </w:p>
        </w:tc>
        <w:tc>
          <w:tcPr>
            <w:tcW w:w="640" w:type="dxa"/>
            <w:vAlign w:val="bottom"/>
          </w:tcPr>
          <w:p>
            <w:pPr>
              <w:spacing w:after="0"/>
              <w:rPr>
                <w:sz w:val="16"/>
                <w:szCs w:val="16"/>
                <w:color w:val="auto"/>
              </w:rPr>
            </w:pPr>
          </w:p>
        </w:tc>
        <w:tc>
          <w:tcPr>
            <w:tcW w:w="6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3"/>
              </w:rPr>
              <w:t>1997</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424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24.4</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21.1</w:t>
            </w:r>
          </w:p>
        </w:tc>
        <w:tc>
          <w:tcPr>
            <w:tcW w:w="640" w:type="dxa"/>
            <w:vAlign w:val="bottom"/>
          </w:tcPr>
          <w:p>
            <w:pPr>
              <w:ind w:left="54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52.3</w:t>
            </w:r>
          </w:p>
        </w:tc>
        <w:tc>
          <w:tcPr>
            <w:tcW w:w="640" w:type="dxa"/>
            <w:vAlign w:val="bottom"/>
          </w:tcPr>
          <w:p>
            <w:pPr>
              <w:ind w:left="5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43.0</w:t>
            </w:r>
          </w:p>
        </w:tc>
      </w:tr>
      <w:tr>
        <w:trPr>
          <w:trHeight w:val="190"/>
        </w:trPr>
        <w:tc>
          <w:tcPr>
            <w:tcW w:w="4240" w:type="dxa"/>
            <w:vAlign w:val="bottom"/>
          </w:tcPr>
          <w:p>
            <w:pPr>
              <w:spacing w:after="0"/>
              <w:rPr>
                <w:sz w:val="20"/>
                <w:szCs w:val="20"/>
                <w:color w:val="auto"/>
              </w:rPr>
            </w:pPr>
            <w:r>
              <w:rPr>
                <w:rFonts w:ascii="Courier New" w:cs="Courier New" w:eastAsia="Courier New" w:hAnsi="Courier New"/>
                <w:sz w:val="16"/>
                <w:szCs w:val="16"/>
                <w:color w:val="auto"/>
              </w:rPr>
              <w:t>Extraordinary loss on early</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extinguishment of debt, net of</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income tax benefit</w:t>
            </w:r>
          </w:p>
        </w:tc>
        <w:tc>
          <w:tcPr>
            <w:tcW w:w="74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0.7</w:t>
            </w:r>
          </w:p>
        </w:tc>
        <w:tc>
          <w:tcPr>
            <w:tcW w:w="640" w:type="dxa"/>
            <w:vAlign w:val="bottom"/>
          </w:tcPr>
          <w:p>
            <w:pPr>
              <w:spacing w:after="0"/>
              <w:rPr>
                <w:sz w:val="16"/>
                <w:szCs w:val="16"/>
                <w:color w:val="auto"/>
              </w:rPr>
            </w:pPr>
          </w:p>
        </w:tc>
        <w:tc>
          <w:tcPr>
            <w:tcW w:w="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2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740" w:type="dxa"/>
            <w:vAlign w:val="bottom"/>
          </w:tcPr>
          <w:p>
            <w:pPr>
              <w:spacing w:after="0"/>
              <w:rPr>
                <w:sz w:val="24"/>
                <w:szCs w:val="24"/>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24.4</w:t>
            </w:r>
          </w:p>
        </w:tc>
        <w:tc>
          <w:tcPr>
            <w:tcW w:w="580" w:type="dxa"/>
            <w:vAlign w:val="bottom"/>
          </w:tcPr>
          <w:p>
            <w:pPr>
              <w:spacing w:after="0"/>
              <w:rPr>
                <w:sz w:val="24"/>
                <w:szCs w:val="24"/>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21.1</w:t>
            </w:r>
          </w:p>
        </w:tc>
        <w:tc>
          <w:tcPr>
            <w:tcW w:w="640" w:type="dxa"/>
            <w:vAlign w:val="bottom"/>
          </w:tcPr>
          <w:p>
            <w:pPr>
              <w:spacing w:after="0"/>
              <w:rPr>
                <w:sz w:val="24"/>
                <w:szCs w:val="24"/>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51.6</w:t>
            </w:r>
          </w:p>
        </w:tc>
        <w:tc>
          <w:tcPr>
            <w:tcW w:w="6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43.0</w:t>
            </w:r>
          </w:p>
        </w:tc>
      </w:tr>
      <w:tr>
        <w:trPr>
          <w:trHeight w:val="190"/>
        </w:trPr>
        <w:tc>
          <w:tcPr>
            <w:tcW w:w="424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74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2.4</w:t>
            </w:r>
          </w:p>
        </w:tc>
        <w:tc>
          <w:tcPr>
            <w:tcW w:w="58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2.4</w:t>
            </w:r>
          </w:p>
        </w:tc>
        <w:tc>
          <w:tcPr>
            <w:tcW w:w="64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7.3</w:t>
            </w: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40" w:type="dxa"/>
            <w:vAlign w:val="bottom"/>
          </w:tcPr>
          <w:p>
            <w:pPr>
              <w:spacing w:after="0"/>
              <w:rPr>
                <w:sz w:val="20"/>
                <w:szCs w:val="20"/>
                <w:color w:val="auto"/>
              </w:rPr>
            </w:pPr>
            <w:r>
              <w:rPr>
                <w:rFonts w:ascii="Courier New" w:cs="Courier New" w:eastAsia="Courier New" w:hAnsi="Courier New"/>
                <w:sz w:val="16"/>
                <w:szCs w:val="16"/>
                <w:color w:val="auto"/>
              </w:rPr>
              <w:t>Income applicable to common</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shareholders</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22.0</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18.7</w:t>
            </w:r>
          </w:p>
        </w:tc>
        <w:tc>
          <w:tcPr>
            <w:tcW w:w="640" w:type="dxa"/>
            <w:vAlign w:val="bottom"/>
          </w:tcPr>
          <w:p>
            <w:pPr>
              <w:ind w:left="54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44.3</w:t>
            </w:r>
          </w:p>
        </w:tc>
        <w:tc>
          <w:tcPr>
            <w:tcW w:w="640" w:type="dxa"/>
            <w:vAlign w:val="bottom"/>
          </w:tcPr>
          <w:p>
            <w:pPr>
              <w:ind w:left="5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35.7</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240" w:type="dxa"/>
            <w:vAlign w:val="bottom"/>
          </w:tcPr>
          <w:p>
            <w:pPr>
              <w:spacing w:after="0"/>
              <w:rPr>
                <w:sz w:val="20"/>
                <w:szCs w:val="20"/>
                <w:color w:val="auto"/>
              </w:rPr>
            </w:pPr>
            <w:r>
              <w:rPr>
                <w:rFonts w:ascii="Courier New" w:cs="Courier New" w:eastAsia="Courier New" w:hAnsi="Courier New"/>
                <w:sz w:val="16"/>
                <w:szCs w:val="16"/>
                <w:color w:val="auto"/>
              </w:rPr>
              <w:t>Weighted-average common</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shares outstanding during</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the period</w:t>
            </w:r>
          </w:p>
        </w:tc>
        <w:tc>
          <w:tcPr>
            <w:tcW w:w="74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18.7</w:t>
            </w:r>
          </w:p>
        </w:tc>
        <w:tc>
          <w:tcPr>
            <w:tcW w:w="58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18.6</w:t>
            </w:r>
          </w:p>
        </w:tc>
        <w:tc>
          <w:tcPr>
            <w:tcW w:w="64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18.7</w:t>
            </w: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18.6</w:t>
            </w:r>
          </w:p>
        </w:tc>
      </w:tr>
      <w:tr>
        <w:trPr>
          <w:trHeight w:val="190"/>
        </w:trPr>
        <w:tc>
          <w:tcPr>
            <w:tcW w:w="4240" w:type="dxa"/>
            <w:vAlign w:val="bottom"/>
          </w:tcPr>
          <w:p>
            <w:pPr>
              <w:spacing w:after="0"/>
              <w:rPr>
                <w:sz w:val="20"/>
                <w:szCs w:val="20"/>
                <w:color w:val="auto"/>
              </w:rPr>
            </w:pPr>
            <w:r>
              <w:rPr>
                <w:rFonts w:ascii="Courier New" w:cs="Courier New" w:eastAsia="Courier New" w:hAnsi="Courier New"/>
                <w:sz w:val="16"/>
                <w:szCs w:val="16"/>
                <w:color w:val="auto"/>
              </w:rPr>
              <w:t>Assuming conversion of Class A</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Convertible Preferred Stock</w:t>
            </w:r>
          </w:p>
        </w:tc>
        <w:tc>
          <w:tcPr>
            <w:tcW w:w="74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10.3</w:t>
            </w:r>
          </w:p>
        </w:tc>
        <w:tc>
          <w:tcPr>
            <w:tcW w:w="58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10.3</w:t>
            </w:r>
          </w:p>
        </w:tc>
        <w:tc>
          <w:tcPr>
            <w:tcW w:w="64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10.3</w:t>
            </w: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90"/>
        </w:trPr>
        <w:tc>
          <w:tcPr>
            <w:tcW w:w="4240" w:type="dxa"/>
            <w:vAlign w:val="bottom"/>
          </w:tcPr>
          <w:p>
            <w:pPr>
              <w:spacing w:after="0"/>
              <w:rPr>
                <w:sz w:val="20"/>
                <w:szCs w:val="20"/>
                <w:color w:val="auto"/>
              </w:rPr>
            </w:pPr>
            <w:r>
              <w:rPr>
                <w:rFonts w:ascii="Courier New" w:cs="Courier New" w:eastAsia="Courier New" w:hAnsi="Courier New"/>
                <w:sz w:val="16"/>
                <w:szCs w:val="16"/>
                <w:color w:val="auto"/>
              </w:rPr>
              <w:t>Assuming exercise of warrants</w:t>
            </w:r>
          </w:p>
        </w:tc>
        <w:tc>
          <w:tcPr>
            <w:tcW w:w="74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0.9</w:t>
            </w:r>
          </w:p>
        </w:tc>
        <w:tc>
          <w:tcPr>
            <w:tcW w:w="58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0.2</w:t>
            </w:r>
          </w:p>
        </w:tc>
        <w:tc>
          <w:tcPr>
            <w:tcW w:w="64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0.6</w:t>
            </w: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90"/>
        </w:trPr>
        <w:tc>
          <w:tcPr>
            <w:tcW w:w="4240" w:type="dxa"/>
            <w:vAlign w:val="bottom"/>
          </w:tcPr>
          <w:p>
            <w:pPr>
              <w:spacing w:after="0"/>
              <w:rPr>
                <w:sz w:val="20"/>
                <w:szCs w:val="20"/>
                <w:color w:val="auto"/>
              </w:rPr>
            </w:pPr>
            <w:r>
              <w:rPr>
                <w:rFonts w:ascii="Courier New" w:cs="Courier New" w:eastAsia="Courier New" w:hAnsi="Courier New"/>
                <w:sz w:val="16"/>
                <w:szCs w:val="16"/>
                <w:color w:val="auto"/>
              </w:rPr>
              <w:t>Assuming exercise of options</w:t>
            </w:r>
          </w:p>
        </w:tc>
        <w:tc>
          <w:tcPr>
            <w:tcW w:w="74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0.7</w:t>
            </w:r>
          </w:p>
        </w:tc>
        <w:tc>
          <w:tcPr>
            <w:tcW w:w="58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0.8</w:t>
            </w:r>
          </w:p>
        </w:tc>
        <w:tc>
          <w:tcPr>
            <w:tcW w:w="64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0.7</w:t>
            </w: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240" w:type="dxa"/>
            <w:vAlign w:val="bottom"/>
          </w:tcPr>
          <w:p>
            <w:pPr>
              <w:spacing w:after="0"/>
              <w:rPr>
                <w:sz w:val="20"/>
                <w:szCs w:val="20"/>
                <w:color w:val="auto"/>
              </w:rPr>
            </w:pPr>
            <w:r>
              <w:rPr>
                <w:rFonts w:ascii="Courier New" w:cs="Courier New" w:eastAsia="Courier New" w:hAnsi="Courier New"/>
                <w:sz w:val="16"/>
                <w:szCs w:val="16"/>
                <w:color w:val="auto"/>
              </w:rPr>
              <w:t>Weighted-average number of</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common shares outstanding</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and dilutive common share</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equivalents</w:t>
            </w:r>
          </w:p>
        </w:tc>
        <w:tc>
          <w:tcPr>
            <w:tcW w:w="74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30.6</w:t>
            </w:r>
          </w:p>
        </w:tc>
        <w:tc>
          <w:tcPr>
            <w:tcW w:w="58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29.9</w:t>
            </w:r>
          </w:p>
        </w:tc>
        <w:tc>
          <w:tcPr>
            <w:tcW w:w="64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30.3</w:t>
            </w: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29.3</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2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Before extraordinary loss</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1.18</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1.01</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2.41</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Extraordinary loss, net of</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4240" w:type="dxa"/>
            <w:vAlign w:val="bottom"/>
          </w:tcPr>
          <w:p>
            <w:pPr>
              <w:ind w:left="780"/>
              <w:spacing w:after="0"/>
              <w:rPr>
                <w:sz w:val="20"/>
                <w:szCs w:val="20"/>
                <w:color w:val="auto"/>
              </w:rPr>
            </w:pPr>
            <w:r>
              <w:rPr>
                <w:rFonts w:ascii="Courier New" w:cs="Courier New" w:eastAsia="Courier New" w:hAnsi="Courier New"/>
                <w:sz w:val="16"/>
                <w:szCs w:val="16"/>
                <w:color w:val="auto"/>
              </w:rPr>
              <w:t>income tax benefit</w:t>
            </w:r>
          </w:p>
        </w:tc>
        <w:tc>
          <w:tcPr>
            <w:tcW w:w="74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0.04</w:t>
            </w: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Basic earnings per share</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1.18</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1.01</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2.37</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24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Before extraordinary loss</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0.80</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0.71</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1.72</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Extraordinary loss, net of income</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4240" w:type="dxa"/>
            <w:vAlign w:val="bottom"/>
          </w:tcPr>
          <w:p>
            <w:pPr>
              <w:ind w:left="780"/>
              <w:spacing w:after="0"/>
              <w:rPr>
                <w:sz w:val="20"/>
                <w:szCs w:val="20"/>
                <w:color w:val="auto"/>
              </w:rPr>
            </w:pPr>
            <w:r>
              <w:rPr>
                <w:rFonts w:ascii="Courier New" w:cs="Courier New" w:eastAsia="Courier New" w:hAnsi="Courier New"/>
                <w:sz w:val="16"/>
                <w:szCs w:val="16"/>
                <w:color w:val="auto"/>
              </w:rPr>
              <w:t>tax benefit</w:t>
            </w:r>
          </w:p>
        </w:tc>
        <w:tc>
          <w:tcPr>
            <w:tcW w:w="74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0.02</w:t>
            </w:r>
          </w:p>
        </w:tc>
        <w:tc>
          <w:tcPr>
            <w:tcW w:w="6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40" w:type="dxa"/>
            <w:vAlign w:val="bottom"/>
          </w:tcPr>
          <w:p>
            <w:pPr>
              <w:ind w:left="400"/>
              <w:spacing w:after="0"/>
              <w:rPr>
                <w:sz w:val="20"/>
                <w:szCs w:val="20"/>
                <w:color w:val="auto"/>
              </w:rPr>
            </w:pPr>
            <w:r>
              <w:rPr>
                <w:rFonts w:ascii="Courier New" w:cs="Courier New" w:eastAsia="Courier New" w:hAnsi="Courier New"/>
                <w:sz w:val="16"/>
                <w:szCs w:val="16"/>
                <w:color w:val="auto"/>
              </w:rPr>
              <w:t>Diluted earnings per share</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0.80</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0.71</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1.70</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190"/>
        </w:trPr>
        <w:tc>
          <w:tcPr>
            <w:tcW w:w="4240" w:type="dxa"/>
            <w:vAlign w:val="bottom"/>
          </w:tcPr>
          <w:p>
            <w:pPr>
              <w:spacing w:after="0"/>
              <w:rPr>
                <w:sz w:val="16"/>
                <w:szCs w:val="16"/>
                <w:color w:val="auto"/>
              </w:rPr>
            </w:pPr>
          </w:p>
        </w:tc>
        <w:tc>
          <w:tcPr>
            <w:tcW w:w="18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940"/>
          </w:cols>
          <w:pgMar w:left="240" w:top="306" w:right="7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940"/>
          </w:cols>
          <w:pgMar w:left="240" w:top="306" w:right="719" w:bottom="0" w:gutter="0" w:footer="0" w:header="0"/>
          <w:type w:val="continuous"/>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299"/>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5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8" w:lineRule="exact"/>
        <w:rPr>
          <w:sz w:val="20"/>
          <w:szCs w:val="20"/>
          <w:color w:val="auto"/>
        </w:rPr>
      </w:pPr>
    </w:p>
    <w:p>
      <w:pPr>
        <w:ind w:left="187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8" w:lineRule="exact"/>
        <w:rPr>
          <w:sz w:val="20"/>
          <w:szCs w:val="20"/>
          <w:color w:val="auto"/>
        </w:rPr>
      </w:pPr>
    </w:p>
    <w:p>
      <w:pPr>
        <w:ind w:left="299"/>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388" w:lineRule="exact"/>
        <w:rPr>
          <w:sz w:val="20"/>
          <w:szCs w:val="20"/>
          <w:color w:val="auto"/>
        </w:rPr>
      </w:pPr>
    </w:p>
    <w:p>
      <w:pPr>
        <w:ind w:left="599" w:hanging="599"/>
        <w:spacing w:after="0"/>
        <w:tabs>
          <w:tab w:leader="none" w:pos="59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97" w:lineRule="exact"/>
        <w:rPr>
          <w:rFonts w:ascii="Courier New" w:cs="Courier New" w:eastAsia="Courier New" w:hAnsi="Courier New"/>
          <w:sz w:val="16"/>
          <w:szCs w:val="16"/>
          <w:color w:val="auto"/>
        </w:rPr>
      </w:pPr>
    </w:p>
    <w:p>
      <w:pPr>
        <w:ind w:left="599"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are the more significant of the Company's identified contingencies.</w:t>
      </w:r>
    </w:p>
    <w:p>
      <w:pPr>
        <w:spacing w:after="0" w:line="189" w:lineRule="exact"/>
        <w:rPr>
          <w:rFonts w:ascii="Courier New" w:cs="Courier New" w:eastAsia="Courier New" w:hAnsi="Courier New"/>
          <w:sz w:val="16"/>
          <w:szCs w:val="16"/>
          <w:color w:val="auto"/>
        </w:rPr>
      </w:pPr>
    </w:p>
    <w:p>
      <w:pPr>
        <w:ind w:left="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OHIO ENVIRONMENTAL PROTECTION AGENCY</w:t>
      </w:r>
    </w:p>
    <w:p>
      <w:pPr>
        <w:spacing w:after="0" w:line="197" w:lineRule="exact"/>
        <w:rPr>
          <w:rFonts w:ascii="Courier New" w:cs="Courier New" w:eastAsia="Courier New" w:hAnsi="Courier New"/>
          <w:sz w:val="16"/>
          <w:szCs w:val="16"/>
          <w:color w:val="auto"/>
        </w:rPr>
      </w:pPr>
    </w:p>
    <w:p>
      <w:pPr>
        <w:ind w:left="599"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assessing and, as required, addressing certain environmental issues regarding the wastewater treatment plants currently operating at the Marysville facility. The company is proceding with plans to connect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189" w:lineRule="exact"/>
        <w:rPr>
          <w:rFonts w:ascii="Courier New" w:cs="Courier New" w:eastAsia="Courier New" w:hAnsi="Courier New"/>
          <w:sz w:val="16"/>
          <w:szCs w:val="16"/>
          <w:color w:val="auto"/>
        </w:rPr>
      </w:pPr>
    </w:p>
    <w:p>
      <w:pPr>
        <w:ind w:left="5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subsequently met on several occasions, and continue to meet, to discuss these issues.</w:t>
      </w:r>
    </w:p>
    <w:p>
      <w:pPr>
        <w:spacing w:after="0" w:line="189" w:lineRule="exact"/>
        <w:rPr>
          <w:rFonts w:ascii="Courier New" w:cs="Courier New" w:eastAsia="Courier New" w:hAnsi="Courier New"/>
          <w:sz w:val="16"/>
          <w:szCs w:val="16"/>
          <w:color w:val="auto"/>
        </w:rPr>
      </w:pPr>
    </w:p>
    <w:p>
      <w:pPr>
        <w:ind w:left="5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covers many of the same issues contained in the draft F&amp;O including RCRA corrective action.</w:t>
      </w:r>
    </w:p>
    <w:p>
      <w:pPr>
        <w:spacing w:after="0" w:line="189" w:lineRule="exact"/>
        <w:rPr>
          <w:rFonts w:ascii="Courier New" w:cs="Courier New" w:eastAsia="Courier New" w:hAnsi="Courier New"/>
          <w:sz w:val="16"/>
          <w:szCs w:val="16"/>
          <w:color w:val="auto"/>
        </w:rPr>
      </w:pPr>
    </w:p>
    <w:p>
      <w:pPr>
        <w:ind w:left="5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 No hearing date has been set for the appeal.</w:t>
      </w:r>
    </w:p>
    <w:p>
      <w:pPr>
        <w:spacing w:after="0" w:line="189" w:lineRule="exact"/>
        <w:rPr>
          <w:rFonts w:ascii="Courier New" w:cs="Courier New" w:eastAsia="Courier New" w:hAnsi="Courier New"/>
          <w:sz w:val="16"/>
          <w:szCs w:val="16"/>
          <w:color w:val="auto"/>
        </w:rPr>
      </w:pPr>
    </w:p>
    <w:p>
      <w:pPr>
        <w:ind w:left="599"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continuing to meet with the OAG and the OEPA in an effort to negotiate an amicable resolution of these issues but is unable at this stage to predict the outcome of the negotiations. The Company believes that it has viable defenses to the State's enforcement action, including that it had been proceeding under VAP to address certain environmental issues, and will assert those defenses in any such action.</w:t>
      </w:r>
    </w:p>
    <w:p>
      <w:pPr>
        <w:spacing w:after="0" w:line="379" w:lineRule="exact"/>
        <w:rPr>
          <w:sz w:val="20"/>
          <w:szCs w:val="20"/>
          <w:color w:val="auto"/>
        </w:rPr>
      </w:pPr>
    </w:p>
    <w:p>
      <w:pPr>
        <w:ind w:left="3639"/>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218"/>
          </w:cols>
          <w:pgMar w:left="241" w:top="30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198" w:lineRule="exact"/>
        <w:rPr>
          <w:sz w:val="20"/>
          <w:szCs w:val="20"/>
          <w:color w:val="auto"/>
        </w:rPr>
      </w:pPr>
    </w:p>
    <w:p>
      <w:pPr>
        <w:ind w:left="300" w:right="2339"/>
        <w:spacing w:after="0" w:line="252" w:lineRule="auto"/>
        <w:rPr>
          <w:sz w:val="20"/>
          <w:szCs w:val="20"/>
          <w:color w:val="auto"/>
        </w:rPr>
      </w:pPr>
      <w:r>
        <w:rPr>
          <w:rFonts w:ascii="Courier New" w:cs="Courier New" w:eastAsia="Courier New" w:hAnsi="Courier New"/>
          <w:sz w:val="16"/>
          <w:szCs w:val="16"/>
          <w:color w:val="auto"/>
        </w:rPr>
        <w:t>The Company does not believe the ultimate outcome of any proceedings which may result from the OEPA's referral of these matters to the OAG will have a material adverse effect on the business or the financial condition of the Company but is unable, at this stage, to predict the outcome of the issues. Many of the issues raised by the State are already being investigated and addressed by the Company during the normal course of conducting business.</w:t>
      </w:r>
    </w:p>
    <w:p>
      <w:pPr>
        <w:spacing w:after="0" w:line="37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LAFAYETTE</w:t>
      </w:r>
    </w:p>
    <w:p>
      <w:pPr>
        <w:spacing w:after="0" w:line="198" w:lineRule="exact"/>
        <w:rPr>
          <w:sz w:val="20"/>
          <w:szCs w:val="20"/>
          <w:color w:val="auto"/>
        </w:rPr>
      </w:pPr>
    </w:p>
    <w:p>
      <w:pPr>
        <w:ind w:left="300" w:right="2339"/>
        <w:spacing w:after="0" w:line="251"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immaterial comments from the government were received in June 1998, and final agreement is expected in September, 1998.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38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HERSHBERGER</w:t>
      </w:r>
    </w:p>
    <w:p>
      <w:pPr>
        <w:spacing w:after="0" w:line="198" w:lineRule="exact"/>
        <w:rPr>
          <w:sz w:val="20"/>
          <w:szCs w:val="20"/>
          <w:color w:val="auto"/>
        </w:rPr>
      </w:pPr>
    </w:p>
    <w:p>
      <w:pPr>
        <w:ind w:left="300" w:right="2339"/>
        <w:spacing w:after="0" w:line="251" w:lineRule="auto"/>
        <w:rPr>
          <w:sz w:val="20"/>
          <w:szCs w:val="20"/>
          <w:color w:val="auto"/>
        </w:rPr>
      </w:pPr>
      <w:r>
        <w:rPr>
          <w:rFonts w:ascii="Courier New" w:cs="Courier New" w:eastAsia="Courier New" w:hAnsi="Courier New"/>
          <w:sz w:val="16"/>
          <w:szCs w:val="16"/>
          <w:color w:val="auto"/>
        </w:rPr>
        <w:t>In September 1991, the Company was identified by the OEPA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("AOC") with the OEPA, by which the named PRPs will fund remedial action at the Hershberger site. After construction of the leachate collection system and reconstruction of the landfill cap, which is anticipated to be completed by August 1998, the Company expects its obligation thereafter to consist primarily of its share of annual operating and maintenance expenses. Management does not believe that its obligations under the AOC will have a material adverse effect on the Company's results of operations or financial condition.</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YEAR 2000</w:t>
      </w:r>
    </w:p>
    <w:p>
      <w:pPr>
        <w:spacing w:after="0" w:line="198" w:lineRule="exact"/>
        <w:rPr>
          <w:sz w:val="20"/>
          <w:szCs w:val="20"/>
          <w:color w:val="auto"/>
        </w:rPr>
      </w:pPr>
    </w:p>
    <w:p>
      <w:pPr>
        <w:ind w:left="300" w:right="2519"/>
        <w:spacing w:after="0" w:line="252" w:lineRule="auto"/>
        <w:rPr>
          <w:sz w:val="20"/>
          <w:szCs w:val="20"/>
          <w:color w:val="auto"/>
        </w:rPr>
      </w:pPr>
      <w:r>
        <w:rPr>
          <w:rFonts w:ascii="Courier New" w:cs="Courier New" w:eastAsia="Courier New" w:hAnsi="Courier New"/>
          <w:sz w:val="16"/>
          <w:szCs w:val="16"/>
          <w:color w:val="auto"/>
        </w:rPr>
        <w:t>The Company is addressing exposures related to the Year 2000 issue. Key financial, information and operational systems have been assessed and plans developed in order to mitigate the Year 2000 issue. These plans include conversion of in-house developed software, upgrades to purchased software</w:t>
      </w:r>
    </w:p>
    <w:p>
      <w:pPr>
        <w:spacing w:after="0" w:line="37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Page 11</w:t>
      </w:r>
    </w:p>
    <w:p>
      <w:pPr>
        <w:sectPr>
          <w:pgSz w:w="11900" w:h="16838" w:orient="portrait"/>
          <w:cols w:equalWidth="0" w:num="1">
            <w:col w:w="9919"/>
          </w:cols>
          <w:pgMar w:left="540" w:top="306" w:right="1440" w:bottom="1440" w:gutter="0" w:footer="0" w:header="0"/>
        </w:sectPr>
      </w:pPr>
    </w:p>
    <w:bookmarkStart w:id="14" w:name="page15"/>
    <w:bookmarkEnd w:id="14"/>
    <w:p>
      <w:pPr>
        <w:ind w:left="299"/>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77" w:lineRule="exact"/>
        <w:rPr>
          <w:sz w:val="20"/>
          <w:szCs w:val="20"/>
          <w:color w:val="auto"/>
        </w:rPr>
      </w:pPr>
    </w:p>
    <w:p>
      <w:pPr>
        <w:ind w:left="499" w:right="2339"/>
        <w:spacing w:after="0" w:line="251" w:lineRule="auto"/>
        <w:rPr>
          <w:sz w:val="20"/>
          <w:szCs w:val="20"/>
          <w:color w:val="auto"/>
        </w:rPr>
      </w:pPr>
      <w:r>
        <w:rPr>
          <w:rFonts w:ascii="Courier New" w:cs="Courier New" w:eastAsia="Courier New" w:hAnsi="Courier New"/>
          <w:sz w:val="16"/>
          <w:szCs w:val="16"/>
          <w:color w:val="auto"/>
        </w:rPr>
        <w:t>and confirmation with trading partners as to their Year 2000 state of readiness. The Company engaged outside consultants to review the Company's plans for addressing the Year 2000 issue and, as a result, established executive sponsorship and a Program Office to oversee Company-wide efforts. Such efforts are currently in various stages of completion. The Company estimates the cost of mitigating the entire Year 2000 issue to be in the range of $5 to $7 million, the majority of which will be recorded as expense. Through the third quarter of fiscal 1998, the Company has spent approximately $1 million toward these efforts.</w:t>
      </w:r>
    </w:p>
    <w:p>
      <w:pPr>
        <w:spacing w:after="0" w:line="190" w:lineRule="exact"/>
        <w:rPr>
          <w:sz w:val="20"/>
          <w:szCs w:val="20"/>
          <w:color w:val="auto"/>
        </w:rPr>
      </w:pPr>
    </w:p>
    <w:p>
      <w:pPr>
        <w:ind w:left="499" w:right="2339"/>
        <w:spacing w:after="0" w:line="252" w:lineRule="auto"/>
        <w:rPr>
          <w:sz w:val="20"/>
          <w:szCs w:val="20"/>
          <w:color w:val="auto"/>
        </w:rPr>
      </w:pPr>
      <w:r>
        <w:rPr>
          <w:rFonts w:ascii="Courier New" w:cs="Courier New" w:eastAsia="Courier New" w:hAnsi="Courier New"/>
          <w:sz w:val="16"/>
          <w:szCs w:val="16"/>
          <w:color w:val="auto"/>
        </w:rPr>
        <w:t>Management believes its plans will adequately address the Year 2000 issue. However, if such conversions and upgrades are not adequately made or timely completed, the Year 2000 issue could have a material impact on the operations of the Company and its financial results.</w:t>
      </w:r>
    </w:p>
    <w:p>
      <w:pPr>
        <w:spacing w:after="0" w:line="187" w:lineRule="exact"/>
        <w:rPr>
          <w:sz w:val="20"/>
          <w:szCs w:val="20"/>
          <w:color w:val="auto"/>
        </w:rPr>
      </w:pPr>
    </w:p>
    <w:p>
      <w:pPr>
        <w:ind w:left="499"/>
        <w:spacing w:after="0"/>
        <w:rPr>
          <w:sz w:val="20"/>
          <w:szCs w:val="20"/>
          <w:color w:val="auto"/>
        </w:rPr>
      </w:pPr>
      <w:r>
        <w:rPr>
          <w:rFonts w:ascii="Courier New" w:cs="Courier New" w:eastAsia="Courier New" w:hAnsi="Courier New"/>
          <w:sz w:val="16"/>
          <w:szCs w:val="16"/>
          <w:color w:val="auto"/>
        </w:rPr>
        <w:t>EURO</w:t>
      </w:r>
    </w:p>
    <w:p>
      <w:pPr>
        <w:spacing w:after="0" w:line="198" w:lineRule="exact"/>
        <w:rPr>
          <w:sz w:val="20"/>
          <w:szCs w:val="20"/>
          <w:color w:val="auto"/>
        </w:rPr>
      </w:pPr>
    </w:p>
    <w:p>
      <w:pPr>
        <w:ind w:left="499" w:right="2339"/>
        <w:spacing w:after="0" w:line="251" w:lineRule="auto"/>
        <w:rPr>
          <w:sz w:val="20"/>
          <w:szCs w:val="20"/>
          <w:color w:val="auto"/>
        </w:rPr>
      </w:pPr>
      <w:r>
        <w:rPr>
          <w:rFonts w:ascii="Courier New" w:cs="Courier New" w:eastAsia="Courier New" w:hAnsi="Courier New"/>
          <w:sz w:val="16"/>
          <w:szCs w:val="16"/>
          <w:color w:val="auto"/>
        </w:rPr>
        <w:t>Beginning in January 1999, a new currency called the "euro" is scheduled to be introduced in certain Economic and Monetary Union ("EMU") countries. During 2002, all EMU countries are expected to be operating with the euro as their single currency. Uncertainty exists as to the effects the euro currency will have on the marketplace. Additionally, all of the final rules and regulations have not yet been defined and finalized by the European Commission with regard to the euro currency. The Company is still assessing the impact the EMU formation will have on its internal systems and the sale of its products. The Company expects to take appropriate actions based on the results of such assessment. The Company has not yet determined the cost related to addressing this issue and there can be no assurance that this issue and its related costs will not have a materially adverse effect on the Company's business, operating results and financial condition.</w:t>
      </w:r>
    </w:p>
    <w:p>
      <w:pPr>
        <w:spacing w:after="0" w:line="190" w:lineRule="exact"/>
        <w:rPr>
          <w:sz w:val="20"/>
          <w:szCs w:val="20"/>
          <w:color w:val="auto"/>
        </w:rPr>
      </w:pPr>
    </w:p>
    <w:p>
      <w:pPr>
        <w:ind w:left="499" w:hanging="499"/>
        <w:spacing w:after="0"/>
        <w:tabs>
          <w:tab w:leader="none" w:pos="49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Standards</w:t>
      </w:r>
    </w:p>
    <w:p>
      <w:pPr>
        <w:spacing w:after="0" w:line="197" w:lineRule="exact"/>
        <w:rPr>
          <w:rFonts w:ascii="Courier New" w:cs="Courier New" w:eastAsia="Courier New" w:hAnsi="Courier New"/>
          <w:sz w:val="16"/>
          <w:szCs w:val="16"/>
          <w:color w:val="auto"/>
        </w:rPr>
      </w:pPr>
    </w:p>
    <w:p>
      <w:pPr>
        <w:ind w:left="499" w:right="25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the FASB issued SFAS No. 130, "Reporting Comprehensive Income" and SFAS No. 131, "Disclosures About Segments of an Enterprise and Related Information". In February 1998, the FASB issued SFAS No. 132, "Employers' Disclosure about Pensions and Other Postretirement Benefits." In August 1998, the FASB issued SFAS No. 133, "Accounting For Derivative Instruments and Hedging Activities." SFAS No. 130, 131 and 132 are effective for financial statements for fiscal years beginning after December 15, 1997. SFAS NO. 133 is effective for fiscal years beginning after June 15, 1999.</w:t>
      </w:r>
    </w:p>
    <w:p>
      <w:pPr>
        <w:spacing w:after="0" w:line="189" w:lineRule="exact"/>
        <w:rPr>
          <w:rFonts w:ascii="Courier New" w:cs="Courier New" w:eastAsia="Courier New" w:hAnsi="Courier New"/>
          <w:sz w:val="16"/>
          <w:szCs w:val="16"/>
          <w:color w:val="auto"/>
        </w:rPr>
      </w:pPr>
    </w:p>
    <w:p>
      <w:pPr>
        <w:ind w:left="4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 sources. It includes all changes in equity during a period except those resulting from investments by owners and distributions to owners. The Company believes the only significant differences between comprehensive income and currently reported income will be the impact of foreign currency translation. The Company plans to adopt SFAS No. 130 in fiscal 1999.</w:t>
      </w:r>
    </w:p>
    <w:p>
      <w:pPr>
        <w:spacing w:after="0" w:line="189" w:lineRule="exact"/>
        <w:rPr>
          <w:rFonts w:ascii="Courier New" w:cs="Courier New" w:eastAsia="Courier New" w:hAnsi="Courier New"/>
          <w:sz w:val="16"/>
          <w:szCs w:val="16"/>
          <w:color w:val="auto"/>
        </w:rPr>
      </w:pPr>
    </w:p>
    <w:p>
      <w:pPr>
        <w:ind w:left="4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The Company plans to adopt SFAS No. 131 in the first quarter of fiscal 1999; however, the Company believes that the business segments identified and set forth in Note 14 to the Company's fiscal 1997 Annual Report on Form 10-K are in substantial compliance with SFAS No. 131.</w:t>
      </w:r>
    </w:p>
    <w:p>
      <w:pPr>
        <w:spacing w:after="0" w:line="380" w:lineRule="exact"/>
        <w:rPr>
          <w:sz w:val="20"/>
          <w:szCs w:val="20"/>
          <w:color w:val="auto"/>
        </w:rPr>
      </w:pPr>
    </w:p>
    <w:p>
      <w:pPr>
        <w:ind w:left="3639"/>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10218"/>
          </w:cols>
          <w:pgMar w:left="241" w:top="306" w:right="1440" w:bottom="1440" w:gutter="0" w:footer="0" w:header="0"/>
        </w:sectPr>
      </w:pPr>
    </w:p>
    <w:bookmarkStart w:id="15" w:name="page16"/>
    <w:bookmarkEnd w:id="15"/>
    <w:p>
      <w:pPr>
        <w:ind w:left="299"/>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99" w:right="2439"/>
        <w:spacing w:after="0" w:line="251" w:lineRule="auto"/>
        <w:rPr>
          <w:sz w:val="20"/>
          <w:szCs w:val="20"/>
          <w:color w:val="auto"/>
        </w:rPr>
      </w:pPr>
      <w:r>
        <w:rPr>
          <w:rFonts w:ascii="Courier New" w:cs="Courier New" w:eastAsia="Courier New" w:hAnsi="Courier New"/>
          <w:sz w:val="16"/>
          <w:szCs w:val="16"/>
          <w:color w:val="auto"/>
        </w:rPr>
        <w:t>SFAS No. 132 revises employers' disclosures about pension and other postretirement benefit plans. It does not change the measurement or recognition of those plans. It standardizes the disclosure requirements for pensions and other postretirement benefits to the extent practicable, requires additional information on changes in the benefit obligations and fair values of plan assets that will facilitate financial analysis, and eliminates certain disclosures that are no longer useful. The Company plans to adopt SFAS No. 132 in fiscal 1999.</w:t>
      </w:r>
    </w:p>
    <w:p>
      <w:pPr>
        <w:spacing w:after="0" w:line="190" w:lineRule="exact"/>
        <w:rPr>
          <w:sz w:val="20"/>
          <w:szCs w:val="20"/>
          <w:color w:val="auto"/>
        </w:rPr>
      </w:pPr>
    </w:p>
    <w:p>
      <w:pPr>
        <w:ind w:left="599" w:right="2339"/>
        <w:spacing w:after="0" w:line="251" w:lineRule="auto"/>
        <w:rPr>
          <w:sz w:val="20"/>
          <w:szCs w:val="20"/>
          <w:color w:val="auto"/>
        </w:rPr>
      </w:pPr>
      <w:r>
        <w:rPr>
          <w:rFonts w:ascii="Courier New" w:cs="Courier New" w:eastAsia="Courier New" w:hAnsi="Courier New"/>
          <w:sz w:val="16"/>
          <w:szCs w:val="16"/>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2000.</w:t>
      </w:r>
    </w:p>
    <w:p>
      <w:pPr>
        <w:spacing w:after="0" w:line="379" w:lineRule="exact"/>
        <w:rPr>
          <w:sz w:val="20"/>
          <w:szCs w:val="20"/>
          <w:color w:val="auto"/>
        </w:rPr>
      </w:pPr>
    </w:p>
    <w:p>
      <w:pPr>
        <w:ind w:left="599" w:hanging="599"/>
        <w:spacing w:after="0"/>
        <w:tabs>
          <w:tab w:leader="none" w:pos="59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197" w:lineRule="exact"/>
        <w:rPr>
          <w:rFonts w:ascii="Courier New" w:cs="Courier New" w:eastAsia="Courier New" w:hAnsi="Courier New"/>
          <w:sz w:val="16"/>
          <w:szCs w:val="16"/>
          <w:color w:val="auto"/>
        </w:rPr>
      </w:pPr>
    </w:p>
    <w:p>
      <w:pPr>
        <w:ind w:left="5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25, 1998, the Company signed a letter of intent with Monsanto Company to acquire the assets of Monsanto's consumer lawn and garden businesses, exclusive of the RoundUp(R) business, for approximately $300 million. The acquired businesses include the Ortho(R) line of pesticides which encompasses brands such as Weed-B-Gone(R), Rose Pride(R) and Home Defense(R). As part of the agreement, the Company would also acquire Green Cross(R), a leading pesticides business in Canada. Separately, the Company signed a letter of intent with Monsanto for exclusive international marketing and agency rights to Monsanto's consumer RoundUp(R) herbicide products. The proposed agreement would cover most major consumer lawn and garden markets in the world, including the U.S., Canada, Germany, France, other parts of continental Europe, and Australia. The Company expects to consummate the transactions contemplated by the agreements in the first quarter of fiscal 1999.</w:t>
      </w:r>
    </w:p>
    <w:p>
      <w:pPr>
        <w:spacing w:after="0" w:line="190" w:lineRule="exact"/>
        <w:rPr>
          <w:rFonts w:ascii="Courier New" w:cs="Courier New" w:eastAsia="Courier New" w:hAnsi="Courier New"/>
          <w:sz w:val="16"/>
          <w:szCs w:val="16"/>
          <w:color w:val="auto"/>
        </w:rPr>
      </w:pPr>
    </w:p>
    <w:p>
      <w:pPr>
        <w:ind w:left="599"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July 10, 1998, the Company announced that it agreed to purchase Rhone-Poulenc Jardin, continental Europe's largest consumer lawn and garden products company, from Rhone-Poulenc. Separately, the Company announced that it had agreed to acquire ASEF, a privately-held Netherlands-based lawn and garden products company. The combined purchase price for these two separate transactions is approximately $220 million. The Company expects to consummate the transactions contemplated by the agreements late in the fourth quarter of fiscal 1998 or the first quarter of fiscal 1999.</w:t>
      </w:r>
    </w:p>
    <w:p>
      <w:pPr>
        <w:spacing w:after="0" w:line="200" w:lineRule="exact"/>
        <w:rPr>
          <w:sz w:val="20"/>
          <w:szCs w:val="20"/>
          <w:color w:val="auto"/>
        </w:rPr>
      </w:pPr>
    </w:p>
    <w:p>
      <w:pPr>
        <w:spacing w:after="0" w:line="369" w:lineRule="exact"/>
        <w:rPr>
          <w:sz w:val="20"/>
          <w:szCs w:val="20"/>
          <w:color w:val="auto"/>
        </w:rPr>
      </w:pPr>
    </w:p>
    <w:p>
      <w:pPr>
        <w:ind w:left="3639"/>
        <w:spacing w:after="0"/>
        <w:rPr>
          <w:sz w:val="20"/>
          <w:szCs w:val="20"/>
          <w:color w:val="auto"/>
        </w:rPr>
      </w:pPr>
      <w:r>
        <w:rPr>
          <w:rFonts w:ascii="Courier New" w:cs="Courier New" w:eastAsia="Courier New" w:hAnsi="Courier New"/>
          <w:sz w:val="16"/>
          <w:szCs w:val="16"/>
          <w:color w:val="auto"/>
        </w:rPr>
        <w:t>Page 13</w:t>
      </w:r>
    </w:p>
    <w:p>
      <w:pPr>
        <w:sectPr>
          <w:pgSz w:w="11900" w:h="16838" w:orient="portrait"/>
          <w:cols w:equalWidth="0" w:num="1">
            <w:col w:w="10218"/>
          </w:cols>
          <w:pgMar w:left="241" w:top="306"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640"/>
        <w:spacing w:after="0" w:line="253"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 (all amounts are in millions except per share data or as otherwise noted)</w:t>
      </w:r>
    </w:p>
    <w:p>
      <w:pPr>
        <w:spacing w:after="0" w:line="375" w:lineRule="exact"/>
        <w:rPr>
          <w:sz w:val="20"/>
          <w:szCs w:val="20"/>
          <w:color w:val="auto"/>
        </w:rPr>
      </w:pPr>
    </w:p>
    <w:p>
      <w:pPr>
        <w:ind w:right="2760"/>
        <w:spacing w:after="0" w:line="251"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cash flows and financial position of the Company should be read in conjunction with the Consolidated Financial Statements of the Company included elsewhere in this report. Scotts' Annual Report on Form 10-K for the fiscal year ended September 30, 1997 includes additional information about the Company, its operations, and its financial position, and should be read in conjunction with this Quarterly Report on Form 10-Q.</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ind w:right="2760"/>
        <w:spacing w:after="0" w:line="255" w:lineRule="auto"/>
        <w:rPr>
          <w:sz w:val="20"/>
          <w:szCs w:val="20"/>
          <w:color w:val="auto"/>
        </w:rPr>
      </w:pPr>
      <w:r>
        <w:rPr>
          <w:rFonts w:ascii="Courier New" w:cs="Courier New" w:eastAsia="Courier New" w:hAnsi="Courier New"/>
          <w:sz w:val="16"/>
          <w:szCs w:val="16"/>
          <w:color w:val="auto"/>
        </w:rPr>
        <w:t>The following table sets forth sales for the third quarter and first nine months of fiscal 1998 and 1997:</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6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Three Months Ended</w:t>
            </w:r>
          </w:p>
        </w:tc>
        <w:tc>
          <w:tcPr>
            <w:tcW w:w="1540" w:type="dxa"/>
            <w:vAlign w:val="bottom"/>
          </w:tcPr>
          <w:p>
            <w:pPr>
              <w:spacing w:after="0"/>
              <w:rPr>
                <w:sz w:val="16"/>
                <w:szCs w:val="16"/>
                <w:color w:val="auto"/>
              </w:rPr>
            </w:pPr>
          </w:p>
        </w:tc>
        <w:tc>
          <w:tcPr>
            <w:tcW w:w="23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Nine Months Ended</w:t>
            </w:r>
          </w:p>
        </w:tc>
        <w:tc>
          <w:tcPr>
            <w:tcW w:w="1140" w:type="dxa"/>
            <w:vAlign w:val="bottom"/>
          </w:tcPr>
          <w:p>
            <w:pPr>
              <w:spacing w:after="0"/>
              <w:rPr>
                <w:sz w:val="16"/>
                <w:szCs w:val="16"/>
                <w:color w:val="auto"/>
              </w:rPr>
            </w:pPr>
          </w:p>
        </w:tc>
      </w:tr>
      <w:tr>
        <w:trPr>
          <w:trHeight w:val="190"/>
        </w:trPr>
        <w:tc>
          <w:tcPr>
            <w:tcW w:w="2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Period to</w:t>
            </w:r>
          </w:p>
        </w:tc>
        <w:tc>
          <w:tcPr>
            <w:tcW w:w="236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Period to</w:t>
            </w:r>
          </w:p>
        </w:tc>
      </w:tr>
      <w:tr>
        <w:trPr>
          <w:trHeight w:val="190"/>
        </w:trPr>
        <w:tc>
          <w:tcPr>
            <w:tcW w:w="2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8"/>
              </w:rPr>
              <w:t>July 4,</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June 28,</w:t>
            </w:r>
          </w:p>
        </w:tc>
        <w:tc>
          <w:tcPr>
            <w:tcW w:w="15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Period</w:t>
            </w:r>
          </w:p>
        </w:tc>
        <w:tc>
          <w:tcPr>
            <w:tcW w:w="1320" w:type="dxa"/>
            <w:vAlign w:val="bottom"/>
          </w:tcPr>
          <w:p>
            <w:pPr>
              <w:ind w:left="340"/>
              <w:spacing w:after="0"/>
              <w:rPr>
                <w:sz w:val="20"/>
                <w:szCs w:val="20"/>
                <w:color w:val="auto"/>
              </w:rPr>
            </w:pPr>
            <w:r>
              <w:rPr>
                <w:rFonts w:ascii="Courier New" w:cs="Courier New" w:eastAsia="Courier New" w:hAnsi="Courier New"/>
                <w:sz w:val="16"/>
                <w:szCs w:val="16"/>
                <w:color w:val="auto"/>
              </w:rPr>
              <w:t>July 4,</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June 28,</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Period</w:t>
            </w:r>
          </w:p>
        </w:tc>
      </w:tr>
      <w:tr>
        <w:trPr>
          <w:trHeight w:val="190"/>
        </w:trPr>
        <w:tc>
          <w:tcPr>
            <w:tcW w:w="2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1997</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 Change</w:t>
            </w: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1998</w:t>
            </w: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Change</w:t>
            </w:r>
          </w:p>
        </w:tc>
      </w:tr>
      <w:tr>
        <w:trPr>
          <w:trHeight w:val="190"/>
        </w:trPr>
        <w:tc>
          <w:tcPr>
            <w:tcW w:w="2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Consumer Lawns</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89.6</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$ 79.1</w:t>
            </w:r>
          </w:p>
        </w:tc>
        <w:tc>
          <w:tcPr>
            <w:tcW w:w="15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13.3%</w:t>
            </w: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$312.1</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$269.3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Consumer Gardens</w:t>
            </w:r>
          </w:p>
        </w:tc>
        <w:tc>
          <w:tcPr>
            <w:tcW w:w="640" w:type="dxa"/>
            <w:vAlign w:val="bottom"/>
          </w:tcPr>
          <w:p>
            <w:pPr>
              <w:spacing w:after="0"/>
              <w:rPr>
                <w:sz w:val="16"/>
                <w:szCs w:val="16"/>
                <w:color w:val="auto"/>
              </w:rPr>
            </w:pPr>
          </w:p>
        </w:tc>
        <w:tc>
          <w:tcPr>
            <w:tcW w:w="11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57.2</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52.2</w:t>
            </w:r>
          </w:p>
        </w:tc>
        <w:tc>
          <w:tcPr>
            <w:tcW w:w="15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9.6</w:t>
            </w: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123.5</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114.4</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8.0</w:t>
            </w: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Consumer Organics</w:t>
            </w:r>
          </w:p>
        </w:tc>
        <w:tc>
          <w:tcPr>
            <w:tcW w:w="640" w:type="dxa"/>
            <w:vAlign w:val="bottom"/>
          </w:tcPr>
          <w:p>
            <w:pPr>
              <w:spacing w:after="0"/>
              <w:rPr>
                <w:sz w:val="16"/>
                <w:szCs w:val="16"/>
                <w:color w:val="auto"/>
              </w:rPr>
            </w:pPr>
          </w:p>
        </w:tc>
        <w:tc>
          <w:tcPr>
            <w:tcW w:w="1180" w:type="dxa"/>
            <w:vAlign w:val="bottom"/>
          </w:tcPr>
          <w:p>
            <w:pPr>
              <w:jc w:val="right"/>
              <w:ind w:right="618"/>
              <w:spacing w:after="0"/>
              <w:rPr>
                <w:sz w:val="20"/>
                <w:szCs w:val="20"/>
                <w:color w:val="auto"/>
              </w:rPr>
            </w:pPr>
            <w:r>
              <w:rPr>
                <w:rFonts w:ascii="Courier New" w:cs="Courier New" w:eastAsia="Courier New" w:hAnsi="Courier New"/>
                <w:sz w:val="16"/>
                <w:szCs w:val="16"/>
                <w:color w:val="auto"/>
                <w:w w:val="95"/>
              </w:rPr>
              <w:t>116.3</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88.7</w:t>
            </w:r>
          </w:p>
        </w:tc>
        <w:tc>
          <w:tcPr>
            <w:tcW w:w="15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31.1</w:t>
            </w: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203.1</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159.2</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27.6</w:t>
            </w:r>
          </w:p>
        </w:tc>
      </w:tr>
      <w:tr>
        <w:trPr>
          <w:trHeight w:val="190"/>
        </w:trPr>
        <w:tc>
          <w:tcPr>
            <w:tcW w:w="2520" w:type="dxa"/>
            <w:vAlign w:val="bottom"/>
          </w:tcPr>
          <w:p>
            <w:pPr>
              <w:spacing w:after="0"/>
              <w:rPr>
                <w:sz w:val="16"/>
                <w:szCs w:val="16"/>
                <w:color w:val="auto"/>
              </w:rPr>
            </w:pPr>
          </w:p>
        </w:tc>
        <w:tc>
          <w:tcPr>
            <w:tcW w:w="1820" w:type="dxa"/>
            <w:vAlign w:val="bottom"/>
            <w:gridSpan w:val="2"/>
          </w:tcPr>
          <w:p>
            <w:pPr>
              <w:jc w:val="right"/>
              <w:ind w:right="6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6"/>
                <w:szCs w:val="16"/>
                <w:color w:val="auto"/>
              </w:rPr>
            </w:pPr>
          </w:p>
        </w:tc>
      </w:tr>
      <w:tr>
        <w:trPr>
          <w:trHeight w:val="190"/>
        </w:trPr>
        <w:tc>
          <w:tcPr>
            <w:tcW w:w="2520" w:type="dxa"/>
            <w:vAlign w:val="bottom"/>
          </w:tcPr>
          <w:p>
            <w:pPr>
              <w:ind w:left="300"/>
              <w:spacing w:after="0"/>
              <w:rPr>
                <w:sz w:val="20"/>
                <w:szCs w:val="20"/>
                <w:color w:val="auto"/>
              </w:rPr>
            </w:pPr>
            <w:r>
              <w:rPr>
                <w:rFonts w:ascii="Courier New" w:cs="Courier New" w:eastAsia="Courier New" w:hAnsi="Courier New"/>
                <w:sz w:val="16"/>
                <w:szCs w:val="16"/>
                <w:color w:val="auto"/>
              </w:rPr>
              <w:t>Domestic Consumer</w:t>
            </w:r>
          </w:p>
        </w:tc>
        <w:tc>
          <w:tcPr>
            <w:tcW w:w="640" w:type="dxa"/>
            <w:vAlign w:val="bottom"/>
          </w:tcPr>
          <w:p>
            <w:pPr>
              <w:spacing w:after="0"/>
              <w:rPr>
                <w:sz w:val="16"/>
                <w:szCs w:val="16"/>
                <w:color w:val="auto"/>
              </w:rPr>
            </w:pPr>
          </w:p>
        </w:tc>
        <w:tc>
          <w:tcPr>
            <w:tcW w:w="1180" w:type="dxa"/>
            <w:vAlign w:val="bottom"/>
          </w:tcPr>
          <w:p>
            <w:pPr>
              <w:jc w:val="right"/>
              <w:ind w:right="618"/>
              <w:spacing w:after="0"/>
              <w:rPr>
                <w:sz w:val="20"/>
                <w:szCs w:val="20"/>
                <w:color w:val="auto"/>
              </w:rPr>
            </w:pPr>
            <w:r>
              <w:rPr>
                <w:rFonts w:ascii="Courier New" w:cs="Courier New" w:eastAsia="Courier New" w:hAnsi="Courier New"/>
                <w:sz w:val="16"/>
                <w:szCs w:val="16"/>
                <w:color w:val="auto"/>
                <w:w w:val="95"/>
              </w:rPr>
              <w:t>263.1</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220.0</w:t>
            </w:r>
          </w:p>
        </w:tc>
        <w:tc>
          <w:tcPr>
            <w:tcW w:w="15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19.6</w:t>
            </w: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638.7</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542.9</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17.7</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Professional</w:t>
            </w:r>
          </w:p>
        </w:tc>
        <w:tc>
          <w:tcPr>
            <w:tcW w:w="640" w:type="dxa"/>
            <w:vAlign w:val="bottom"/>
          </w:tcPr>
          <w:p>
            <w:pPr>
              <w:spacing w:after="0"/>
              <w:rPr>
                <w:sz w:val="24"/>
                <w:szCs w:val="24"/>
                <w:color w:val="auto"/>
              </w:rPr>
            </w:pPr>
          </w:p>
        </w:tc>
        <w:tc>
          <w:tcPr>
            <w:tcW w:w="11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44.3</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41.9</w:t>
            </w:r>
          </w:p>
        </w:tc>
        <w:tc>
          <w:tcPr>
            <w:tcW w:w="15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5.7</w:t>
            </w: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121.4</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110.1</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10.3</w:t>
            </w:r>
          </w:p>
        </w:tc>
      </w:t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640" w:type="dxa"/>
            <w:vAlign w:val="bottom"/>
          </w:tcPr>
          <w:p>
            <w:pPr>
              <w:spacing w:after="0"/>
              <w:rPr>
                <w:sz w:val="16"/>
                <w:szCs w:val="16"/>
                <w:color w:val="auto"/>
              </w:rPr>
            </w:pPr>
          </w:p>
        </w:tc>
        <w:tc>
          <w:tcPr>
            <w:tcW w:w="11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60.1</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37.1</w:t>
            </w:r>
          </w:p>
        </w:tc>
        <w:tc>
          <w:tcPr>
            <w:tcW w:w="15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62.0</w:t>
            </w: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163.1</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92.4</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76.5</w:t>
            </w:r>
          </w:p>
        </w:tc>
      </w:tr>
      <w:tr>
        <w:trPr>
          <w:trHeight w:val="190"/>
        </w:trPr>
        <w:tc>
          <w:tcPr>
            <w:tcW w:w="2520" w:type="dxa"/>
            <w:vAlign w:val="bottom"/>
          </w:tcPr>
          <w:p>
            <w:pPr>
              <w:spacing w:after="0"/>
              <w:rPr>
                <w:sz w:val="16"/>
                <w:szCs w:val="16"/>
                <w:color w:val="auto"/>
              </w:rPr>
            </w:pPr>
          </w:p>
        </w:tc>
        <w:tc>
          <w:tcPr>
            <w:tcW w:w="1820" w:type="dxa"/>
            <w:vAlign w:val="bottom"/>
            <w:gridSpan w:val="2"/>
          </w:tcPr>
          <w:p>
            <w:pPr>
              <w:jc w:val="right"/>
              <w:ind w:right="6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6"/>
                <w:szCs w:val="16"/>
                <w:color w:val="auto"/>
              </w:rPr>
            </w:pPr>
          </w:p>
        </w:tc>
      </w:tr>
      <w:tr>
        <w:trPr>
          <w:trHeight w:val="190"/>
        </w:trPr>
        <w:tc>
          <w:tcPr>
            <w:tcW w:w="2520" w:type="dxa"/>
            <w:vAlign w:val="bottom"/>
          </w:tcPr>
          <w:p>
            <w:pPr>
              <w:ind w:left="300"/>
              <w:spacing w:after="0"/>
              <w:rPr>
                <w:sz w:val="20"/>
                <w:szCs w:val="20"/>
                <w:color w:val="auto"/>
              </w:rPr>
            </w:pPr>
            <w:r>
              <w:rPr>
                <w:rFonts w:ascii="Courier New" w:cs="Courier New" w:eastAsia="Courier New" w:hAnsi="Courier New"/>
                <w:sz w:val="16"/>
                <w:szCs w:val="16"/>
                <w:color w:val="auto"/>
              </w:rPr>
              <w:t>Consolidated</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8"/>
              <w:spacing w:after="0"/>
              <w:rPr>
                <w:sz w:val="20"/>
                <w:szCs w:val="20"/>
                <w:color w:val="auto"/>
              </w:rPr>
            </w:pPr>
            <w:r>
              <w:rPr>
                <w:rFonts w:ascii="Courier New" w:cs="Courier New" w:eastAsia="Courier New" w:hAnsi="Courier New"/>
                <w:sz w:val="16"/>
                <w:szCs w:val="16"/>
                <w:color w:val="auto"/>
                <w:w w:val="95"/>
              </w:rPr>
              <w:t>367.5</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$299.0</w:t>
            </w:r>
          </w:p>
        </w:tc>
        <w:tc>
          <w:tcPr>
            <w:tcW w:w="15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22.9%</w:t>
            </w: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$923.2</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$745.4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23.9%</w:t>
            </w:r>
          </w:p>
        </w:tc>
      </w:tr>
      <w:tr>
        <w:trPr>
          <w:trHeight w:val="190"/>
        </w:trPr>
        <w:tc>
          <w:tcPr>
            <w:tcW w:w="2520" w:type="dxa"/>
            <w:vAlign w:val="bottom"/>
          </w:tcPr>
          <w:p>
            <w:pPr>
              <w:spacing w:after="0"/>
              <w:rPr>
                <w:sz w:val="16"/>
                <w:szCs w:val="16"/>
                <w:color w:val="auto"/>
              </w:rPr>
            </w:pPr>
          </w:p>
        </w:tc>
        <w:tc>
          <w:tcPr>
            <w:tcW w:w="1820" w:type="dxa"/>
            <w:vAlign w:val="bottom"/>
            <w:gridSpan w:val="2"/>
          </w:tcPr>
          <w:p>
            <w:pPr>
              <w:jc w:val="right"/>
              <w:ind w:right="6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13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6"/>
                <w:szCs w:val="16"/>
                <w:color w:val="auto"/>
              </w:rPr>
            </w:pPr>
          </w:p>
        </w:tc>
      </w:tr>
    </w:tbl>
    <w:p>
      <w:pPr>
        <w:spacing w:after="0" w:line="384" w:lineRule="exact"/>
        <w:rPr>
          <w:sz w:val="20"/>
          <w:szCs w:val="20"/>
          <w:color w:val="auto"/>
        </w:rPr>
      </w:pPr>
    </w:p>
    <w:p>
      <w:pPr>
        <w:ind w:right="3240"/>
        <w:spacing w:after="0" w:line="253" w:lineRule="auto"/>
        <w:rPr>
          <w:sz w:val="20"/>
          <w:szCs w:val="20"/>
          <w:color w:val="auto"/>
        </w:rPr>
      </w:pPr>
      <w:r>
        <w:rPr>
          <w:rFonts w:ascii="Courier New" w:cs="Courier New" w:eastAsia="Courier New" w:hAnsi="Courier New"/>
          <w:sz w:val="16"/>
          <w:szCs w:val="16"/>
          <w:color w:val="auto"/>
        </w:rPr>
        <w:t>The following table sets forth the components of income and expense for the third quarter and first nine months of fiscal 1998 and 1997 on a percent-of-sales basis: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252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Three Months Ended</w:t>
            </w:r>
          </w:p>
        </w:tc>
        <w:tc>
          <w:tcPr>
            <w:tcW w:w="1480" w:type="dxa"/>
            <w:vAlign w:val="bottom"/>
          </w:tcPr>
          <w:p>
            <w:pPr>
              <w:spacing w:after="0"/>
              <w:rPr>
                <w:sz w:val="16"/>
                <w:szCs w:val="16"/>
                <w:color w:val="auto"/>
              </w:rPr>
            </w:pPr>
          </w:p>
        </w:tc>
        <w:tc>
          <w:tcPr>
            <w:tcW w:w="25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Nine Months Ended</w:t>
            </w:r>
          </w:p>
        </w:tc>
        <w:tc>
          <w:tcPr>
            <w:tcW w:w="1180" w:type="dxa"/>
            <w:vAlign w:val="bottom"/>
          </w:tcPr>
          <w:p>
            <w:pPr>
              <w:spacing w:after="0"/>
              <w:rPr>
                <w:sz w:val="16"/>
                <w:szCs w:val="16"/>
                <w:color w:val="auto"/>
              </w:rPr>
            </w:pPr>
          </w:p>
        </w:tc>
      </w:tr>
      <w:tr>
        <w:trPr>
          <w:trHeight w:val="190"/>
        </w:trPr>
        <w:tc>
          <w:tcPr>
            <w:tcW w:w="2960" w:type="dxa"/>
            <w:vAlign w:val="bottom"/>
          </w:tcPr>
          <w:p>
            <w:pPr>
              <w:spacing w:after="0"/>
              <w:rPr>
                <w:sz w:val="16"/>
                <w:szCs w:val="16"/>
                <w:color w:val="auto"/>
              </w:rPr>
            </w:pPr>
          </w:p>
        </w:tc>
        <w:tc>
          <w:tcPr>
            <w:tcW w:w="252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Period to</w:t>
            </w:r>
          </w:p>
        </w:tc>
        <w:tc>
          <w:tcPr>
            <w:tcW w:w="25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w w:val="99"/>
              </w:rPr>
              <w:t>Period to</w:t>
            </w:r>
          </w:p>
        </w:tc>
      </w:tr>
      <w:tr>
        <w:trPr>
          <w:trHeight w:val="190"/>
        </w:trPr>
        <w:tc>
          <w:tcPr>
            <w:tcW w:w="296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July 4,</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June 28,</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Period</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July 4,</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June 28,</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Period</w:t>
            </w:r>
          </w:p>
        </w:tc>
      </w:tr>
      <w:tr>
        <w:trPr>
          <w:trHeight w:val="190"/>
        </w:trPr>
        <w:tc>
          <w:tcPr>
            <w:tcW w:w="296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1998</w:t>
            </w:r>
          </w:p>
        </w:tc>
        <w:tc>
          <w:tcPr>
            <w:tcW w:w="1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1997</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 Change</w:t>
            </w:r>
          </w:p>
        </w:tc>
        <w:tc>
          <w:tcPr>
            <w:tcW w:w="12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 Change</w:t>
            </w:r>
          </w:p>
        </w:tc>
      </w:tr>
      <w:tr>
        <w:trPr>
          <w:trHeight w:val="190"/>
        </w:trPr>
        <w:tc>
          <w:tcPr>
            <w:tcW w:w="2960" w:type="dxa"/>
            <w:vAlign w:val="bottom"/>
          </w:tcPr>
          <w:p>
            <w:pPr>
              <w:spacing w:after="0"/>
              <w:rPr>
                <w:sz w:val="16"/>
                <w:szCs w:val="16"/>
                <w:color w:val="auto"/>
              </w:rPr>
            </w:pP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569"/>
        </w:trPr>
        <w:tc>
          <w:tcPr>
            <w:tcW w:w="29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100.0%</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100.0%</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22.9%</w:t>
            </w:r>
          </w:p>
        </w:tc>
        <w:tc>
          <w:tcPr>
            <w:tcW w:w="1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100.0%</w:t>
            </w:r>
          </w:p>
        </w:tc>
        <w:tc>
          <w:tcPr>
            <w:tcW w:w="12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100.0%</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23.9%</w:t>
            </w: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64.1</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63.0</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25.2</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62.7</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62.2</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24.8</w:t>
            </w:r>
          </w:p>
        </w:tc>
      </w:tr>
      <w:tr>
        <w:trPr>
          <w:trHeight w:val="190"/>
        </w:trPr>
        <w:tc>
          <w:tcPr>
            <w:tcW w:w="296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r>
        <w:trPr>
          <w:trHeight w:val="190"/>
        </w:trPr>
        <w:tc>
          <w:tcPr>
            <w:tcW w:w="29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35.9</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37.0</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19.1</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37.3</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37.8</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22.3</w:t>
            </w:r>
          </w:p>
        </w:tc>
      </w:tr>
      <w:tr>
        <w:trPr>
          <w:trHeight w:val="37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Advertising and promotion</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9.0</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8.9</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24.2</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10.2</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10.5</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20.5</w:t>
            </w:r>
          </w:p>
        </w:tc>
      </w:tr>
      <w:tr>
        <w:trPr>
          <w:trHeight w:val="190"/>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w:t>
            </w: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2960" w:type="dxa"/>
            <w:vAlign w:val="bottom"/>
          </w:tcPr>
          <w:p>
            <w:pPr>
              <w:ind w:left="500"/>
              <w:spacing w:after="0"/>
              <w:rPr>
                <w:sz w:val="20"/>
                <w:szCs w:val="20"/>
                <w:color w:val="auto"/>
              </w:rPr>
            </w:pPr>
            <w:r>
              <w:rPr>
                <w:rFonts w:ascii="Courier New" w:cs="Courier New" w:eastAsia="Courier New" w:hAnsi="Courier New"/>
                <w:sz w:val="16"/>
                <w:szCs w:val="16"/>
                <w:color w:val="auto"/>
              </w:rPr>
              <w:t>administrative</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11.9</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12.4</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18.1</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13.2</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12.9</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27.1</w:t>
            </w:r>
          </w:p>
        </w:tc>
      </w:tr>
      <w:tr>
        <w:trPr>
          <w:trHeight w:val="190"/>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goodwill</w:t>
            </w: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2960" w:type="dxa"/>
            <w:vAlign w:val="bottom"/>
          </w:tcPr>
          <w:p>
            <w:pPr>
              <w:ind w:left="500"/>
              <w:spacing w:after="0"/>
              <w:rPr>
                <w:sz w:val="20"/>
                <w:szCs w:val="20"/>
                <w:color w:val="auto"/>
              </w:rPr>
            </w:pPr>
            <w:r>
              <w:rPr>
                <w:rFonts w:ascii="Courier New" w:cs="Courier New" w:eastAsia="Courier New" w:hAnsi="Courier New"/>
                <w:sz w:val="16"/>
                <w:szCs w:val="16"/>
                <w:color w:val="auto"/>
              </w:rPr>
              <w:t>and other intangibles</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1.0</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0.9</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29.6</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27.6</w:t>
            </w:r>
          </w:p>
        </w:tc>
      </w:tr>
      <w:tr>
        <w:trPr>
          <w:trHeight w:val="190"/>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Other expense, net</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0.4</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(0.3)</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(285.7)</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0.2</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(3.6)</w:t>
            </w:r>
          </w:p>
        </w:tc>
      </w:tr>
      <w:tr>
        <w:trPr>
          <w:trHeight w:val="190"/>
        </w:trPr>
        <w:tc>
          <w:tcPr>
            <w:tcW w:w="296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r>
        <w:trPr>
          <w:trHeight w:val="379"/>
        </w:trPr>
        <w:tc>
          <w:tcPr>
            <w:tcW w:w="29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13.6</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15.1</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11.5</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12.6</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13.1</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19.2</w:t>
            </w:r>
          </w:p>
        </w:tc>
      </w:tr>
      <w:tr>
        <w:trPr>
          <w:trHeight w:val="379"/>
        </w:trPr>
        <w:tc>
          <w:tcPr>
            <w:tcW w:w="29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2.6</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2.5</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27.6</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2.9</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2.9</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25.6</w:t>
            </w:r>
          </w:p>
        </w:tc>
      </w:tr>
      <w:tr>
        <w:trPr>
          <w:trHeight w:val="190"/>
        </w:trPr>
        <w:tc>
          <w:tcPr>
            <w:tcW w:w="296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r>
        <w:trPr>
          <w:trHeight w:val="379"/>
        </w:trPr>
        <w:tc>
          <w:tcPr>
            <w:tcW w:w="296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11.0</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12.5</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8.3</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9.7</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10.2</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17.4</w:t>
            </w:r>
          </w:p>
        </w:tc>
      </w:tr>
      <w:tr>
        <w:trPr>
          <w:trHeight w:val="379"/>
        </w:trPr>
        <w:tc>
          <w:tcPr>
            <w:tcW w:w="29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4.4</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5.5</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(1.2)</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4.4</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11.8</w:t>
            </w:r>
          </w:p>
        </w:tc>
      </w:tr>
      <w:tr>
        <w:trPr>
          <w:trHeight w:val="190"/>
        </w:trPr>
        <w:tc>
          <w:tcPr>
            <w:tcW w:w="2960" w:type="dxa"/>
            <w:vAlign w:val="bottom"/>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r>
        <w:trPr>
          <w:trHeight w:val="379"/>
        </w:trPr>
        <w:tc>
          <w:tcPr>
            <w:tcW w:w="2960" w:type="dxa"/>
            <w:vAlign w:val="bottom"/>
          </w:tcPr>
          <w:p>
            <w:pPr>
              <w:spacing w:after="0"/>
              <w:rPr>
                <w:sz w:val="20"/>
                <w:szCs w:val="20"/>
                <w:color w:val="auto"/>
              </w:rPr>
            </w:pPr>
            <w:r>
              <w:rPr>
                <w:rFonts w:ascii="Courier New" w:cs="Courier New" w:eastAsia="Courier New" w:hAnsi="Courier New"/>
                <w:sz w:val="16"/>
                <w:szCs w:val="16"/>
                <w:color w:val="auto"/>
              </w:rPr>
              <w:t>Income before extraordinary</w:t>
            </w: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296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11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6.6</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7.1</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15.6</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5.7</w:t>
            </w:r>
          </w:p>
        </w:tc>
        <w:tc>
          <w:tcPr>
            <w:tcW w:w="12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5.8</w:t>
            </w:r>
          </w:p>
        </w:tc>
        <w:tc>
          <w:tcPr>
            <w:tcW w:w="1180" w:type="dxa"/>
            <w:vAlign w:val="bottom"/>
          </w:tcPr>
          <w:p>
            <w:pPr>
              <w:ind w:left="500"/>
              <w:spacing w:after="0"/>
              <w:rPr>
                <w:sz w:val="20"/>
                <w:szCs w:val="20"/>
                <w:color w:val="auto"/>
              </w:rPr>
            </w:pPr>
            <w:r>
              <w:rPr>
                <w:rFonts w:ascii="Courier New" w:cs="Courier New" w:eastAsia="Courier New" w:hAnsi="Courier New"/>
                <w:sz w:val="16"/>
                <w:szCs w:val="16"/>
                <w:color w:val="auto"/>
              </w:rPr>
              <w:t>21.6</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loss on early</w:t>
      </w:r>
    </w:p>
    <w:p>
      <w:pPr>
        <w:sectPr>
          <w:pgSz w:w="11900" w:h="16838" w:orient="portrait"/>
          <w:cols w:equalWidth="0" w:num="1">
            <w:col w:w="10640"/>
          </w:cols>
          <w:pgMar w:left="240" w:top="306" w:right="101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5"/>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extinguishment of debt,</w:t>
            </w: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net of income tax benefit</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0.0</w:t>
            </w:r>
          </w:p>
        </w:tc>
        <w:tc>
          <w:tcPr>
            <w:tcW w:w="14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0.0</w:t>
            </w: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nm</w:t>
            </w:r>
          </w:p>
        </w:tc>
        <w:tc>
          <w:tcPr>
            <w:tcW w:w="12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0.1</w:t>
            </w:r>
          </w:p>
        </w:tc>
        <w:tc>
          <w:tcPr>
            <w:tcW w:w="12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0.0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290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6"/>
                <w:szCs w:val="16"/>
                <w:color w:val="auto"/>
              </w:rPr>
            </w:pPr>
          </w:p>
        </w:tc>
        <w:tc>
          <w:tcPr>
            <w:tcW w:w="12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6"/>
                <w:szCs w:val="16"/>
                <w:color w:val="auto"/>
              </w:rPr>
            </w:pPr>
          </w:p>
        </w:tc>
      </w:tr>
      <w:tr>
        <w:trPr>
          <w:trHeight w:val="379"/>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6.6</w:t>
            </w:r>
          </w:p>
        </w:tc>
        <w:tc>
          <w:tcPr>
            <w:tcW w:w="14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7.1</w:t>
            </w: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15.6</w:t>
            </w:r>
          </w:p>
        </w:tc>
        <w:tc>
          <w:tcPr>
            <w:tcW w:w="12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5.6</w:t>
            </w:r>
          </w:p>
        </w:tc>
        <w:tc>
          <w:tcPr>
            <w:tcW w:w="12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5.8</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w:t>
            </w:r>
          </w:p>
        </w:tc>
      </w:tr>
      <w:tr>
        <w:trPr>
          <w:trHeight w:val="379"/>
        </w:trPr>
        <w:tc>
          <w:tcPr>
            <w:tcW w:w="290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0.7</w:t>
            </w:r>
          </w:p>
        </w:tc>
        <w:tc>
          <w:tcPr>
            <w:tcW w:w="14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0.8</w:t>
            </w: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0.0</w:t>
            </w:r>
          </w:p>
        </w:tc>
        <w:tc>
          <w:tcPr>
            <w:tcW w:w="12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0.8</w:t>
            </w:r>
          </w:p>
        </w:tc>
        <w:tc>
          <w:tcPr>
            <w:tcW w:w="12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w:t>
            </w:r>
          </w:p>
        </w:tc>
      </w:tr>
      <w:tr>
        <w:trPr>
          <w:trHeight w:val="190"/>
        </w:trPr>
        <w:tc>
          <w:tcPr>
            <w:tcW w:w="290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6"/>
                <w:szCs w:val="16"/>
                <w:color w:val="auto"/>
              </w:rPr>
            </w:pPr>
          </w:p>
        </w:tc>
        <w:tc>
          <w:tcPr>
            <w:tcW w:w="12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6"/>
                <w:szCs w:val="16"/>
                <w:color w:val="auto"/>
              </w:rPr>
            </w:pPr>
          </w:p>
        </w:tc>
      </w:tr>
      <w:tr>
        <w:trPr>
          <w:trHeight w:val="379"/>
        </w:trPr>
        <w:tc>
          <w:tcPr>
            <w:tcW w:w="2900" w:type="dxa"/>
            <w:vAlign w:val="bottom"/>
          </w:tcPr>
          <w:p>
            <w:pPr>
              <w:spacing w:after="0"/>
              <w:rPr>
                <w:sz w:val="20"/>
                <w:szCs w:val="20"/>
                <w:color w:val="auto"/>
              </w:rPr>
            </w:pPr>
            <w:r>
              <w:rPr>
                <w:rFonts w:ascii="Courier New" w:cs="Courier New" w:eastAsia="Courier New" w:hAnsi="Courier New"/>
                <w:sz w:val="16"/>
                <w:szCs w:val="16"/>
                <w:color w:val="auto"/>
              </w:rPr>
              <w:t>Income applicable to</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common shareholders</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6.0%</w:t>
            </w:r>
          </w:p>
        </w:tc>
        <w:tc>
          <w:tcPr>
            <w:tcW w:w="14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6.3%</w:t>
            </w: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17.6%</w:t>
            </w:r>
          </w:p>
        </w:tc>
        <w:tc>
          <w:tcPr>
            <w:tcW w:w="12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4.8%</w:t>
            </w:r>
          </w:p>
        </w:tc>
        <w:tc>
          <w:tcPr>
            <w:tcW w:w="12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24.1%</w:t>
            </w:r>
          </w:p>
        </w:tc>
      </w:tr>
      <w:tr>
        <w:trPr>
          <w:trHeight w:val="190"/>
        </w:trPr>
        <w:tc>
          <w:tcPr>
            <w:tcW w:w="290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6"/>
                <w:szCs w:val="16"/>
                <w:color w:val="auto"/>
              </w:rPr>
            </w:pPr>
          </w:p>
        </w:tc>
        <w:tc>
          <w:tcPr>
            <w:tcW w:w="12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6"/>
                <w:szCs w:val="16"/>
                <w:color w:val="auto"/>
              </w:rPr>
            </w:pPr>
          </w:p>
        </w:tc>
      </w:tr>
    </w:tbl>
    <w:p>
      <w:pPr>
        <w:spacing w:after="0" w:line="38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0460"/>
          </w:cols>
          <w:pgMar w:left="240" w:top="142" w:right="1199"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July 4, 1998 versus the Three Months Ended June 28, 1997:</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sales for the three months ended July 4, 1998 totaled $367.5, an increase of $68.5, or 22.9%, over prior year. On a pro forma basis, assuming Earthgro, Levington, and the remaining two-thirds interest in Miracle Holdings were acquired at the beginning of fiscal 1997, sales increased 4.2%. Excluding the effects of currency translation, pro forma sales would have been 4.4% higher than the prior year.</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Consumer segment sales totaled $263.1, an increase of 19.6% over prior year. The increase reflects improvements of 13.3%, 9.6% and 31.1% in the Consumer Lawns, Consumer Gardens and Consumer Organics operating groups, respectively. The increase in the Consumer Lawns group is primarily due to an 18.4% improvement in sales of granular lawn products (primarily through the Home Depot(R) and WalMart(R) chains) driven by successful advertising programs. Sales of the Consumer Gardens group are up 9.6% due primarily to an 8.1% increase in sales of Miracle-Gro(R) products and strong demand for Osmocote(R) products. Sales for the Consumer Organics group reflect the acquisition of Earthgro effective February 1998. On a pro forma basis, sales for the group were up 0.8% compared to the prior year. Results for the continuing Organics business were driven by an 18.1% increase in sales of value-added products carrying the Scotts(R) and Miracle-Gro(R) brand names, offset by lower commodity sales as a result of the Company's deemphasis on sales of such products.</w:t>
      </w:r>
    </w:p>
    <w:p>
      <w:pPr>
        <w:spacing w:after="0" w:line="190"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Professional segment sales increased 5.7% to $44.3 in the third quarter of fiscal 1998. The increase is primarily due to the introduction of the new Contec(TM) fertilizer, as well as improved volume in the Poly-S(R) golf course segments.</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International segment sales increased to $60.1, or 62.0%, in the third quarter of fiscal 1998. On a pro forma basis, sales for the third quarter of fiscal 1998 decreased 6.3%, primarily due to an 18.3% decrease in sales in the Pacific Rim resulting from the weak Asian economy and a 6.5% decrease in consumer sales in the United Kingdom stemming from poor weather conditions and the timing of the third quarter cut-off which had the impact of shifting fiscal 1998 sales into the second quarter. Excluding the effects of currency translation, International segment pro forma sales would have only been 5.1% lower than the third quarter of the prior year.</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Gross profit decreased to 35.9% of sales in the third quarter of fiscal 1998, a decrease of 1.1% compared to 37.0% in the prior year. Factors contributing to the decrease were start-up costs associated with the upgrade of certain domestic manufacturing facilities, demolition costs associated with the removal of certain old manufacturing facilities, unplanned outsourcing of certain production and unfavorable inventory adjustments. The aggregate impact of these items, approximately $2.8, was partially offset by improved prices of key raw materials. Changes in selling prices had no material impact on gross profit for the quarter.</w:t>
      </w:r>
    </w:p>
    <w:p>
      <w:pPr>
        <w:spacing w:after="0" w:line="379"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Advertising and promotion expenses increased $6.4, or 24.2%, to $32.9 for the third quarter of 1998 primarily due to a $1.7 increase in advertising and promotion by both the Consumer Lawns and core International groups, as well as the impact of the Earthgro and Levington acquisitions of $2.1. As a percentage of sales, advertising and promotion increased slightly to 9.0% over the prior year level of 8.9%.</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Selling, general and administrative expense ("SG&amp;A") increased $6.7, or 18.1%, to $43.8. As a percentage of sales, SG&amp;A expense decreased to 11.9% from 12.4% in the prior year. On a pro forma basis, SG&amp;A expense increased approximately $1.8. The increase for continuing businesses is primarily due to costs associated with addressing the Year 2000 issue of approximately $0.6, feasibility studies relating to an enterprise resource planning initiative called "Project Catalyst" of $0.5, and incremental incentives associated with the fiscal 1998 sales and profits.</w:t>
      </w:r>
    </w:p>
    <w:p>
      <w:pPr>
        <w:spacing w:after="0" w:line="190"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6"/>
          <w:szCs w:val="16"/>
          <w:color w:val="auto"/>
        </w:rPr>
        <w:t>Amortization of goodwill and other intangibles increased $0.8 as a result of the inclusion of Earthgro and Levington in the third quarter of fiscal 1998.</w:t>
      </w:r>
    </w:p>
    <w:p>
      <w:pPr>
        <w:spacing w:after="0" w:line="184"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Other expense, net, changed unfavorably by $2.0 primarily due to litigation settlement charges of $0.5, costs associated with post-acquisition integration activities of $0.4 and foreign exchange losses of $0.6.</w:t>
      </w:r>
    </w:p>
    <w:p>
      <w:pPr>
        <w:spacing w:after="0" w:line="37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15</w:t>
      </w:r>
    </w:p>
    <w:p>
      <w:pPr>
        <w:sectPr>
          <w:pgSz w:w="11900" w:h="16838" w:orient="portrait"/>
          <w:cols w:equalWidth="0" w:num="1">
            <w:col w:w="10219"/>
          </w:cols>
          <w:pgMar w:left="240" w:top="306" w:right="1440" w:bottom="809"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Primarily as a result of strong results for the Consumer Lawns and Consumer Gardens Groups, as well as the inclusion of Levington and Earthgro, income from operations improved to $50.3 in the third quarter of fiscal 1998, compared to $45.1 in the prior year. On a percentage of sales basis, however, results for the third quarter of 1998 decreased to 13.7% from 15.1% primarily due to non-recurring items noted previously. On a pro forma basis, income from operations was $50.3, or 13.7% of sales, in the third quarter of 1998, compared to $51.3, or 14.5% of sales, in the prior year.</w:t>
      </w:r>
    </w:p>
    <w:p>
      <w:pPr>
        <w:spacing w:after="0" w:line="190"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Interest expense increased $2.1, or 27.6% in the third quarter of 1998. Excluding borrowings associated with the Earthgro and Levington acquisitions, interest expense decreased approximately $0.8, primarily due to a $36.7 reduction in average borrowings for the quarter.</w:t>
      </w:r>
    </w:p>
    <w:p>
      <w:pPr>
        <w:spacing w:after="0" w:line="187"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Company's effective tax rate was 40.0% and 43.6% in the third quarter of 1998 and 1997, respectively. The Company's effective tax rate has historically been higher than statutory rates due to non-tax deductible amortization of goodwill and certain intangibles in the U.S. The effective tax rate for fiscal 1998 is lower than the 1997 rate due primarily to the resolution of uncertainties related to tax positions taken in prior years and state tax planning initiatives.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third quarter of fiscal 1998, the Company reported net income of</w:t>
      </w:r>
    </w:p>
    <w:p>
      <w:pPr>
        <w:spacing w:after="0" w:line="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$24.4, or $0.80 diluted earnings per common share, compared with net income of $21.1, or $0.71 diluted earnings per common share for the third quarter of fiscal 1997. Had Levington and Earthgro been fully consolidated in both the third quarter of fiscal 1998 and 1997, net income on a pro forma basis would have been $24.4 in fiscal 1998 compared to $23.1 for fiscal 1997, with diluted earnings per common share of $0.80 and $0.77, respectively.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July 4, 1998 versus the Nine Months Ended June 29, 1997:</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sales for the nine months ended July 4, 1998 totaled $923.2, an increase of $177.8, or 23.9%, over the prior year. On a pro forma basis, sales for the nine months of fiscal 1998 were $945.3, an increase of $81.1 or 9.4% over pro forma sales for the nine months of fiscal 1997. Excluding the effects of currency translation, pro forma sales would have been 9.7% higher than the nine months of fiscal 1997.</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Consumer segment sales totaled $638.7, an increase of 17.7% over prior year. The increase reflects improvements of 15.9%, 8.0% and 27.6% in the Consumer Lawns, Consumer Gardens and Consumer Organics operating groups, respectively. The increase in the Consumer Lawns group is primarily due to an 18.5% improvement in sales of granular lawn products, driven by successful advertising programs. Sales of the Consumer Gardens group are up $9.1 primarily due to a $6.2 increase in sales of Miracle-Gro(R) products and strong demand for Osmocote(R) products. Sales for the Consumer Organics group reflect the acquisition of Earthgro effective February 1998. On a pro forma basis, sales for the group were up 5.5% compared to the prior year. Results for the continuing Organics businesses were driven by a 21.5% increase in sales of value-added products carrying the Scotts(R) and Miracle-Gro(R) brand names, partially offset by a 7.3% reduction in commodity sales as a result of the Company's deemphasis on sales of such products.</w:t>
      </w:r>
    </w:p>
    <w:p>
      <w:pPr>
        <w:spacing w:after="0" w:line="380"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Professional segment sales increased 10.3% to $121.4 in the nine months of fiscal 1998. The increase is primarily due to the introduction of the new Contec(TM) fertilizer in the second quarter as well as strong sales volume for Osmocote (R) products. Professional sales also benefited from a change in selling programs, to better match customer requirements, that had the impact of shifting certain sales into the first quarter of fiscal 1998 from the fourth quarter of fiscal 1997.</w:t>
      </w:r>
    </w:p>
    <w:p>
      <w:pPr>
        <w:spacing w:after="0" w:line="375"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International segment sales increased to $163.1, or 76.5%, in the nine months of fiscal 1998. On a pro forma basis, sales for the nine months of fiscal 1998 increased 4.0%. Excluding the effects of foreign currency translation, pro forma sales would have increased 5.8%.</w:t>
      </w:r>
    </w:p>
    <w:p>
      <w:pPr>
        <w:spacing w:after="0" w:line="37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10219"/>
          </w:cols>
          <w:pgMar w:left="240" w:top="306"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7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Gross profit decreased to 37.3% of sales from 37.8% from the first nine months of 1997. The results for the nine months of fiscal 1998 include start-up costs associated with the upgrade of certain domestic manufacturing facilities, demolition costs associated with the removal of certain old manufacturing facilities, and unplanned outsourcing of certain production. The aggregate impact of these items, approximately $6.9, was partially offset by improved prices of key raw materials. Changes in selling prices had no material impact on gross profit for the nine months of either period.</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Advertising and promotion expense increased $16.0, or 20.5%, to $93.9 for the nine months of fiscal 1998, primarily due to a $5.1 and $4.6 increase in advertising and promotion by the Consumer Lawns and core International groups, respectively, and the impact of the Earthgro and Levington acquisitions of $5.0.</w:t>
      </w:r>
    </w:p>
    <w:p>
      <w:pPr>
        <w:spacing w:after="0" w:line="187"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SG&amp;A increased $26.0, or 27.1%, to $121.9 for the nine months of 1998. As a percentage of sales, SG&amp;A increased to 13.2% from 12.9% in the prior year. On a pro forma basis, SG&amp;A increased approximately $13.3, primarily due to the following factors: selling costs of continuing businesses of $2.3, incremental incentives associated with fiscal 1998 sales and profits of $1.0, costs associated with addressing the Year 2000 issue of $1.0, Project Catalyst feasibility studies of $0.5, research and development by continuing businesses of $2.8 and other marketing and administrative increases.</w:t>
      </w:r>
    </w:p>
    <w:p>
      <w:pPr>
        <w:spacing w:after="0" w:line="190"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Amortization of goodwill and other intangibles increased $2.1, as a result of the inclusion of Levington, Earthgro and a full nine months of Miracle Holdings in fiscal 1998.</w:t>
      </w:r>
    </w:p>
    <w:p>
      <w:pPr>
        <w:spacing w:after="0" w:line="185"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Other expense, net, changed favorably by $0.1 primarily due to royalty agreements in place for a full nine months in fiscal 1998 and a lower level of asset write-offs in the nine months of fiscal 1998, offset by higher litigation settlement costs and foreign exchange losses.</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Primarily as a result of the Earthgro and Levington acquisitions, as well as strong performance in the Consumer Lawns and Consumer Gardens groups, income from operations improved to $116.2 for the nine months of fiscal 1998, compared to $97.5 in the prior year. On a percentage of sales basis, however, income from operations declined from 13.1% to 12.6%, primarily due to non-recurring items noted previously. On a pro forma basis, income from operations would have been $116.5, or 12.3% of sales, for the nine months of fiscal 1998 compared to $108.4, or 12.5% of sales, in the prior year.</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Interest expense increased $5.5, or 25.6%, for the nine months of fiscal 1998. Excluding borrowings associated with the Earthgro, Levington and Miracle Holdings acquisitions, interest expense decreased $2.0, primarily due to a $41.6 reduction in average borrowings for the nine months of fiscal 1998.</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Company's effective tax rate was 41.4% and 43.4% for the nine months of fiscal 1998 and 1997, respectively. The Company's effective tax rate has historically been higher than statutory rates due to non-tax deductible amortization of goodwill and certain intangibles in the U.S. The effective tax rate for fiscal 1998 is lower than the 1997 rate due primarily to the resolution of uncertainties related to tax positions taken in prior years and state tax planning initiatives. The Company anticipates the effective tax rate for all of fiscal 1998 to remain at 41.4%.</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For the first nine months of fiscal 1998, the Company reported net income of $51.6, or $1.70 diluted earnings per common share (after a $0.7, or $0.02 per share, extraordinary loss on the early extinguishment of debt), compared with net income of $43.0, or $1.47 diluted earnings per share for the nine months of fiscal 1997. Net income on a pro forma basis was $50.3 for fiscal 1998 compared to $44.0 for fiscal 1997, with diluted earnings per share of $1.66 and $1.50, respectively.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Cash provided by operating activities totaled $93.0 for the nine-month period ended July 4, 1998 compared to $93.2 in the prior year. The seasonal nature of the Company's operations results in a significant increase in certain components of working capital (primarily accounts receivable and inventory) during the first and second quarters. The third fiscal quarter is a significant period for collecting accounts receivable.</w:t>
      </w:r>
    </w:p>
    <w:p>
      <w:pPr>
        <w:spacing w:after="0" w:line="37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219"/>
          </w:cols>
          <w:pgMar w:left="240" w:top="306"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Cash used in investing activities for the nine months of fiscal 1998 totaled $168.1 compared to $56.5 in the prior year. This increase is primarily attributable to net cash used for the acquisition of Levington and Earthgro of approximately $88.8 and $42.4, respectively. Capital investments were $22.0 in the first nine months of fiscal 1998, a $12.6 increase in comparison to the prior year. This increase is primarily attributable to the construction of a warehouse facility and the installation of new packaging lines, both in Marysville, as well as the acquisition of additional warehousing space in the Netherlands.</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Financing activities provided $91.8 for the first nine months of fiscal 1998 compared to a usage of $18.3 in the prior year. Financing activities are principally supported by the Company's Credit Agreement. Approximately $88.8 and $42.4 of the increase from the prior year relates to financing the Levington and Earthgro acquisitions, respectively.</w:t>
      </w:r>
    </w:p>
    <w:p>
      <w:pPr>
        <w:spacing w:after="0" w:line="186"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Total debt was $331.0 as of July 4, 1998, an increase of $109.7 compared with debt at September 30, 1997 and an increase of $89.6 compared with debt levels at June 28, 1997. Borrowings associated with the Levington and Earthgro acquisitions were approximately $88.8 and $42.4, respectively. The remaining decrease compared to both September 30, 1997 and June 28, 1997 is attributable to strong operating cash flows, partially offset by capital expenditures and preferred stock dividends.</w:t>
      </w:r>
    </w:p>
    <w:p>
      <w:pPr>
        <w:spacing w:after="0" w:line="375"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Shareholders' equity as of July 4, 1998 was $430.1, representing a $40.9 increase compared to September 30, 1997 and a $33.7 increase compared to June 28, 1997. The increase compared to September 30, 1997 is attributable to net income of $51.6, Convertible Preferred Stock dividends of $7.3, an unfavorable change in cumulative foreign currency translation of $1.9 and treasury stock activity of $1.5. The increase compared to June 28, 1997 is attributable to net income for the twelve month period ended July 4, 1998 of $48.2, Convertible Preferred Stock dividends of $9.8, unfavorable changes in cumulative foreign currency translation of $3.9 and treasury stock activity of $0.8.</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Company has foreign exchange risk related to international operations and cash flows. The Company has historically entered into forward foreign exchange contracts and purchased currency options to hedge its exposure to fluctuations in foreign currency exchange rates. The Company has reassessed its foreign exchange policy and taken actions internally to reduce such exposure, thus reducing its use of foreign exchange contracts.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As of July 4, 1998, the Company's European operations had foreign exchange risk in various European currencies tied to the Dutch Guilder. These currencies include the Belgian Franc, Spanish Peseta, French Franc, British Pound, Italian Lire, Australian Dollar and the U.S. Dollar. The Company's U.S. operations had foreign exchange rate risk in the Canadian Dollar, Dutch Guilder and the British Pound which are tied to the U.S. Dollar.</w:t>
      </w:r>
    </w:p>
    <w:p>
      <w:pPr>
        <w:spacing w:after="0" w:line="190"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In the opinion of the Company's management, cash flows from operations and capital resources will be sufficient to meet debt service and working capital needs during fiscal 1998. The Company expects to finance announced business combinations through the use of debt instruments.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w:t>
      </w:r>
    </w:p>
    <w:p>
      <w:pPr>
        <w:spacing w:after="0" w:line="38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10219"/>
          </w:cols>
          <w:pgMar w:left="240" w:top="306"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Additional information on environmental matters affecting the Company is provided in Note 6 to the Company's Consolidated Financial Statements and in the Annual Report on Form 10-K to the Securities and Exchange Commission for the year ended September 30, 1997 under the "Business - Environmental and Regulatory Considerations" section.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STANDARDS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June 1997, the FASB issued SFAS No. 130, "Reporting Comprehensive Income" and SFAS No. 131, "Disclosures About Segments of an Enterprise and Related Information". In February 1998, the FASB issued SFAS No. 132, "Employers' Disclosure about Pensions and Other Postretirement Benefits." In August 1998, the FASB issued SFAS No. 133, "Accounting for Derivative Instruments and Hedging Activities." SFAS No. 130, 131 and 132 are effective for financial statements for fiscal years beginning after December 15, 1997. SFAS NO. 133 is effective for fiscal years beginning after June 15, 1999.</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 sources. It includes all changes in equity during a period except those resulting from investments by owners and distributions to owners. The Company believes the only significant differences between comprehensive income and currently reported income will be the impact of foreign currency translation. The Company plans to adopt SFAS No. 130 in fiscal 1999.</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The Company plans to adopt SFAS No. 131 in the first quarter of fiscal 1999; however, the Company believes that the business segments identified and set forth in Note 14 to the Scotts' fiscal 1997 Annual Report on Form 10-K are in substantial compliance with SFAS No. 131.</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SFAS No. 132 revises employers' disclosures about pension and other postretirement benefit plans. It does not change the measurement or recognition of those plans. It standardizes the disclosure requirements for pensions and other postretirement benefits to the extent practicable, requires additional information on changes in the benefit obligations and fair values of plan assets that will facilitate financial analysis, and eliminates certain disclosures that are no longer useful. The Company plans to adopt SFAS No. 132 in fiscal 1999.</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 RESOURCE PLANNING</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July 1998, the Company announced an initiative ("Project Catalyst") designed to bring its information system resources in line with the Company's current growth patterns. The project will include reengineering of certain key processes and the installation of SAP software on a world-wide basis over the course of the next two fiscal years, with an estimated cost of $48.0. The Company currently estimates that of the total costs, $36.0 and $12.0 will be capitalized and expensed, respectively. SAP has been selected as the primary software provider for this project. As this project is not scheduled for completion prior to January 1, 2000, the Company is addressing the Year 2000 issue separately from the ERP project.</w:t>
      </w:r>
    </w:p>
    <w:p>
      <w:pPr>
        <w:spacing w:after="0" w:line="200" w:lineRule="exact"/>
        <w:rPr>
          <w:sz w:val="20"/>
          <w:szCs w:val="20"/>
          <w:color w:val="auto"/>
        </w:rPr>
      </w:pPr>
    </w:p>
    <w:p>
      <w:pPr>
        <w:spacing w:after="0" w:line="36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219"/>
          </w:cols>
          <w:pgMar w:left="240" w:top="306" w:right="1440" w:bottom="998"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is addressing exposures related to the Year 2000 issue. Key financial, information and operational systems have been assessed and plans developed in order to mitigate the Year 2000 issue. These plans include conversion of in-house developed software, upgrades to purchased software and confirmation with trading partners as to their Year 2000 state of readiness. The Company engaged outside consultants to review the Company's plans for addressing the Year 2000 issue and, as a result, established executive sponsorship and a Program Office to oversee Company-wide efforts. Such efforts are currently in various stages of completion. The Company estimates the cost of mitigating the entire Year 2000 issue to be in the range of $5 to $7 million, the majority of which will be recorded as expense. Through the third quarter of fiscal 1998, the Company has spent approximately $1 million towards these efforts.</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Management believes its plans will adequately address the Year 2000 issue. However, if such conversions and upgrades are not adequately made or timely completed, the Year 2000 issue could have a material impact on the operations of the Company and its financial results.</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Beginning in January 1999, a new currency called the "euro" is scheduled to be introduced in certain Economic and Monetary Union ("EMU") countries. During 2002, all EMU countries are expected to be operating with the euro as their single currency. Uncertainty exists as to the effects the euro currency will have on the marketplace. Additionally, all of the final rules and regulations have not yet been defined and finalized by the European Commission with regard to the euro currency. The Company is still assessing the impact the EMU formation will have on its internal systems and the sale of its products. The Company expects to take appropriate actions based on the results of such assessment. The Company has not yet determined the cost related to addressing this issue and there can be no assurance that this issue and its related costs will not have a materially adverse effect on the Company's business, operating results and financial condition.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On June 25, 1998, the Company signed a letter of intent with Monsanto Company to acquire the assets of Monsanto's consumer lawn and garden businesses, exclusive of the RoundUp(R) business, for approximately $300 million. The acquired businesses include Ortho(R) line of pesticides which encompasses brands such as Weed-B-Gone(R), Rose Pride(R) and Home Defense(R). As part of the agreement, the Company would also acquire Green Cross(R), a leading pesticides business in Canada. Separately, the Company signed a letter of intent with Monsanto for exclusive international marketing and agency rights to Monsanto's consumer RoundUp(R) herbicide products. The proposed agreement would cover most major consumer lawn and garden markets in the world, including the U.S., Canada, Germany, France, other parts of continental Europe, and Australia. The Company expects to consummate the transactions contemplated by the agreements in the first quarter of fiscal 1999.</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On July 10, 1998, the Company announced that it had agreed to purchase Rhone-Poulenc Jardin, continental Europe's largest consumer lawn and garden products company, from Rhone-Poulenc. Separately, the Company announced that it had agreed to acquire ASEF, a privately-held Netherlands-based lawn and garden products company. The combined purchase price for these two separate transactions is approximately $220 million. The Company expects to consummate the transactions contemplated by the agreement late in the fourth quarter of fiscal 1998 or the first quarter of fiscal 1999.</w:t>
      </w:r>
    </w:p>
    <w:p>
      <w:pPr>
        <w:spacing w:after="0" w:line="37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20</w:t>
      </w:r>
    </w:p>
    <w:p>
      <w:pPr>
        <w:sectPr>
          <w:pgSz w:w="11900" w:h="16838" w:orient="portrait"/>
          <w:cols w:equalWidth="0" w:num="1">
            <w:col w:w="10219"/>
          </w:cols>
          <w:pgMar w:left="240" w:top="306"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The strong financial results for the first nine months of fiscal 1998 represent the second year in the Company's long-term strategy for profitable growth. Management believes the Company is on course towards fulfilling the following tenets which it established as part of its strategic plan:</w:t>
      </w:r>
    </w:p>
    <w:p>
      <w:pPr>
        <w:spacing w:after="0" w:line="187" w:lineRule="exact"/>
        <w:rPr>
          <w:sz w:val="20"/>
          <w:szCs w:val="20"/>
          <w:color w:val="auto"/>
        </w:rPr>
      </w:pPr>
    </w:p>
    <w:p>
      <w:pPr>
        <w:ind w:left="500" w:right="2519" w:hanging="499"/>
        <w:spacing w:after="0" w:line="251" w:lineRule="auto"/>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and capitalize on the strengths of the Scotts(R), Miracle-Gro(R) and Hyponex(R) industry-leading brands. This involves a commitment to our investors and retail partners that we will support these brands through advertising and promotion unequaled in the lawn and garden consumables market. In the Professional categories of our business, it signifies a commitment to our customers to provide value and an integral element in their long-term success;</w:t>
      </w:r>
    </w:p>
    <w:p>
      <w:pPr>
        <w:spacing w:after="0" w:line="189" w:lineRule="exact"/>
        <w:rPr>
          <w:rFonts w:ascii="Courier New" w:cs="Courier New" w:eastAsia="Courier New" w:hAnsi="Courier New"/>
          <w:sz w:val="16"/>
          <w:szCs w:val="16"/>
          <w:color w:val="auto"/>
        </w:rPr>
      </w:pPr>
    </w:p>
    <w:p>
      <w:pPr>
        <w:ind w:left="500" w:right="2339" w:hanging="499"/>
        <w:spacing w:after="0" w:line="255" w:lineRule="auto"/>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commitment to continuously study and improve our knowledge of the market, the consumer and the competition;</w:t>
      </w:r>
    </w:p>
    <w:p>
      <w:pPr>
        <w:spacing w:after="0" w:line="183" w:lineRule="exact"/>
        <w:rPr>
          <w:rFonts w:ascii="Courier New" w:cs="Courier New" w:eastAsia="Courier New" w:hAnsi="Courier New"/>
          <w:sz w:val="16"/>
          <w:szCs w:val="16"/>
          <w:color w:val="auto"/>
        </w:rPr>
      </w:pPr>
    </w:p>
    <w:p>
      <w:pPr>
        <w:ind w:left="500" w:right="2519" w:hanging="499"/>
        <w:spacing w:after="0" w:line="253" w:lineRule="auto"/>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Simplification of our product lines and business processes, to focus on those that deliver value, evaluate marginal ones and eliminate those that lack future prospects; and</w:t>
      </w:r>
    </w:p>
    <w:p>
      <w:pPr>
        <w:spacing w:after="0" w:line="185" w:lineRule="exact"/>
        <w:rPr>
          <w:rFonts w:ascii="Courier New" w:cs="Courier New" w:eastAsia="Courier New" w:hAnsi="Courier New"/>
          <w:sz w:val="16"/>
          <w:szCs w:val="16"/>
          <w:color w:val="auto"/>
        </w:rPr>
      </w:pPr>
    </w:p>
    <w:p>
      <w:pPr>
        <w:ind w:left="500" w:right="2439" w:hanging="499"/>
        <w:spacing w:after="0" w:line="255" w:lineRule="auto"/>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acquisitions of Levington and Earthgro, as well as other business initiatives such as Scotts Lawn Service, Sanford Scientific, Inc., the U.S. Home and Garden Consumer Products Business of AgrEvo Environmental Health, Inc. and recently announced business combinations are symbolic of the Company's intention to consider acquisition opportunities in related or new markets. Within the Company's four-year strategic plan, management has established challenging, but realistic, financial goals, including:</w:t>
      </w:r>
    </w:p>
    <w:p>
      <w:pPr>
        <w:spacing w:after="0" w:line="190" w:lineRule="exact"/>
        <w:rPr>
          <w:sz w:val="20"/>
          <w:szCs w:val="20"/>
          <w:color w:val="auto"/>
        </w:rPr>
      </w:pPr>
    </w:p>
    <w:p>
      <w:pPr>
        <w:ind w:left="600" w:hanging="599"/>
        <w:spacing w:after="0"/>
        <w:tabs>
          <w:tab w:leader="none" w:pos="6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growth of 6% to 8% in core businesses;</w:t>
      </w:r>
    </w:p>
    <w:p>
      <w:pPr>
        <w:spacing w:after="0" w:line="8" w:lineRule="exact"/>
        <w:rPr>
          <w:rFonts w:ascii="Courier New" w:cs="Courier New" w:eastAsia="Courier New" w:hAnsi="Courier New"/>
          <w:sz w:val="16"/>
          <w:szCs w:val="16"/>
          <w:color w:val="auto"/>
        </w:rPr>
      </w:pPr>
    </w:p>
    <w:p>
      <w:pPr>
        <w:ind w:left="600" w:right="2719" w:hanging="599"/>
        <w:spacing w:after="0" w:line="251" w:lineRule="auto"/>
        <w:tabs>
          <w:tab w:leader="none" w:pos="6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aggregate operating margin improvement of at least 2% over the next four years; and</w:t>
      </w:r>
    </w:p>
    <w:p>
      <w:pPr>
        <w:ind w:left="600" w:hanging="599"/>
        <w:spacing w:after="0"/>
        <w:tabs>
          <w:tab w:leader="none" w:pos="6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compounded annual EPS growth of 15%.</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has made and will make certain forward-looking statements in its Annual Report, Form 10-Q and in other contexts relating to future growth and profitability targets, and strategies designed to increase total shareholder value. The Private Securities Litigation Reform Act of 1995 (the "Act")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The Company desires to take advantage of the "safe harbor" provisions of the Act.</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These forward-looking statements represent challenging goals for the Company, and the achievement thereof is subject to a variety of risks and assumptions. These forward-looking statements include, but are not limited to, information regarding the future economic performance and financial condition of the Company, the plans and objectives of the Company's management, and the Company's assumptions regarding such performance and plans. Therefore, it is possible that the Company's future actual financial results may differ materially from those expressed in these forward-looking statements due to a variety of factors, including:</w:t>
      </w:r>
    </w:p>
    <w:p>
      <w:pPr>
        <w:spacing w:after="0" w:line="379" w:lineRule="exact"/>
        <w:rPr>
          <w:sz w:val="20"/>
          <w:szCs w:val="20"/>
          <w:color w:val="auto"/>
        </w:rPr>
      </w:pPr>
    </w:p>
    <w:p>
      <w:pPr>
        <w:ind w:left="1380" w:right="2619" w:hanging="492"/>
        <w:spacing w:after="0" w:line="253" w:lineRule="auto"/>
        <w:tabs>
          <w:tab w:leader="none" w:pos="1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 in North America and Europe which have a significant impact on the timing of sales in the Spring selling season and overall annual sales;</w:t>
      </w:r>
    </w:p>
    <w:p>
      <w:pPr>
        <w:spacing w:after="0" w:line="185" w:lineRule="exact"/>
        <w:rPr>
          <w:rFonts w:ascii="Courier New" w:cs="Courier New" w:eastAsia="Courier New" w:hAnsi="Courier New"/>
          <w:sz w:val="16"/>
          <w:szCs w:val="16"/>
          <w:color w:val="auto"/>
        </w:rPr>
      </w:pPr>
    </w:p>
    <w:p>
      <w:pPr>
        <w:ind w:left="1380" w:right="2339" w:hanging="492"/>
        <w:spacing w:after="0" w:line="252" w:lineRule="auto"/>
        <w:tabs>
          <w:tab w:leader="none" w:pos="1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marketplace acceptance of the Company's Consumer Lawns and Consumer Gardens groups' "pull" advertising marketing strategies, particularly in the Consumer Lawns group which refocused its general marketing strategy beginning in fiscal 1996;</w:t>
      </w:r>
    </w:p>
    <w:p>
      <w:pPr>
        <w:spacing w:after="0" w:line="186" w:lineRule="exact"/>
        <w:rPr>
          <w:rFonts w:ascii="Courier New" w:cs="Courier New" w:eastAsia="Courier New" w:hAnsi="Courier New"/>
          <w:sz w:val="16"/>
          <w:szCs w:val="16"/>
          <w:color w:val="auto"/>
        </w:rPr>
      </w:pPr>
    </w:p>
    <w:p>
      <w:pPr>
        <w:ind w:left="1380" w:right="2439" w:hanging="492"/>
        <w:spacing w:after="0" w:line="252" w:lineRule="auto"/>
        <w:tabs>
          <w:tab w:leader="none" w:pos="1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maintain profit margins on its products, to produce its products on a timely basis, and to maintain and develop additional production capacity as necessary to meet demand;</w:t>
      </w:r>
    </w:p>
    <w:p>
      <w:pPr>
        <w:spacing w:after="0" w:line="37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21</w:t>
      </w:r>
    </w:p>
    <w:p>
      <w:pPr>
        <w:sectPr>
          <w:pgSz w:w="11900" w:h="16838" w:orient="portrait"/>
          <w:cols w:equalWidth="0" w:num="1">
            <w:col w:w="10219"/>
          </w:cols>
          <w:pgMar w:left="240" w:top="306" w:right="1440" w:bottom="2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80" w:right="2719" w:hanging="492"/>
        <w:spacing w:after="0" w:line="253" w:lineRule="auto"/>
        <w:tabs>
          <w:tab w:leader="none" w:pos="10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among lawn and garden care product producers supplying the consumer and professional markets, both in North America and Europe;</w:t>
      </w:r>
    </w:p>
    <w:p>
      <w:pPr>
        <w:spacing w:after="0" w:line="185" w:lineRule="exact"/>
        <w:rPr>
          <w:rFonts w:ascii="Courier New" w:cs="Courier New" w:eastAsia="Courier New" w:hAnsi="Courier New"/>
          <w:sz w:val="16"/>
          <w:szCs w:val="16"/>
          <w:color w:val="auto"/>
        </w:rPr>
      </w:pPr>
    </w:p>
    <w:p>
      <w:pPr>
        <w:ind w:left="1080" w:right="2519" w:hanging="492"/>
        <w:spacing w:after="0" w:line="253" w:lineRule="auto"/>
        <w:tabs>
          <w:tab w:leader="none" w:pos="10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between and the recent consolidation within the retail outlets selling lawn and garden care products produced by the Company;</w:t>
      </w:r>
    </w:p>
    <w:p>
      <w:pPr>
        <w:spacing w:after="0" w:line="185" w:lineRule="exact"/>
        <w:rPr>
          <w:rFonts w:ascii="Courier New" w:cs="Courier New" w:eastAsia="Courier New" w:hAnsi="Courier New"/>
          <w:sz w:val="16"/>
          <w:szCs w:val="16"/>
          <w:color w:val="auto"/>
        </w:rPr>
      </w:pPr>
    </w:p>
    <w:p>
      <w:pPr>
        <w:ind w:left="1080" w:right="2519" w:hanging="492"/>
        <w:spacing w:after="0" w:line="255" w:lineRule="auto"/>
        <w:tabs>
          <w:tab w:leader="none" w:pos="10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regarding the safety of the products produced and marketed by the Company;</w:t>
      </w:r>
    </w:p>
    <w:p>
      <w:pPr>
        <w:spacing w:after="0" w:line="183" w:lineRule="exact"/>
        <w:rPr>
          <w:rFonts w:ascii="Courier New" w:cs="Courier New" w:eastAsia="Courier New" w:hAnsi="Courier New"/>
          <w:sz w:val="16"/>
          <w:szCs w:val="16"/>
          <w:color w:val="auto"/>
        </w:rPr>
      </w:pPr>
    </w:p>
    <w:p>
      <w:pPr>
        <w:ind w:left="1080" w:right="2519" w:hanging="492"/>
        <w:spacing w:after="0" w:line="252" w:lineRule="auto"/>
        <w:tabs>
          <w:tab w:leader="none" w:pos="10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Inherent risks of international development, including currency exchange rates, the implementation of the euro, economic conditions and regulatory and cultural difficulties or delays in the Company's development outside the United States;</w:t>
      </w:r>
    </w:p>
    <w:p>
      <w:pPr>
        <w:spacing w:after="0" w:line="186" w:lineRule="exact"/>
        <w:rPr>
          <w:rFonts w:ascii="Courier New" w:cs="Courier New" w:eastAsia="Courier New" w:hAnsi="Courier New"/>
          <w:sz w:val="16"/>
          <w:szCs w:val="16"/>
          <w:color w:val="auto"/>
        </w:rPr>
      </w:pPr>
    </w:p>
    <w:p>
      <w:pPr>
        <w:ind w:left="1080" w:right="2339" w:hanging="492"/>
        <w:spacing w:after="0" w:line="255" w:lineRule="auto"/>
        <w:tabs>
          <w:tab w:leader="none" w:pos="10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economic conditions in the United States and the impact of changes in interest rates;</w:t>
      </w:r>
    </w:p>
    <w:p>
      <w:pPr>
        <w:spacing w:after="0" w:line="183" w:lineRule="exact"/>
        <w:rPr>
          <w:rFonts w:ascii="Courier New" w:cs="Courier New" w:eastAsia="Courier New" w:hAnsi="Courier New"/>
          <w:sz w:val="16"/>
          <w:szCs w:val="16"/>
          <w:color w:val="auto"/>
        </w:rPr>
      </w:pPr>
    </w:p>
    <w:p>
      <w:pPr>
        <w:ind w:left="1080" w:right="2519" w:hanging="492"/>
        <w:spacing w:after="0" w:line="252" w:lineRule="auto"/>
        <w:tabs>
          <w:tab w:leader="none" w:pos="10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the Company to improve its processes and business practices to keep pace with the economic, competitive and technological environment, including successfully addressing the Year 2000 issues and completing Project Catalyst on a timely basis; and</w:t>
      </w:r>
    </w:p>
    <w:p>
      <w:pPr>
        <w:spacing w:after="0" w:line="185" w:lineRule="exact"/>
        <w:rPr>
          <w:rFonts w:ascii="Courier New" w:cs="Courier New" w:eastAsia="Courier New" w:hAnsi="Courier New"/>
          <w:sz w:val="16"/>
          <w:szCs w:val="16"/>
          <w:color w:val="auto"/>
        </w:rPr>
      </w:pPr>
    </w:p>
    <w:p>
      <w:pPr>
        <w:ind w:left="1080" w:right="2619" w:hanging="492"/>
        <w:spacing w:after="0" w:line="255" w:lineRule="auto"/>
        <w:tabs>
          <w:tab w:leader="none" w:pos="10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obtain financing for, and successfully integrate acquired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Page 22</w:t>
      </w:r>
    </w:p>
    <w:p>
      <w:pPr>
        <w:sectPr>
          <w:pgSz w:w="11900" w:h="16838" w:orient="portrait"/>
          <w:cols w:equalWidth="0" w:num="1">
            <w:col w:w="9919"/>
          </w:cols>
          <w:pgMar w:left="540" w:top="306"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Part II - OTHER INFORMATION</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Legal Proceedings</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See Footnote 6 to the Consolidated Financial Statements.</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Other Information</w:t>
      </w:r>
    </w:p>
    <w:p>
      <w:pPr>
        <w:spacing w:after="0" w:line="198" w:lineRule="exact"/>
        <w:rPr>
          <w:sz w:val="20"/>
          <w:szCs w:val="20"/>
          <w:color w:val="auto"/>
        </w:rPr>
      </w:pPr>
    </w:p>
    <w:p>
      <w:pPr>
        <w:ind w:left="880" w:right="2439"/>
        <w:spacing w:after="0" w:line="251" w:lineRule="auto"/>
        <w:rPr>
          <w:sz w:val="20"/>
          <w:szCs w:val="20"/>
          <w:color w:val="auto"/>
        </w:rPr>
      </w:pPr>
      <w:r>
        <w:rPr>
          <w:rFonts w:ascii="Courier New" w:cs="Courier New" w:eastAsia="Courier New" w:hAnsi="Courier New"/>
          <w:sz w:val="16"/>
          <w:szCs w:val="16"/>
          <w:color w:val="auto"/>
        </w:rPr>
        <w:t>As discussed in the Company's Proxy Statement for the 1998 Annual Meeting of Shareholders, any qualified shareholder of the Company who intends to submit a proposal to the Company at the 1999 Annual Meeting of Shareholders (the "1999 Annual Meeting") must submit such proposal to the Company not later than September 14, 1998 to be considered for inclusion in the Company's Proxy Statement and form of Proxy (the "Proxy Materials") relating to that meeting. If a shareholder intends to present a proposal at the 1999 Annual Meeting of Shareholders, but has not sought the inclusion of such proposal in the Company's Proxy Materials, such proposal must be received by the Company prior to November 28, 1998 or the Company's management proxies for the 1999 Annual Meeting will be entitled to use their discretionary voting authority should such proposal then be raised, without any discussion of the matter in the Company's Proxy Materials.</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w:t>
      </w:r>
    </w:p>
    <w:p>
      <w:pPr>
        <w:spacing w:after="0" w:line="198" w:lineRule="exact"/>
        <w:rPr>
          <w:sz w:val="20"/>
          <w:szCs w:val="20"/>
          <w:color w:val="auto"/>
        </w:rPr>
      </w:pPr>
    </w:p>
    <w:p>
      <w:pPr>
        <w:ind w:left="1280" w:right="2619" w:hanging="392"/>
        <w:spacing w:after="0" w:line="255" w:lineRule="auto"/>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25 for a list of the exhibits included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23</w:t>
      </w:r>
    </w:p>
    <w:p>
      <w:pPr>
        <w:sectPr>
          <w:pgSz w:w="11900" w:h="16838" w:orient="portrait"/>
          <w:cols w:equalWidth="0" w:num="1">
            <w:col w:w="10219"/>
          </w:cols>
          <w:pgMar w:left="240" w:top="306"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August 17, 1998</w:t>
      </w:r>
    </w:p>
    <w:p>
      <w:pPr>
        <w:spacing w:after="0" w:line="8"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JEAN H. MORDO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3">
            <w:col w:w="400" w:space="100"/>
            <w:col w:w="3120" w:space="720"/>
            <w:col w:w="5879"/>
          </w:cols>
          <w:pgMar w:left="240" w:top="3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24</w:t>
      </w:r>
    </w:p>
    <w:p>
      <w:pPr>
        <w:sectPr>
          <w:pgSz w:w="11900" w:h="16838" w:orient="portrait"/>
          <w:cols w:equalWidth="0" w:num="1">
            <w:col w:w="10219"/>
          </w:cols>
          <w:pgMar w:left="240" w:top="306"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25</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THE SCOTTS COMPANY</w:t>
      </w:r>
    </w:p>
    <w:p>
      <w:pPr>
        <w:spacing w:after="0" w:line="198"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6"/>
          <w:szCs w:val="16"/>
          <w:color w:val="auto"/>
        </w:rPr>
        <w:t>QUARTERLY REPORT ON FORM 10-Q FOR</w:t>
      </w:r>
    </w:p>
    <w:p>
      <w:pPr>
        <w:spacing w:after="0" w:line="8"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6"/>
          <w:szCs w:val="16"/>
          <w:color w:val="auto"/>
        </w:rPr>
        <w:t>FISCAL QUARTER ENDED July 4, 1998</w:t>
      </w:r>
    </w:p>
    <w:p>
      <w:pPr>
        <w:spacing w:after="0" w:line="200" w:lineRule="exact"/>
        <w:rPr>
          <w:sz w:val="20"/>
          <w:szCs w:val="20"/>
          <w:color w:val="auto"/>
        </w:rPr>
      </w:pPr>
    </w:p>
    <w:p>
      <w:pPr>
        <w:spacing w:after="0" w:line="37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240" w:type="dxa"/>
            <w:vAlign w:val="bottom"/>
          </w:tcPr>
          <w:p>
            <w:pPr>
              <w:jc w:val="right"/>
              <w:ind w:right="478"/>
              <w:spacing w:after="0"/>
              <w:rPr>
                <w:sz w:val="20"/>
                <w:szCs w:val="20"/>
                <w:color w:val="auto"/>
              </w:rPr>
            </w:pPr>
            <w:r>
              <w:rPr>
                <w:rFonts w:ascii="Courier New" w:cs="Courier New" w:eastAsia="Courier New" w:hAnsi="Courier New"/>
                <w:sz w:val="16"/>
                <w:szCs w:val="16"/>
                <w:color w:val="auto"/>
                <w:w w:val="98"/>
              </w:rPr>
              <w:t>Exhibit</w:t>
            </w:r>
          </w:p>
        </w:tc>
        <w:tc>
          <w:tcPr>
            <w:tcW w:w="4280" w:type="dxa"/>
            <w:vAlign w:val="bottom"/>
          </w:tcPr>
          <w:p>
            <w:pPr>
              <w:spacing w:after="0"/>
              <w:rPr>
                <w:sz w:val="16"/>
                <w:szCs w:val="16"/>
                <w:color w:val="auto"/>
              </w:rPr>
            </w:pPr>
          </w:p>
        </w:tc>
        <w:tc>
          <w:tcPr>
            <w:tcW w:w="1880" w:type="dxa"/>
            <w:vAlign w:val="bottom"/>
          </w:tcPr>
          <w:p>
            <w:pPr>
              <w:jc w:val="center"/>
              <w:ind w:left="1198"/>
              <w:spacing w:after="0"/>
              <w:rPr>
                <w:sz w:val="20"/>
                <w:szCs w:val="20"/>
                <w:color w:val="auto"/>
              </w:rPr>
            </w:pPr>
            <w:r>
              <w:rPr>
                <w:rFonts w:ascii="Courier New" w:cs="Courier New" w:eastAsia="Courier New" w:hAnsi="Courier New"/>
                <w:sz w:val="16"/>
                <w:szCs w:val="16"/>
                <w:color w:val="auto"/>
              </w:rPr>
              <w:t>Page</w:t>
            </w:r>
          </w:p>
        </w:tc>
      </w:tr>
      <w:tr>
        <w:trPr>
          <w:trHeight w:val="190"/>
        </w:trPr>
        <w:tc>
          <w:tcPr>
            <w:tcW w:w="12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Number</w:t>
            </w:r>
          </w:p>
        </w:tc>
        <w:tc>
          <w:tcPr>
            <w:tcW w:w="4280" w:type="dxa"/>
            <w:vAlign w:val="bottom"/>
          </w:tcPr>
          <w:p>
            <w:pPr>
              <w:ind w:left="1920"/>
              <w:spacing w:after="0"/>
              <w:rPr>
                <w:sz w:val="20"/>
                <w:szCs w:val="20"/>
                <w:color w:val="auto"/>
              </w:rPr>
            </w:pPr>
            <w:r>
              <w:rPr>
                <w:rFonts w:ascii="Courier New" w:cs="Courier New" w:eastAsia="Courier New" w:hAnsi="Courier New"/>
                <w:sz w:val="16"/>
                <w:szCs w:val="16"/>
                <w:color w:val="auto"/>
              </w:rPr>
              <w:t>Description</w:t>
            </w:r>
          </w:p>
        </w:tc>
        <w:tc>
          <w:tcPr>
            <w:tcW w:w="1880" w:type="dxa"/>
            <w:vAlign w:val="bottom"/>
          </w:tcPr>
          <w:p>
            <w:pPr>
              <w:jc w:val="center"/>
              <w:ind w:left="1198"/>
              <w:spacing w:after="0"/>
              <w:rPr>
                <w:sz w:val="20"/>
                <w:szCs w:val="20"/>
                <w:color w:val="auto"/>
              </w:rPr>
            </w:pPr>
            <w:r>
              <w:rPr>
                <w:rFonts w:ascii="Courier New" w:cs="Courier New" w:eastAsia="Courier New" w:hAnsi="Courier New"/>
                <w:sz w:val="16"/>
                <w:szCs w:val="16"/>
                <w:color w:val="auto"/>
              </w:rPr>
              <w:t>Number</w:t>
            </w:r>
          </w:p>
        </w:tc>
      </w:tr>
      <w:tr>
        <w:trPr>
          <w:trHeight w:val="190"/>
        </w:trPr>
        <w:tc>
          <w:tcPr>
            <w:tcW w:w="12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4280" w:type="dxa"/>
            <w:vAlign w:val="bottom"/>
          </w:tcPr>
          <w:p>
            <w:pPr>
              <w:ind w:left="192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center"/>
              <w:ind w:left="1198"/>
              <w:spacing w:after="0"/>
              <w:rPr>
                <w:sz w:val="20"/>
                <w:szCs w:val="20"/>
                <w:color w:val="auto"/>
              </w:rPr>
            </w:pPr>
            <w:r>
              <w:rPr>
                <w:rFonts w:ascii="Courier New" w:cs="Courier New" w:eastAsia="Courier New" w:hAnsi="Courier New"/>
                <w:sz w:val="16"/>
                <w:szCs w:val="16"/>
                <w:color w:val="auto"/>
              </w:rPr>
              <w:t>------</w:t>
            </w:r>
          </w:p>
        </w:tc>
      </w:tr>
      <w:tr>
        <w:trPr>
          <w:trHeight w:val="569"/>
        </w:trPr>
        <w:tc>
          <w:tcPr>
            <w:tcW w:w="12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27</w:t>
            </w:r>
          </w:p>
        </w:tc>
        <w:tc>
          <w:tcPr>
            <w:tcW w:w="4280" w:type="dxa"/>
            <w:vAlign w:val="bottom"/>
          </w:tcPr>
          <w:p>
            <w:pPr>
              <w:ind w:left="540"/>
              <w:spacing w:after="0"/>
              <w:rPr>
                <w:sz w:val="20"/>
                <w:szCs w:val="20"/>
                <w:color w:val="auto"/>
              </w:rPr>
            </w:pPr>
            <w:r>
              <w:rPr>
                <w:rFonts w:ascii="Courier New" w:cs="Courier New" w:eastAsia="Courier New" w:hAnsi="Courier New"/>
                <w:sz w:val="16"/>
                <w:szCs w:val="16"/>
                <w:color w:val="auto"/>
              </w:rPr>
              <w:t>Financial Data Schedule</w:t>
            </w:r>
          </w:p>
        </w:tc>
        <w:tc>
          <w:tcPr>
            <w:tcW w:w="1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25</w:t>
      </w:r>
    </w:p>
    <w:p>
      <w:pPr>
        <w:sectPr>
          <w:pgSz w:w="11900" w:h="16838" w:orient="portrait"/>
          <w:cols w:equalWidth="0" w:num="1">
            <w:col w:w="10219"/>
          </w:cols>
          <w:pgMar w:left="240" w:top="306" w:right="1440" w:bottom="1440" w:gutter="0" w:footer="0" w:header="0"/>
        </w:sectPr>
      </w:pPr>
    </w:p>
    <w:bookmarkStart w:id="29" w:name="page30"/>
    <w:bookmarkEnd w:id="29"/>
    <w:p>
      <w:pPr>
        <w:ind w:left="8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AND CONSOLIDATED STATEMENT OF OPERATIONS OF THE SCOTTS COMPANY AND IS QUALIFIED IN ITS ENTIRETY BY REFERENCE TO THE FORM 10-Q FOR THE QUARTER ENDED JULY 4, 1998.</w:t>
      </w:r>
    </w:p>
    <w:p>
      <w:pPr>
        <w:spacing w:after="0" w:line="18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 S. DOLLARS</w:t>
      </w:r>
    </w:p>
    <w:p>
      <w:pPr>
        <w:spacing w:after="0" w:line="388"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9-MOS</w:t>
      </w:r>
    </w:p>
    <w:p>
      <w:pPr>
        <w:spacing w:after="0" w:line="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SEP-30-1998</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OCT-01-1997</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JUL-4-1998</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29,600,000</w:t>
      </w:r>
    </w:p>
    <w:p>
      <w:pPr>
        <w:spacing w:after="0" w:line="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170,100,000</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5,500,000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165,300,000</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389,400,000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315,000,000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127,300,000</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1,019,100,000</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215,800,000</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177,300,000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200,000</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252,600,000</w:t>
      </w:r>
    </w:p>
    <w:p>
      <w:pPr>
        <w:spacing w:after="0" w:line="8"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1,019,100,000</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923,200,000</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923,200,000</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578,800,000</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225,500,000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2,700,000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27,000,000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89,200,000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36,900,000</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52,300,000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700,000</w:t>
      </w:r>
    </w:p>
    <w:p>
      <w:pPr>
        <w:spacing w:after="0" w:line="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51,600,000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2.37</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1.70</w:t>
      </w:r>
    </w:p>
    <w:p>
      <w:pPr>
        <w:sectPr>
          <w:pgSz w:w="11900" w:h="16838" w:orient="portrait"/>
          <w:cols w:equalWidth="0" w:num="1">
            <w:col w:w="10199"/>
          </w:cols>
          <w:pgMar w:left="260" w:top="521" w:right="1440" w:bottom="1440" w:gutter="0" w:footer="0" w:header="0"/>
        </w:sectPr>
      </w:pPr>
    </w:p>
    <w:bookmarkStart w:id="30" w:name="page31"/>
    <w:bookmarkEnd w:id="30"/>
    <w:p>
      <w:pPr>
        <w:ind w:left="8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AND CONSOLIDATED STATEMENT OF OPERATIONS OF THE SCOTTS COMPANY AND IS QUALIFIED IN ITS ENTIRETY BY REFERENCE TO FORM 10-Q FOR THE QUARTER ENDED JULY 4, 1998.</w:t>
      </w:r>
    </w:p>
    <w:p>
      <w:pPr>
        <w:spacing w:after="0" w:line="37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U.S. DOLLARS</w:t>
      </w:r>
    </w:p>
    <w:p>
      <w:pPr>
        <w:spacing w:after="0" w:line="388"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980" w:type="dxa"/>
            <w:vAlign w:val="bottom"/>
          </w:tcPr>
          <w:p>
            <w:pPr>
              <w:ind w:left="600"/>
              <w:spacing w:after="0"/>
              <w:rPr>
                <w:sz w:val="20"/>
                <w:szCs w:val="20"/>
                <w:color w:val="auto"/>
              </w:rPr>
            </w:pPr>
            <w:r>
              <w:rPr>
                <w:rFonts w:ascii="Courier New" w:cs="Courier New" w:eastAsia="Courier New" w:hAnsi="Courier New"/>
                <w:sz w:val="16"/>
                <w:szCs w:val="16"/>
                <w:color w:val="auto"/>
              </w:rPr>
              <w:t>3-MOS</w:t>
            </w:r>
          </w:p>
        </w:tc>
        <w:tc>
          <w:tcPr>
            <w:tcW w:w="1580" w:type="dxa"/>
            <w:vAlign w:val="bottom"/>
          </w:tcPr>
          <w:p>
            <w:pPr>
              <w:ind w:left="980"/>
              <w:spacing w:after="0"/>
              <w:rPr>
                <w:sz w:val="20"/>
                <w:szCs w:val="20"/>
                <w:color w:val="auto"/>
              </w:rPr>
            </w:pPr>
            <w:r>
              <w:rPr>
                <w:rFonts w:ascii="Courier New" w:cs="Courier New" w:eastAsia="Courier New" w:hAnsi="Courier New"/>
                <w:sz w:val="16"/>
                <w:szCs w:val="16"/>
                <w:color w:val="auto"/>
              </w:rPr>
              <w:t>9-MOS</w:t>
            </w:r>
          </w:p>
        </w:tc>
        <w:tc>
          <w:tcPr>
            <w:tcW w:w="780" w:type="dxa"/>
            <w:vAlign w:val="bottom"/>
          </w:tcPr>
          <w:p>
            <w:pPr>
              <w:spacing w:after="0"/>
              <w:rPr>
                <w:sz w:val="16"/>
                <w:szCs w:val="16"/>
                <w:color w:val="auto"/>
              </w:rPr>
            </w:pPr>
          </w:p>
        </w:tc>
        <w:tc>
          <w:tcPr>
            <w:tcW w:w="1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3-MOS</w:t>
            </w:r>
          </w:p>
        </w:tc>
        <w:tc>
          <w:tcPr>
            <w:tcW w:w="2360" w:type="dxa"/>
            <w:vAlign w:val="bottom"/>
          </w:tcPr>
          <w:p>
            <w:pPr>
              <w:spacing w:after="0"/>
              <w:rPr>
                <w:sz w:val="16"/>
                <w:szCs w:val="16"/>
                <w:color w:val="auto"/>
              </w:rPr>
            </w:pPr>
          </w:p>
        </w:tc>
      </w:tr>
      <w:tr>
        <w:trPr>
          <w:trHeight w:val="190"/>
        </w:trPr>
        <w:tc>
          <w:tcPr>
            <w:tcW w:w="356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SEP-30-1998</w:t>
            </w:r>
          </w:p>
        </w:tc>
        <w:tc>
          <w:tcPr>
            <w:tcW w:w="2360" w:type="dxa"/>
            <w:vAlign w:val="bottom"/>
            <w:gridSpan w:val="2"/>
          </w:tcPr>
          <w:p>
            <w:pPr>
              <w:jc w:val="right"/>
              <w:ind w:right="1098"/>
              <w:spacing w:after="0"/>
              <w:rPr>
                <w:sz w:val="20"/>
                <w:szCs w:val="20"/>
                <w:color w:val="auto"/>
              </w:rPr>
            </w:pPr>
            <w:r>
              <w:rPr>
                <w:rFonts w:ascii="Courier New" w:cs="Courier New" w:eastAsia="Courier New" w:hAnsi="Courier New"/>
                <w:sz w:val="16"/>
                <w:szCs w:val="16"/>
                <w:color w:val="auto"/>
              </w:rPr>
              <w:t>SEP-30-1997</w:t>
            </w:r>
          </w:p>
        </w:tc>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SEP-30-1997</w:t>
            </w:r>
          </w:p>
        </w:tc>
      </w:tr>
      <w:tr>
        <w:trPr>
          <w:trHeight w:val="190"/>
        </w:trPr>
        <w:tc>
          <w:tcPr>
            <w:tcW w:w="3560" w:type="dxa"/>
            <w:vAlign w:val="bottom"/>
            <w:gridSpan w:val="2"/>
          </w:tcPr>
          <w:p>
            <w:pPr>
              <w:ind w:left="1580"/>
              <w:spacing w:after="0"/>
              <w:rPr>
                <w:sz w:val="20"/>
                <w:szCs w:val="20"/>
                <w:color w:val="auto"/>
              </w:rPr>
            </w:pPr>
            <w:r>
              <w:rPr>
                <w:rFonts w:ascii="Courier New" w:cs="Courier New" w:eastAsia="Courier New" w:hAnsi="Courier New"/>
                <w:sz w:val="16"/>
                <w:szCs w:val="16"/>
                <w:color w:val="auto"/>
              </w:rPr>
              <w:t>APR-05-1998</w:t>
            </w:r>
          </w:p>
        </w:tc>
        <w:tc>
          <w:tcPr>
            <w:tcW w:w="2360" w:type="dxa"/>
            <w:vAlign w:val="bottom"/>
            <w:gridSpan w:val="2"/>
          </w:tcPr>
          <w:p>
            <w:pPr>
              <w:jc w:val="right"/>
              <w:ind w:right="798"/>
              <w:spacing w:after="0"/>
              <w:rPr>
                <w:sz w:val="20"/>
                <w:szCs w:val="20"/>
                <w:color w:val="auto"/>
              </w:rPr>
            </w:pPr>
            <w:r>
              <w:rPr>
                <w:rFonts w:ascii="Courier New" w:cs="Courier New" w:eastAsia="Courier New" w:hAnsi="Courier New"/>
                <w:sz w:val="16"/>
                <w:szCs w:val="16"/>
                <w:color w:val="auto"/>
              </w:rPr>
              <w:t>OCT-01-1996</w:t>
            </w:r>
          </w:p>
        </w:tc>
        <w:tc>
          <w:tcPr>
            <w:tcW w:w="2360" w:type="dxa"/>
            <w:vAlign w:val="bottom"/>
          </w:tcPr>
          <w:p>
            <w:pPr>
              <w:ind w:left="400"/>
              <w:spacing w:after="0"/>
              <w:rPr>
                <w:sz w:val="20"/>
                <w:szCs w:val="20"/>
                <w:color w:val="auto"/>
              </w:rPr>
            </w:pPr>
            <w:r>
              <w:rPr>
                <w:rFonts w:ascii="Courier New" w:cs="Courier New" w:eastAsia="Courier New" w:hAnsi="Courier New"/>
                <w:sz w:val="16"/>
                <w:szCs w:val="16"/>
                <w:color w:val="auto"/>
              </w:rPr>
              <w:t>MAR-30-1997</w:t>
            </w:r>
          </w:p>
        </w:tc>
      </w:tr>
      <w:tr>
        <w:trPr>
          <w:trHeight w:val="190"/>
        </w:trPr>
        <w:tc>
          <w:tcPr>
            <w:tcW w:w="3560" w:type="dxa"/>
            <w:vAlign w:val="bottom"/>
            <w:gridSpan w:val="2"/>
          </w:tcPr>
          <w:p>
            <w:pPr>
              <w:ind w:left="1780"/>
              <w:spacing w:after="0"/>
              <w:rPr>
                <w:sz w:val="20"/>
                <w:szCs w:val="20"/>
                <w:color w:val="auto"/>
              </w:rPr>
            </w:pPr>
            <w:r>
              <w:rPr>
                <w:rFonts w:ascii="Courier New" w:cs="Courier New" w:eastAsia="Courier New" w:hAnsi="Courier New"/>
                <w:sz w:val="16"/>
                <w:szCs w:val="16"/>
                <w:color w:val="auto"/>
              </w:rPr>
              <w:t>JUL-04-1998</w:t>
            </w:r>
          </w:p>
        </w:tc>
        <w:tc>
          <w:tcPr>
            <w:tcW w:w="2360" w:type="dxa"/>
            <w:vAlign w:val="bottom"/>
            <w:gridSpan w:val="2"/>
          </w:tcPr>
          <w:p>
            <w:pPr>
              <w:jc w:val="right"/>
              <w:ind w:right="618"/>
              <w:spacing w:after="0"/>
              <w:rPr>
                <w:sz w:val="20"/>
                <w:szCs w:val="20"/>
                <w:color w:val="auto"/>
              </w:rPr>
            </w:pPr>
            <w:r>
              <w:rPr>
                <w:rFonts w:ascii="Courier New" w:cs="Courier New" w:eastAsia="Courier New" w:hAnsi="Courier New"/>
                <w:sz w:val="16"/>
                <w:szCs w:val="16"/>
                <w:color w:val="auto"/>
              </w:rPr>
              <w:t>JUN-28-1997</w:t>
            </w:r>
          </w:p>
        </w:tc>
        <w:tc>
          <w:tcPr>
            <w:tcW w:w="23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JUN-28-1997</w:t>
            </w:r>
          </w:p>
        </w:tc>
      </w:tr>
      <w:tr>
        <w:trPr>
          <w:trHeight w:val="190"/>
        </w:trPr>
        <w:tc>
          <w:tcPr>
            <w:tcW w:w="198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1</w:t>
            </w:r>
          </w:p>
        </w:tc>
        <w:tc>
          <w:tcPr>
            <w:tcW w:w="780" w:type="dxa"/>
            <w:vAlign w:val="bottom"/>
          </w:tcPr>
          <w:p>
            <w:pPr>
              <w:spacing w:after="0"/>
              <w:rPr>
                <w:sz w:val="16"/>
                <w:szCs w:val="16"/>
                <w:color w:val="auto"/>
              </w:rPr>
            </w:pPr>
          </w:p>
        </w:tc>
        <w:tc>
          <w:tcPr>
            <w:tcW w:w="1580" w:type="dxa"/>
            <w:vAlign w:val="bottom"/>
          </w:tcPr>
          <w:p>
            <w:pPr>
              <w:ind w:left="500"/>
              <w:spacing w:after="0"/>
              <w:rPr>
                <w:sz w:val="20"/>
                <w:szCs w:val="20"/>
                <w:color w:val="auto"/>
              </w:rPr>
            </w:pPr>
            <w:r>
              <w:rPr>
                <w:rFonts w:ascii="Courier New" w:cs="Courier New" w:eastAsia="Courier New" w:hAnsi="Courier New"/>
                <w:sz w:val="16"/>
                <w:szCs w:val="16"/>
                <w:color w:val="auto"/>
              </w:rPr>
              <w:t>1</w:t>
            </w:r>
          </w:p>
        </w:tc>
        <w:tc>
          <w:tcPr>
            <w:tcW w:w="2360" w:type="dxa"/>
            <w:vAlign w:val="bottom"/>
          </w:tcPr>
          <w:p>
            <w:pPr>
              <w:ind w:left="1280"/>
              <w:spacing w:after="0"/>
              <w:rPr>
                <w:sz w:val="20"/>
                <w:szCs w:val="20"/>
                <w:color w:val="auto"/>
              </w:rPr>
            </w:pPr>
            <w:r>
              <w:rPr>
                <w:rFonts w:ascii="Courier New" w:cs="Courier New" w:eastAsia="Courier New" w:hAnsi="Courier New"/>
                <w:sz w:val="16"/>
                <w:szCs w:val="16"/>
                <w:color w:val="auto"/>
              </w:rPr>
              <w:t>1</w:t>
            </w:r>
          </w:p>
        </w:tc>
      </w:tr>
      <w:tr>
        <w:trPr>
          <w:trHeight w:val="190"/>
        </w:trPr>
        <w:tc>
          <w:tcPr>
            <w:tcW w:w="198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29,600,000</w:t>
            </w:r>
          </w:p>
        </w:tc>
        <w:tc>
          <w:tcPr>
            <w:tcW w:w="780" w:type="dxa"/>
            <w:vAlign w:val="bottom"/>
          </w:tcPr>
          <w:p>
            <w:pPr>
              <w:spacing w:after="0"/>
              <w:rPr>
                <w:sz w:val="16"/>
                <w:szCs w:val="16"/>
                <w:color w:val="auto"/>
              </w:rPr>
            </w:pPr>
          </w:p>
        </w:tc>
        <w:tc>
          <w:tcPr>
            <w:tcW w:w="1580" w:type="dxa"/>
            <w:vAlign w:val="bottom"/>
          </w:tcPr>
          <w:p>
            <w:pPr>
              <w:ind w:left="500"/>
              <w:spacing w:after="0"/>
              <w:rPr>
                <w:sz w:val="20"/>
                <w:szCs w:val="20"/>
                <w:color w:val="auto"/>
              </w:rPr>
            </w:pPr>
            <w:r>
              <w:rPr>
                <w:rFonts w:ascii="Courier New" w:cs="Courier New" w:eastAsia="Courier New" w:hAnsi="Courier New"/>
                <w:sz w:val="16"/>
                <w:szCs w:val="16"/>
                <w:color w:val="auto"/>
              </w:rPr>
              <w:t>28,400,000</w:t>
            </w:r>
          </w:p>
        </w:tc>
        <w:tc>
          <w:tcPr>
            <w:tcW w:w="2360" w:type="dxa"/>
            <w:vAlign w:val="bottom"/>
          </w:tcPr>
          <w:p>
            <w:pPr>
              <w:ind w:left="1280"/>
              <w:spacing w:after="0"/>
              <w:rPr>
                <w:sz w:val="20"/>
                <w:szCs w:val="20"/>
                <w:color w:val="auto"/>
              </w:rPr>
            </w:pPr>
            <w:r>
              <w:rPr>
                <w:rFonts w:ascii="Courier New" w:cs="Courier New" w:eastAsia="Courier New" w:hAnsi="Courier New"/>
                <w:sz w:val="16"/>
                <w:szCs w:val="16"/>
                <w:color w:val="auto"/>
              </w:rPr>
              <w:t>28,400,000</w:t>
            </w:r>
          </w:p>
        </w:tc>
      </w:tr>
      <w:tr>
        <w:trPr>
          <w:trHeight w:val="190"/>
        </w:trPr>
        <w:tc>
          <w:tcPr>
            <w:tcW w:w="1980" w:type="dxa"/>
            <w:vAlign w:val="bottom"/>
          </w:tcPr>
          <w:p>
            <w:pPr>
              <w:spacing w:after="0"/>
              <w:rPr>
                <w:sz w:val="16"/>
                <w:szCs w:val="16"/>
                <w:color w:val="auto"/>
              </w:rPr>
            </w:pPr>
          </w:p>
        </w:tc>
        <w:tc>
          <w:tcPr>
            <w:tcW w:w="15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6"/>
                <w:szCs w:val="16"/>
                <w:color w:val="auto"/>
              </w:rPr>
            </w:pPr>
          </w:p>
        </w:tc>
        <w:tc>
          <w:tcPr>
            <w:tcW w:w="15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0</w:t>
            </w:r>
          </w:p>
        </w:tc>
        <w:tc>
          <w:tcPr>
            <w:tcW w:w="23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0</w:t>
            </w:r>
          </w:p>
        </w:tc>
      </w:tr>
      <w:tr>
        <w:trPr>
          <w:trHeight w:val="190"/>
        </w:trPr>
        <w:tc>
          <w:tcPr>
            <w:tcW w:w="3560" w:type="dxa"/>
            <w:vAlign w:val="bottom"/>
            <w:gridSpan w:val="2"/>
          </w:tcPr>
          <w:p>
            <w:pPr>
              <w:jc w:val="right"/>
              <w:ind w:right="718"/>
              <w:spacing w:after="0"/>
              <w:rPr>
                <w:sz w:val="20"/>
                <w:szCs w:val="20"/>
                <w:color w:val="auto"/>
              </w:rPr>
            </w:pPr>
            <w:r>
              <w:rPr>
                <w:rFonts w:ascii="Courier New" w:cs="Courier New" w:eastAsia="Courier New" w:hAnsi="Courier New"/>
                <w:sz w:val="16"/>
                <w:szCs w:val="16"/>
                <w:color w:val="auto"/>
              </w:rPr>
              <w:t>170,100,000</w:t>
            </w:r>
          </w:p>
        </w:tc>
        <w:tc>
          <w:tcPr>
            <w:tcW w:w="2360" w:type="dxa"/>
            <w:vAlign w:val="bottom"/>
            <w:gridSpan w:val="2"/>
          </w:tcPr>
          <w:p>
            <w:pPr>
              <w:jc w:val="right"/>
              <w:ind w:right="718"/>
              <w:spacing w:after="0"/>
              <w:rPr>
                <w:sz w:val="20"/>
                <w:szCs w:val="20"/>
                <w:color w:val="auto"/>
              </w:rPr>
            </w:pPr>
            <w:r>
              <w:rPr>
                <w:rFonts w:ascii="Courier New" w:cs="Courier New" w:eastAsia="Courier New" w:hAnsi="Courier New"/>
                <w:sz w:val="16"/>
                <w:szCs w:val="16"/>
                <w:color w:val="auto"/>
              </w:rPr>
              <w:t>147,500,000</w:t>
            </w:r>
          </w:p>
        </w:tc>
        <w:tc>
          <w:tcPr>
            <w:tcW w:w="236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147,500,000</w:t>
            </w:r>
          </w:p>
        </w:tc>
      </w:tr>
      <w:tr>
        <w:trPr>
          <w:trHeight w:val="190"/>
        </w:trPr>
        <w:tc>
          <w:tcPr>
            <w:tcW w:w="198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Courier New" w:cs="Courier New" w:eastAsia="Courier New" w:hAnsi="Courier New"/>
                <w:sz w:val="16"/>
                <w:szCs w:val="16"/>
                <w:color w:val="auto"/>
              </w:rPr>
              <w:t>5,500,000</w:t>
            </w:r>
          </w:p>
        </w:tc>
        <w:tc>
          <w:tcPr>
            <w:tcW w:w="780" w:type="dxa"/>
            <w:vAlign w:val="bottom"/>
          </w:tcPr>
          <w:p>
            <w:pPr>
              <w:spacing w:after="0"/>
              <w:rPr>
                <w:sz w:val="16"/>
                <w:szCs w:val="16"/>
                <w:color w:val="auto"/>
              </w:rPr>
            </w:pPr>
          </w:p>
        </w:tc>
        <w:tc>
          <w:tcPr>
            <w:tcW w:w="1580" w:type="dxa"/>
            <w:vAlign w:val="bottom"/>
          </w:tcPr>
          <w:p>
            <w:pPr>
              <w:jc w:val="right"/>
              <w:ind w:right="618"/>
              <w:spacing w:after="0"/>
              <w:rPr>
                <w:sz w:val="20"/>
                <w:szCs w:val="20"/>
                <w:color w:val="auto"/>
              </w:rPr>
            </w:pPr>
            <w:r>
              <w:rPr>
                <w:rFonts w:ascii="Courier New" w:cs="Courier New" w:eastAsia="Courier New" w:hAnsi="Courier New"/>
                <w:sz w:val="16"/>
                <w:szCs w:val="16"/>
                <w:color w:val="auto"/>
                <w:w w:val="99"/>
              </w:rPr>
              <w:t>5,900,000</w:t>
            </w: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5,900,000</w:t>
            </w:r>
          </w:p>
        </w:tc>
      </w:tr>
      <w:tr>
        <w:trPr>
          <w:trHeight w:val="190"/>
        </w:trPr>
        <w:tc>
          <w:tcPr>
            <w:tcW w:w="3560" w:type="dxa"/>
            <w:vAlign w:val="bottom"/>
            <w:gridSpan w:val="2"/>
          </w:tcPr>
          <w:p>
            <w:pPr>
              <w:ind w:left="1880"/>
              <w:spacing w:after="0"/>
              <w:rPr>
                <w:sz w:val="20"/>
                <w:szCs w:val="20"/>
                <w:color w:val="auto"/>
              </w:rPr>
            </w:pPr>
            <w:r>
              <w:rPr>
                <w:rFonts w:ascii="Courier New" w:cs="Courier New" w:eastAsia="Courier New" w:hAnsi="Courier New"/>
                <w:sz w:val="16"/>
                <w:szCs w:val="16"/>
                <w:color w:val="auto"/>
              </w:rPr>
              <w:t>165,300,000</w:t>
            </w:r>
          </w:p>
        </w:tc>
        <w:tc>
          <w:tcPr>
            <w:tcW w:w="23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152,600,000</w:t>
            </w:r>
          </w:p>
        </w:tc>
        <w:tc>
          <w:tcPr>
            <w:tcW w:w="2360" w:type="dxa"/>
            <w:vAlign w:val="bottom"/>
          </w:tcPr>
          <w:p>
            <w:pPr>
              <w:ind w:left="680"/>
              <w:spacing w:after="0"/>
              <w:rPr>
                <w:sz w:val="20"/>
                <w:szCs w:val="20"/>
                <w:color w:val="auto"/>
              </w:rPr>
            </w:pPr>
            <w:r>
              <w:rPr>
                <w:rFonts w:ascii="Courier New" w:cs="Courier New" w:eastAsia="Courier New" w:hAnsi="Courier New"/>
                <w:sz w:val="16"/>
                <w:szCs w:val="16"/>
                <w:color w:val="auto"/>
              </w:rPr>
              <w:t>152,600,000</w:t>
            </w:r>
          </w:p>
        </w:tc>
      </w:tr>
      <w:tr>
        <w:trPr>
          <w:trHeight w:val="190"/>
        </w:trPr>
        <w:tc>
          <w:tcPr>
            <w:tcW w:w="3560" w:type="dxa"/>
            <w:vAlign w:val="bottom"/>
            <w:gridSpan w:val="2"/>
          </w:tcPr>
          <w:p>
            <w:pPr>
              <w:ind w:left="1380"/>
              <w:spacing w:after="0"/>
              <w:rPr>
                <w:sz w:val="20"/>
                <w:szCs w:val="20"/>
                <w:color w:val="auto"/>
              </w:rPr>
            </w:pPr>
            <w:r>
              <w:rPr>
                <w:rFonts w:ascii="Courier New" w:cs="Courier New" w:eastAsia="Courier New" w:hAnsi="Courier New"/>
                <w:sz w:val="16"/>
                <w:szCs w:val="16"/>
                <w:color w:val="auto"/>
              </w:rPr>
              <w:t>389,400,000</w:t>
            </w:r>
          </w:p>
        </w:tc>
        <w:tc>
          <w:tcPr>
            <w:tcW w:w="2360" w:type="dxa"/>
            <w:vAlign w:val="bottom"/>
            <w:gridSpan w:val="2"/>
          </w:tcPr>
          <w:p>
            <w:pPr>
              <w:jc w:val="right"/>
              <w:ind w:right="998"/>
              <w:spacing w:after="0"/>
              <w:rPr>
                <w:sz w:val="20"/>
                <w:szCs w:val="20"/>
                <w:color w:val="auto"/>
              </w:rPr>
            </w:pPr>
            <w:r>
              <w:rPr>
                <w:rFonts w:ascii="Courier New" w:cs="Courier New" w:eastAsia="Courier New" w:hAnsi="Courier New"/>
                <w:sz w:val="16"/>
                <w:szCs w:val="16"/>
                <w:color w:val="auto"/>
              </w:rPr>
              <w:t>344,100,000</w:t>
            </w:r>
          </w:p>
        </w:tc>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344,100,000</w:t>
            </w:r>
          </w:p>
        </w:tc>
      </w:tr>
      <w:tr>
        <w:trPr>
          <w:trHeight w:val="190"/>
        </w:trPr>
        <w:tc>
          <w:tcPr>
            <w:tcW w:w="1980" w:type="dxa"/>
            <w:vAlign w:val="bottom"/>
          </w:tcPr>
          <w:p>
            <w:pPr>
              <w:spacing w:after="0"/>
              <w:rPr>
                <w:sz w:val="16"/>
                <w:szCs w:val="16"/>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315,000,000</w:t>
            </w:r>
          </w:p>
        </w:tc>
        <w:tc>
          <w:tcPr>
            <w:tcW w:w="780" w:type="dxa"/>
            <w:vAlign w:val="bottom"/>
          </w:tcPr>
          <w:p>
            <w:pPr>
              <w:spacing w:after="0"/>
              <w:rPr>
                <w:sz w:val="16"/>
                <w:szCs w:val="16"/>
                <w:color w:val="auto"/>
              </w:rPr>
            </w:pPr>
          </w:p>
        </w:tc>
        <w:tc>
          <w:tcPr>
            <w:tcW w:w="1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239,300,000</w:t>
            </w:r>
          </w:p>
        </w:tc>
        <w:tc>
          <w:tcPr>
            <w:tcW w:w="2360" w:type="dxa"/>
            <w:vAlign w:val="bottom"/>
          </w:tcPr>
          <w:p>
            <w:pPr>
              <w:ind w:left="1180"/>
              <w:spacing w:after="0"/>
              <w:rPr>
                <w:sz w:val="20"/>
                <w:szCs w:val="20"/>
                <w:color w:val="auto"/>
              </w:rPr>
            </w:pPr>
            <w:r>
              <w:rPr>
                <w:rFonts w:ascii="Courier New" w:cs="Courier New" w:eastAsia="Courier New" w:hAnsi="Courier New"/>
                <w:sz w:val="16"/>
                <w:szCs w:val="16"/>
                <w:color w:val="auto"/>
              </w:rPr>
              <w:t>239,300,000</w:t>
            </w:r>
          </w:p>
        </w:tc>
      </w:tr>
      <w:tr>
        <w:trPr>
          <w:trHeight w:val="190"/>
        </w:trPr>
        <w:tc>
          <w:tcPr>
            <w:tcW w:w="3560" w:type="dxa"/>
            <w:vAlign w:val="bottom"/>
            <w:gridSpan w:val="2"/>
          </w:tcPr>
          <w:p>
            <w:pPr>
              <w:ind w:left="1580"/>
              <w:spacing w:after="0"/>
              <w:rPr>
                <w:sz w:val="20"/>
                <w:szCs w:val="20"/>
                <w:color w:val="auto"/>
              </w:rPr>
            </w:pPr>
            <w:r>
              <w:rPr>
                <w:rFonts w:ascii="Courier New" w:cs="Courier New" w:eastAsia="Courier New" w:hAnsi="Courier New"/>
                <w:sz w:val="16"/>
                <w:szCs w:val="16"/>
                <w:color w:val="auto"/>
              </w:rPr>
              <w:t>127,300,000</w:t>
            </w:r>
          </w:p>
        </w:tc>
        <w:tc>
          <w:tcPr>
            <w:tcW w:w="2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103,700,000</w:t>
            </w:r>
          </w:p>
        </w:tc>
        <w:tc>
          <w:tcPr>
            <w:tcW w:w="2360" w:type="dxa"/>
            <w:vAlign w:val="bottom"/>
          </w:tcPr>
          <w:p>
            <w:pPr>
              <w:ind w:left="400"/>
              <w:spacing w:after="0"/>
              <w:rPr>
                <w:sz w:val="20"/>
                <w:szCs w:val="20"/>
                <w:color w:val="auto"/>
              </w:rPr>
            </w:pPr>
            <w:r>
              <w:rPr>
                <w:rFonts w:ascii="Courier New" w:cs="Courier New" w:eastAsia="Courier New" w:hAnsi="Courier New"/>
                <w:sz w:val="16"/>
                <w:szCs w:val="16"/>
                <w:color w:val="auto"/>
              </w:rPr>
              <w:t>103,700,000</w:t>
            </w:r>
          </w:p>
        </w:tc>
      </w:tr>
      <w:tr>
        <w:trPr>
          <w:trHeight w:val="190"/>
        </w:trPr>
        <w:tc>
          <w:tcPr>
            <w:tcW w:w="3560" w:type="dxa"/>
            <w:vAlign w:val="bottom"/>
            <w:gridSpan w:val="2"/>
          </w:tcPr>
          <w:p>
            <w:pPr>
              <w:ind w:left="1380"/>
              <w:spacing w:after="0"/>
              <w:rPr>
                <w:sz w:val="20"/>
                <w:szCs w:val="20"/>
                <w:color w:val="auto"/>
              </w:rPr>
            </w:pPr>
            <w:r>
              <w:rPr>
                <w:rFonts w:ascii="Courier New" w:cs="Courier New" w:eastAsia="Courier New" w:hAnsi="Courier New"/>
                <w:sz w:val="16"/>
                <w:szCs w:val="16"/>
                <w:color w:val="auto"/>
              </w:rPr>
              <w:t>1,019,100,000</w:t>
            </w:r>
          </w:p>
        </w:tc>
        <w:tc>
          <w:tcPr>
            <w:tcW w:w="2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839,500,000</w:t>
            </w:r>
          </w:p>
        </w:tc>
        <w:tc>
          <w:tcPr>
            <w:tcW w:w="2360" w:type="dxa"/>
            <w:vAlign w:val="bottom"/>
          </w:tcPr>
          <w:p>
            <w:pPr>
              <w:ind w:left="400"/>
              <w:spacing w:after="0"/>
              <w:rPr>
                <w:sz w:val="20"/>
                <w:szCs w:val="20"/>
                <w:color w:val="auto"/>
              </w:rPr>
            </w:pPr>
            <w:r>
              <w:rPr>
                <w:rFonts w:ascii="Courier New" w:cs="Courier New" w:eastAsia="Courier New" w:hAnsi="Courier New"/>
                <w:sz w:val="16"/>
                <w:szCs w:val="16"/>
                <w:color w:val="auto"/>
              </w:rPr>
              <w:t>839,500,000</w:t>
            </w:r>
          </w:p>
        </w:tc>
      </w:tr>
      <w:tr>
        <w:trPr>
          <w:trHeight w:val="190"/>
        </w:trPr>
        <w:tc>
          <w:tcPr>
            <w:tcW w:w="1980" w:type="dxa"/>
            <w:vAlign w:val="bottom"/>
          </w:tcPr>
          <w:p>
            <w:pPr>
              <w:ind w:left="900"/>
              <w:spacing w:after="0"/>
              <w:rPr>
                <w:sz w:val="20"/>
                <w:szCs w:val="20"/>
                <w:color w:val="auto"/>
              </w:rPr>
            </w:pPr>
            <w:r>
              <w:rPr>
                <w:rFonts w:ascii="Courier New" w:cs="Courier New" w:eastAsia="Courier New" w:hAnsi="Courier New"/>
                <w:sz w:val="16"/>
                <w:szCs w:val="16"/>
                <w:color w:val="auto"/>
              </w:rPr>
              <w:t>215,800,000</w:t>
            </w:r>
          </w:p>
        </w:tc>
        <w:tc>
          <w:tcPr>
            <w:tcW w:w="236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165,800,000</w:t>
            </w:r>
          </w:p>
        </w:tc>
        <w:tc>
          <w:tcPr>
            <w:tcW w:w="3940" w:type="dxa"/>
            <w:vAlign w:val="bottom"/>
            <w:gridSpan w:val="2"/>
          </w:tcPr>
          <w:p>
            <w:pPr>
              <w:jc w:val="right"/>
              <w:ind w:right="1498"/>
              <w:spacing w:after="0"/>
              <w:rPr>
                <w:sz w:val="20"/>
                <w:szCs w:val="20"/>
                <w:color w:val="auto"/>
              </w:rPr>
            </w:pPr>
            <w:r>
              <w:rPr>
                <w:rFonts w:ascii="Courier New" w:cs="Courier New" w:eastAsia="Courier New" w:hAnsi="Courier New"/>
                <w:sz w:val="16"/>
                <w:szCs w:val="16"/>
                <w:color w:val="auto"/>
              </w:rPr>
              <w:t>165,800,000</w:t>
            </w:r>
          </w:p>
        </w:tc>
      </w:tr>
      <w:tr>
        <w:trPr>
          <w:trHeight w:val="190"/>
        </w:trPr>
        <w:tc>
          <w:tcPr>
            <w:tcW w:w="1980" w:type="dxa"/>
            <w:vAlign w:val="bottom"/>
          </w:tcPr>
          <w:p>
            <w:pPr>
              <w:spacing w:after="0"/>
              <w:rPr>
                <w:sz w:val="16"/>
                <w:szCs w:val="16"/>
                <w:color w:val="auto"/>
              </w:rPr>
            </w:pPr>
          </w:p>
        </w:tc>
        <w:tc>
          <w:tcPr>
            <w:tcW w:w="1580" w:type="dxa"/>
            <w:vAlign w:val="bottom"/>
          </w:tcPr>
          <w:p>
            <w:pPr>
              <w:ind w:left="1280"/>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6"/>
                <w:szCs w:val="16"/>
                <w:color w:val="auto"/>
              </w:rPr>
            </w:pP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23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r>
      <w:tr>
        <w:trPr>
          <w:trHeight w:val="190"/>
        </w:trPr>
        <w:tc>
          <w:tcPr>
            <w:tcW w:w="1980" w:type="dxa"/>
            <w:vAlign w:val="bottom"/>
          </w:tcPr>
          <w:p>
            <w:pPr>
              <w:ind w:left="1880"/>
              <w:spacing w:after="0"/>
              <w:rPr>
                <w:sz w:val="20"/>
                <w:szCs w:val="20"/>
                <w:color w:val="auto"/>
              </w:rPr>
            </w:pPr>
            <w:r>
              <w:rPr>
                <w:rFonts w:ascii="Courier New" w:cs="Courier New" w:eastAsia="Courier New" w:hAnsi="Courier New"/>
                <w:sz w:val="16"/>
                <w:szCs w:val="16"/>
                <w:color w:val="auto"/>
                <w:w w:val="82"/>
              </w:rPr>
              <w:t>0</w:t>
            </w:r>
          </w:p>
        </w:tc>
        <w:tc>
          <w:tcPr>
            <w:tcW w:w="1580" w:type="dxa"/>
            <w:vAlign w:val="bottom"/>
          </w:tcPr>
          <w:p>
            <w:pPr>
              <w:spacing w:after="0"/>
              <w:rPr>
                <w:sz w:val="16"/>
                <w:szCs w:val="16"/>
                <w:color w:val="auto"/>
              </w:rPr>
            </w:pPr>
          </w:p>
        </w:tc>
        <w:tc>
          <w:tcPr>
            <w:tcW w:w="780" w:type="dxa"/>
            <w:vAlign w:val="bottom"/>
          </w:tcPr>
          <w:p>
            <w:pPr>
              <w:ind w:left="680"/>
              <w:spacing w:after="0"/>
              <w:rPr>
                <w:sz w:val="20"/>
                <w:szCs w:val="20"/>
                <w:color w:val="auto"/>
              </w:rPr>
            </w:pPr>
            <w:r>
              <w:rPr>
                <w:rFonts w:ascii="Courier New" w:cs="Courier New" w:eastAsia="Courier New" w:hAnsi="Courier New"/>
                <w:sz w:val="16"/>
                <w:szCs w:val="16"/>
                <w:color w:val="auto"/>
                <w:w w:val="82"/>
              </w:rPr>
              <w:t>0</w:t>
            </w:r>
          </w:p>
        </w:tc>
        <w:tc>
          <w:tcPr>
            <w:tcW w:w="1580" w:type="dxa"/>
            <w:vAlign w:val="bottom"/>
          </w:tcPr>
          <w:p>
            <w:pPr>
              <w:spacing w:after="0"/>
              <w:rPr>
                <w:sz w:val="16"/>
                <w:szCs w:val="16"/>
                <w:color w:val="auto"/>
              </w:rPr>
            </w:pPr>
          </w:p>
        </w:tc>
        <w:tc>
          <w:tcPr>
            <w:tcW w:w="2360" w:type="dxa"/>
            <w:vAlign w:val="bottom"/>
          </w:tcPr>
          <w:p>
            <w:pPr>
              <w:ind w:left="680"/>
              <w:spacing w:after="0"/>
              <w:rPr>
                <w:sz w:val="20"/>
                <w:szCs w:val="20"/>
                <w:color w:val="auto"/>
              </w:rPr>
            </w:pPr>
            <w:r>
              <w:rPr>
                <w:rFonts w:ascii="Courier New" w:cs="Courier New" w:eastAsia="Courier New" w:hAnsi="Courier New"/>
                <w:sz w:val="16"/>
                <w:szCs w:val="16"/>
                <w:color w:val="auto"/>
              </w:rPr>
              <w:t>0</w:t>
            </w:r>
          </w:p>
        </w:tc>
      </w:tr>
      <w:tr>
        <w:trPr>
          <w:trHeight w:val="190"/>
        </w:trPr>
        <w:tc>
          <w:tcPr>
            <w:tcW w:w="3560" w:type="dxa"/>
            <w:vAlign w:val="bottom"/>
            <w:gridSpan w:val="2"/>
          </w:tcPr>
          <w:p>
            <w:pPr>
              <w:ind w:left="1880"/>
              <w:spacing w:after="0"/>
              <w:rPr>
                <w:sz w:val="20"/>
                <w:szCs w:val="20"/>
                <w:color w:val="auto"/>
              </w:rPr>
            </w:pPr>
            <w:r>
              <w:rPr>
                <w:rFonts w:ascii="Courier New" w:cs="Courier New" w:eastAsia="Courier New" w:hAnsi="Courier New"/>
                <w:sz w:val="16"/>
                <w:szCs w:val="16"/>
                <w:color w:val="auto"/>
              </w:rPr>
              <w:t>177,300,000</w:t>
            </w:r>
          </w:p>
        </w:tc>
        <w:tc>
          <w:tcPr>
            <w:tcW w:w="23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177,300,000</w:t>
            </w:r>
          </w:p>
        </w:tc>
        <w:tc>
          <w:tcPr>
            <w:tcW w:w="2360" w:type="dxa"/>
            <w:vAlign w:val="bottom"/>
          </w:tcPr>
          <w:p>
            <w:pPr>
              <w:ind w:left="680"/>
              <w:spacing w:after="0"/>
              <w:rPr>
                <w:sz w:val="20"/>
                <w:szCs w:val="20"/>
                <w:color w:val="auto"/>
              </w:rPr>
            </w:pPr>
            <w:r>
              <w:rPr>
                <w:rFonts w:ascii="Courier New" w:cs="Courier New" w:eastAsia="Courier New" w:hAnsi="Courier New"/>
                <w:sz w:val="16"/>
                <w:szCs w:val="16"/>
                <w:color w:val="auto"/>
              </w:rPr>
              <w:t>177,300,000</w:t>
            </w:r>
          </w:p>
        </w:tc>
      </w:tr>
      <w:tr>
        <w:trPr>
          <w:trHeight w:val="190"/>
        </w:trPr>
        <w:tc>
          <w:tcPr>
            <w:tcW w:w="1980" w:type="dxa"/>
            <w:vAlign w:val="bottom"/>
          </w:tcPr>
          <w:p>
            <w:pPr>
              <w:spacing w:after="0"/>
              <w:rPr>
                <w:sz w:val="16"/>
                <w:szCs w:val="16"/>
                <w:color w:val="auto"/>
              </w:rPr>
            </w:pPr>
          </w:p>
        </w:tc>
        <w:tc>
          <w:tcPr>
            <w:tcW w:w="1580" w:type="dxa"/>
            <w:vAlign w:val="bottom"/>
          </w:tcPr>
          <w:p>
            <w:pPr>
              <w:ind w:left="580"/>
              <w:spacing w:after="0"/>
              <w:rPr>
                <w:sz w:val="20"/>
                <w:szCs w:val="20"/>
                <w:color w:val="auto"/>
              </w:rPr>
            </w:pPr>
            <w:r>
              <w:rPr>
                <w:rFonts w:ascii="Courier New" w:cs="Courier New" w:eastAsia="Courier New" w:hAnsi="Courier New"/>
                <w:sz w:val="16"/>
                <w:szCs w:val="16"/>
                <w:color w:val="auto"/>
              </w:rPr>
              <w:t>200,000</w:t>
            </w:r>
          </w:p>
        </w:tc>
        <w:tc>
          <w:tcPr>
            <w:tcW w:w="780" w:type="dxa"/>
            <w:vAlign w:val="bottom"/>
          </w:tcPr>
          <w:p>
            <w:pPr>
              <w:spacing w:after="0"/>
              <w:rPr>
                <w:sz w:val="16"/>
                <w:szCs w:val="16"/>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6"/>
                <w:szCs w:val="16"/>
                <w:color w:val="auto"/>
              </w:rPr>
              <w:t>200,000</w:t>
            </w:r>
          </w:p>
        </w:tc>
        <w:tc>
          <w:tcPr>
            <w:tcW w:w="2360" w:type="dxa"/>
            <w:vAlign w:val="bottom"/>
          </w:tcPr>
          <w:p>
            <w:pPr>
              <w:ind w:left="1380"/>
              <w:spacing w:after="0"/>
              <w:rPr>
                <w:sz w:val="20"/>
                <w:szCs w:val="20"/>
                <w:color w:val="auto"/>
              </w:rPr>
            </w:pPr>
            <w:r>
              <w:rPr>
                <w:rFonts w:ascii="Courier New" w:cs="Courier New" w:eastAsia="Courier New" w:hAnsi="Courier New"/>
                <w:sz w:val="16"/>
                <w:szCs w:val="16"/>
                <w:color w:val="auto"/>
              </w:rPr>
              <w:t>200,000</w:t>
            </w:r>
          </w:p>
        </w:tc>
      </w:tr>
      <w:tr>
        <w:trPr>
          <w:trHeight w:val="190"/>
        </w:trPr>
        <w:tc>
          <w:tcPr>
            <w:tcW w:w="198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Courier New" w:cs="Courier New" w:eastAsia="Courier New" w:hAnsi="Courier New"/>
                <w:sz w:val="16"/>
                <w:szCs w:val="16"/>
                <w:color w:val="auto"/>
              </w:rPr>
              <w:t>252,600,000</w:t>
            </w:r>
          </w:p>
        </w:tc>
        <w:tc>
          <w:tcPr>
            <w:tcW w:w="780" w:type="dxa"/>
            <w:vAlign w:val="bottom"/>
          </w:tcPr>
          <w:p>
            <w:pPr>
              <w:spacing w:after="0"/>
              <w:rPr>
                <w:sz w:val="16"/>
                <w:szCs w:val="16"/>
                <w:color w:val="auto"/>
              </w:rPr>
            </w:pPr>
          </w:p>
        </w:tc>
        <w:tc>
          <w:tcPr>
            <w:tcW w:w="15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218,900,000</w:t>
            </w:r>
          </w:p>
        </w:tc>
        <w:tc>
          <w:tcPr>
            <w:tcW w:w="2360" w:type="dxa"/>
            <w:vAlign w:val="bottom"/>
          </w:tcPr>
          <w:p>
            <w:pPr>
              <w:ind w:left="780"/>
              <w:spacing w:after="0"/>
              <w:rPr>
                <w:sz w:val="20"/>
                <w:szCs w:val="20"/>
                <w:color w:val="auto"/>
              </w:rPr>
            </w:pPr>
            <w:r>
              <w:rPr>
                <w:rFonts w:ascii="Courier New" w:cs="Courier New" w:eastAsia="Courier New" w:hAnsi="Courier New"/>
                <w:sz w:val="16"/>
                <w:szCs w:val="16"/>
                <w:color w:val="auto"/>
              </w:rPr>
              <w:t>218,900,000</w:t>
            </w:r>
          </w:p>
        </w:tc>
      </w:tr>
      <w:tr>
        <w:trPr>
          <w:trHeight w:val="190"/>
        </w:trPr>
        <w:tc>
          <w:tcPr>
            <w:tcW w:w="1980" w:type="dxa"/>
            <w:vAlign w:val="bottom"/>
          </w:tcPr>
          <w:p>
            <w:pPr>
              <w:spacing w:after="0"/>
              <w:rPr>
                <w:sz w:val="20"/>
                <w:szCs w:val="20"/>
                <w:color w:val="auto"/>
              </w:rPr>
            </w:pPr>
            <w:r>
              <w:rPr>
                <w:rFonts w:ascii="Courier New" w:cs="Courier New" w:eastAsia="Courier New" w:hAnsi="Courier New"/>
                <w:sz w:val="16"/>
                <w:szCs w:val="16"/>
                <w:color w:val="auto"/>
              </w:rPr>
              <w:t>1,019,100,000</w:t>
            </w:r>
          </w:p>
        </w:tc>
        <w:tc>
          <w:tcPr>
            <w:tcW w:w="236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839,500,000</w:t>
            </w:r>
          </w:p>
        </w:tc>
        <w:tc>
          <w:tcPr>
            <w:tcW w:w="394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839,500,000</w:t>
            </w:r>
          </w:p>
        </w:tc>
      </w:tr>
      <w:tr>
        <w:trPr>
          <w:trHeight w:val="190"/>
        </w:trPr>
        <w:tc>
          <w:tcPr>
            <w:tcW w:w="1980" w:type="dxa"/>
            <w:vAlign w:val="bottom"/>
          </w:tcPr>
          <w:p>
            <w:pPr>
              <w:spacing w:after="0"/>
              <w:rPr>
                <w:sz w:val="16"/>
                <w:szCs w:val="16"/>
                <w:color w:val="auto"/>
              </w:rPr>
            </w:pP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367,500,000</w:t>
            </w:r>
          </w:p>
        </w:tc>
        <w:tc>
          <w:tcPr>
            <w:tcW w:w="780" w:type="dxa"/>
            <w:vAlign w:val="bottom"/>
          </w:tcPr>
          <w:p>
            <w:pPr>
              <w:spacing w:after="0"/>
              <w:rPr>
                <w:sz w:val="16"/>
                <w:szCs w:val="16"/>
                <w:color w:val="auto"/>
              </w:rPr>
            </w:pP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745,400,000</w:t>
            </w:r>
          </w:p>
        </w:tc>
        <w:tc>
          <w:tcPr>
            <w:tcW w:w="23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299,000,000</w:t>
            </w:r>
          </w:p>
        </w:tc>
      </w:tr>
      <w:tr>
        <w:trPr>
          <w:trHeight w:val="190"/>
        </w:trPr>
        <w:tc>
          <w:tcPr>
            <w:tcW w:w="3560" w:type="dxa"/>
            <w:vAlign w:val="bottom"/>
            <w:gridSpan w:val="2"/>
          </w:tcPr>
          <w:p>
            <w:pPr>
              <w:ind w:left="1380"/>
              <w:spacing w:after="0"/>
              <w:rPr>
                <w:sz w:val="20"/>
                <w:szCs w:val="20"/>
                <w:color w:val="auto"/>
              </w:rPr>
            </w:pPr>
            <w:r>
              <w:rPr>
                <w:rFonts w:ascii="Courier New" w:cs="Courier New" w:eastAsia="Courier New" w:hAnsi="Courier New"/>
                <w:sz w:val="16"/>
                <w:szCs w:val="16"/>
                <w:color w:val="auto"/>
              </w:rPr>
              <w:t>367,500,000</w:t>
            </w:r>
          </w:p>
        </w:tc>
        <w:tc>
          <w:tcPr>
            <w:tcW w:w="2360" w:type="dxa"/>
            <w:vAlign w:val="bottom"/>
            <w:gridSpan w:val="2"/>
          </w:tcPr>
          <w:p>
            <w:pPr>
              <w:jc w:val="right"/>
              <w:ind w:right="998"/>
              <w:spacing w:after="0"/>
              <w:rPr>
                <w:sz w:val="20"/>
                <w:szCs w:val="20"/>
                <w:color w:val="auto"/>
              </w:rPr>
            </w:pPr>
            <w:r>
              <w:rPr>
                <w:rFonts w:ascii="Courier New" w:cs="Courier New" w:eastAsia="Courier New" w:hAnsi="Courier New"/>
                <w:sz w:val="16"/>
                <w:szCs w:val="16"/>
                <w:color w:val="auto"/>
              </w:rPr>
              <w:t>745,400,000</w:t>
            </w:r>
          </w:p>
        </w:tc>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299,000,000</w:t>
            </w:r>
          </w:p>
        </w:tc>
      </w:tr>
      <w:tr>
        <w:trPr>
          <w:trHeight w:val="190"/>
        </w:trPr>
        <w:tc>
          <w:tcPr>
            <w:tcW w:w="198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235,700,000</w:t>
            </w:r>
          </w:p>
        </w:tc>
        <w:tc>
          <w:tcPr>
            <w:tcW w:w="780" w:type="dxa"/>
            <w:vAlign w:val="bottom"/>
          </w:tcPr>
          <w:p>
            <w:pPr>
              <w:spacing w:after="0"/>
              <w:rPr>
                <w:sz w:val="16"/>
                <w:szCs w:val="16"/>
                <w:color w:val="auto"/>
              </w:rPr>
            </w:pPr>
          </w:p>
        </w:tc>
        <w:tc>
          <w:tcPr>
            <w:tcW w:w="1580" w:type="dxa"/>
            <w:vAlign w:val="bottom"/>
          </w:tcPr>
          <w:p>
            <w:pPr>
              <w:ind w:left="500"/>
              <w:spacing w:after="0"/>
              <w:rPr>
                <w:sz w:val="20"/>
                <w:szCs w:val="20"/>
                <w:color w:val="auto"/>
              </w:rPr>
            </w:pPr>
            <w:r>
              <w:rPr>
                <w:rFonts w:ascii="Courier New" w:cs="Courier New" w:eastAsia="Courier New" w:hAnsi="Courier New"/>
                <w:sz w:val="16"/>
                <w:szCs w:val="16"/>
                <w:color w:val="auto"/>
              </w:rPr>
              <w:t>463,700,000</w:t>
            </w:r>
          </w:p>
        </w:tc>
        <w:tc>
          <w:tcPr>
            <w:tcW w:w="2360" w:type="dxa"/>
            <w:vAlign w:val="bottom"/>
          </w:tcPr>
          <w:p>
            <w:pPr>
              <w:ind w:left="1280"/>
              <w:spacing w:after="0"/>
              <w:rPr>
                <w:sz w:val="20"/>
                <w:szCs w:val="20"/>
                <w:color w:val="auto"/>
              </w:rPr>
            </w:pPr>
            <w:r>
              <w:rPr>
                <w:rFonts w:ascii="Courier New" w:cs="Courier New" w:eastAsia="Courier New" w:hAnsi="Courier New"/>
                <w:sz w:val="16"/>
                <w:szCs w:val="16"/>
                <w:color w:val="auto"/>
              </w:rPr>
              <w:t>188,300,000</w:t>
            </w:r>
          </w:p>
        </w:tc>
      </w:tr>
      <w:tr>
        <w:trPr>
          <w:trHeight w:val="190"/>
        </w:trPr>
        <w:tc>
          <w:tcPr>
            <w:tcW w:w="3560" w:type="dxa"/>
            <w:vAlign w:val="bottom"/>
            <w:gridSpan w:val="2"/>
          </w:tcPr>
          <w:p>
            <w:pPr>
              <w:jc w:val="right"/>
              <w:ind w:right="718"/>
              <w:spacing w:after="0"/>
              <w:rPr>
                <w:sz w:val="20"/>
                <w:szCs w:val="20"/>
                <w:color w:val="auto"/>
              </w:rPr>
            </w:pPr>
            <w:r>
              <w:rPr>
                <w:rFonts w:ascii="Courier New" w:cs="Courier New" w:eastAsia="Courier New" w:hAnsi="Courier New"/>
                <w:sz w:val="16"/>
                <w:szCs w:val="16"/>
                <w:color w:val="auto"/>
              </w:rPr>
              <w:t>80,200,000</w:t>
            </w:r>
          </w:p>
        </w:tc>
        <w:tc>
          <w:tcPr>
            <w:tcW w:w="2360" w:type="dxa"/>
            <w:vAlign w:val="bottom"/>
            <w:gridSpan w:val="2"/>
          </w:tcPr>
          <w:p>
            <w:pPr>
              <w:jc w:val="right"/>
              <w:ind w:right="718"/>
              <w:spacing w:after="0"/>
              <w:rPr>
                <w:sz w:val="20"/>
                <w:szCs w:val="20"/>
                <w:color w:val="auto"/>
              </w:rPr>
            </w:pPr>
            <w:r>
              <w:rPr>
                <w:rFonts w:ascii="Courier New" w:cs="Courier New" w:eastAsia="Courier New" w:hAnsi="Courier New"/>
                <w:sz w:val="16"/>
                <w:szCs w:val="16"/>
                <w:color w:val="auto"/>
              </w:rPr>
              <w:t>181,400,000</w:t>
            </w:r>
          </w:p>
        </w:tc>
        <w:tc>
          <w:tcPr>
            <w:tcW w:w="236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66,300,000</w:t>
            </w:r>
          </w:p>
        </w:tc>
      </w:tr>
      <w:tr>
        <w:trPr>
          <w:trHeight w:val="190"/>
        </w:trPr>
        <w:tc>
          <w:tcPr>
            <w:tcW w:w="3560" w:type="dxa"/>
            <w:vAlign w:val="bottom"/>
            <w:gridSpan w:val="2"/>
          </w:tcPr>
          <w:p>
            <w:pPr>
              <w:ind w:left="1580"/>
              <w:spacing w:after="0"/>
              <w:rPr>
                <w:sz w:val="20"/>
                <w:szCs w:val="20"/>
                <w:color w:val="auto"/>
              </w:rPr>
            </w:pPr>
            <w:r>
              <w:rPr>
                <w:rFonts w:ascii="Courier New" w:cs="Courier New" w:eastAsia="Courier New" w:hAnsi="Courier New"/>
                <w:sz w:val="16"/>
                <w:szCs w:val="16"/>
                <w:color w:val="auto"/>
              </w:rPr>
              <w:t>1,300,000</w:t>
            </w:r>
          </w:p>
        </w:tc>
        <w:tc>
          <w:tcPr>
            <w:tcW w:w="2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2,800,000</w:t>
            </w:r>
          </w:p>
        </w:tc>
        <w:tc>
          <w:tcPr>
            <w:tcW w:w="2360" w:type="dxa"/>
            <w:vAlign w:val="bottom"/>
          </w:tcPr>
          <w:p>
            <w:pPr>
              <w:ind w:left="400"/>
              <w:spacing w:after="0"/>
              <w:rPr>
                <w:sz w:val="20"/>
                <w:szCs w:val="20"/>
                <w:color w:val="auto"/>
              </w:rPr>
            </w:pPr>
            <w:r>
              <w:rPr>
                <w:rFonts w:ascii="Courier New" w:cs="Courier New" w:eastAsia="Courier New" w:hAnsi="Courier New"/>
                <w:sz w:val="16"/>
                <w:szCs w:val="16"/>
                <w:color w:val="auto"/>
              </w:rPr>
              <w:t>(700,000)</w:t>
            </w:r>
          </w:p>
        </w:tc>
      </w:tr>
      <w:tr>
        <w:trPr>
          <w:trHeight w:val="190"/>
        </w:trPr>
        <w:tc>
          <w:tcPr>
            <w:tcW w:w="1980" w:type="dxa"/>
            <w:vAlign w:val="bottom"/>
          </w:tcPr>
          <w:p>
            <w:pPr>
              <w:spacing w:after="0"/>
              <w:rPr>
                <w:sz w:val="16"/>
                <w:szCs w:val="16"/>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6"/>
                <w:szCs w:val="16"/>
                <w:color w:val="auto"/>
              </w:rPr>
            </w:pPr>
          </w:p>
        </w:tc>
        <w:tc>
          <w:tcPr>
            <w:tcW w:w="158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0</w:t>
            </w:r>
          </w:p>
        </w:tc>
        <w:tc>
          <w:tcPr>
            <w:tcW w:w="2360" w:type="dxa"/>
            <w:vAlign w:val="bottom"/>
          </w:tcPr>
          <w:p>
            <w:pPr>
              <w:ind w:left="1180"/>
              <w:spacing w:after="0"/>
              <w:rPr>
                <w:sz w:val="20"/>
                <w:szCs w:val="20"/>
                <w:color w:val="auto"/>
              </w:rPr>
            </w:pPr>
            <w:r>
              <w:rPr>
                <w:rFonts w:ascii="Courier New" w:cs="Courier New" w:eastAsia="Courier New" w:hAnsi="Courier New"/>
                <w:sz w:val="16"/>
                <w:szCs w:val="16"/>
                <w:color w:val="auto"/>
              </w:rPr>
              <w:t>0</w:t>
            </w:r>
          </w:p>
        </w:tc>
      </w:tr>
      <w:tr>
        <w:trPr>
          <w:trHeight w:val="190"/>
        </w:trPr>
        <w:tc>
          <w:tcPr>
            <w:tcW w:w="3560" w:type="dxa"/>
            <w:vAlign w:val="bottom"/>
            <w:gridSpan w:val="2"/>
          </w:tcPr>
          <w:p>
            <w:pPr>
              <w:ind w:left="1380"/>
              <w:spacing w:after="0"/>
              <w:rPr>
                <w:sz w:val="20"/>
                <w:szCs w:val="20"/>
                <w:color w:val="auto"/>
              </w:rPr>
            </w:pPr>
            <w:r>
              <w:rPr>
                <w:rFonts w:ascii="Courier New" w:cs="Courier New" w:eastAsia="Courier New" w:hAnsi="Courier New"/>
                <w:sz w:val="16"/>
                <w:szCs w:val="16"/>
                <w:color w:val="auto"/>
              </w:rPr>
              <w:t>9,700,000</w:t>
            </w:r>
          </w:p>
        </w:tc>
        <w:tc>
          <w:tcPr>
            <w:tcW w:w="2360" w:type="dxa"/>
            <w:vAlign w:val="bottom"/>
            <w:gridSpan w:val="2"/>
          </w:tcPr>
          <w:p>
            <w:pPr>
              <w:jc w:val="right"/>
              <w:ind w:right="1198"/>
              <w:spacing w:after="0"/>
              <w:rPr>
                <w:sz w:val="20"/>
                <w:szCs w:val="20"/>
                <w:color w:val="auto"/>
              </w:rPr>
            </w:pPr>
            <w:r>
              <w:rPr>
                <w:rFonts w:ascii="Courier New" w:cs="Courier New" w:eastAsia="Courier New" w:hAnsi="Courier New"/>
                <w:sz w:val="16"/>
                <w:szCs w:val="16"/>
                <w:color w:val="auto"/>
              </w:rPr>
              <w:t>21,500,000</w:t>
            </w:r>
          </w:p>
        </w:tc>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7,600,000</w:t>
            </w:r>
          </w:p>
        </w:tc>
      </w:tr>
      <w:tr>
        <w:trPr>
          <w:trHeight w:val="190"/>
        </w:trPr>
        <w:tc>
          <w:tcPr>
            <w:tcW w:w="3560" w:type="dxa"/>
            <w:vAlign w:val="bottom"/>
            <w:gridSpan w:val="2"/>
          </w:tcPr>
          <w:p>
            <w:pPr>
              <w:ind w:left="1580"/>
              <w:spacing w:after="0"/>
              <w:rPr>
                <w:sz w:val="20"/>
                <w:szCs w:val="20"/>
                <w:color w:val="auto"/>
              </w:rPr>
            </w:pPr>
            <w:r>
              <w:rPr>
                <w:rFonts w:ascii="Courier New" w:cs="Courier New" w:eastAsia="Courier New" w:hAnsi="Courier New"/>
                <w:sz w:val="16"/>
                <w:szCs w:val="16"/>
                <w:color w:val="auto"/>
              </w:rPr>
              <w:t>40,600,000</w:t>
            </w:r>
          </w:p>
        </w:tc>
        <w:tc>
          <w:tcPr>
            <w:tcW w:w="2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76,000,000</w:t>
            </w:r>
          </w:p>
        </w:tc>
        <w:tc>
          <w:tcPr>
            <w:tcW w:w="2360" w:type="dxa"/>
            <w:vAlign w:val="bottom"/>
          </w:tcPr>
          <w:p>
            <w:pPr>
              <w:ind w:left="400"/>
              <w:spacing w:after="0"/>
              <w:rPr>
                <w:sz w:val="20"/>
                <w:szCs w:val="20"/>
                <w:color w:val="auto"/>
              </w:rPr>
            </w:pPr>
            <w:r>
              <w:rPr>
                <w:rFonts w:ascii="Courier New" w:cs="Courier New" w:eastAsia="Courier New" w:hAnsi="Courier New"/>
                <w:sz w:val="16"/>
                <w:szCs w:val="16"/>
                <w:color w:val="auto"/>
              </w:rPr>
              <w:t>37,500,000</w:t>
            </w:r>
          </w:p>
        </w:tc>
      </w:tr>
      <w:tr>
        <w:trPr>
          <w:trHeight w:val="190"/>
        </w:trPr>
        <w:tc>
          <w:tcPr>
            <w:tcW w:w="3560" w:type="dxa"/>
            <w:vAlign w:val="bottom"/>
            <w:gridSpan w:val="2"/>
          </w:tcPr>
          <w:p>
            <w:pPr>
              <w:ind w:left="1880"/>
              <w:spacing w:after="0"/>
              <w:rPr>
                <w:sz w:val="20"/>
                <w:szCs w:val="20"/>
                <w:color w:val="auto"/>
              </w:rPr>
            </w:pPr>
            <w:r>
              <w:rPr>
                <w:rFonts w:ascii="Courier New" w:cs="Courier New" w:eastAsia="Courier New" w:hAnsi="Courier New"/>
                <w:sz w:val="16"/>
                <w:szCs w:val="16"/>
                <w:color w:val="auto"/>
              </w:rPr>
              <w:t>16,200,000</w:t>
            </w:r>
          </w:p>
        </w:tc>
        <w:tc>
          <w:tcPr>
            <w:tcW w:w="23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33,000,000</w:t>
            </w:r>
          </w:p>
        </w:tc>
        <w:tc>
          <w:tcPr>
            <w:tcW w:w="2360" w:type="dxa"/>
            <w:vAlign w:val="bottom"/>
          </w:tcPr>
          <w:p>
            <w:pPr>
              <w:ind w:left="680"/>
              <w:spacing w:after="0"/>
              <w:rPr>
                <w:sz w:val="20"/>
                <w:szCs w:val="20"/>
                <w:color w:val="auto"/>
              </w:rPr>
            </w:pPr>
            <w:r>
              <w:rPr>
                <w:rFonts w:ascii="Courier New" w:cs="Courier New" w:eastAsia="Courier New" w:hAnsi="Courier New"/>
                <w:sz w:val="16"/>
                <w:szCs w:val="16"/>
                <w:color w:val="auto"/>
              </w:rPr>
              <w:t>16,400,000</w:t>
            </w:r>
          </w:p>
        </w:tc>
      </w:tr>
      <w:tr>
        <w:trPr>
          <w:trHeight w:val="190"/>
        </w:trPr>
        <w:tc>
          <w:tcPr>
            <w:tcW w:w="356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24,400,000</w:t>
            </w:r>
          </w:p>
        </w:tc>
        <w:tc>
          <w:tcPr>
            <w:tcW w:w="2360" w:type="dxa"/>
            <w:vAlign w:val="bottom"/>
            <w:gridSpan w:val="2"/>
          </w:tcPr>
          <w:p>
            <w:pPr>
              <w:jc w:val="right"/>
              <w:ind w:right="1298"/>
              <w:spacing w:after="0"/>
              <w:rPr>
                <w:sz w:val="20"/>
                <w:szCs w:val="20"/>
                <w:color w:val="auto"/>
              </w:rPr>
            </w:pPr>
            <w:r>
              <w:rPr>
                <w:rFonts w:ascii="Courier New" w:cs="Courier New" w:eastAsia="Courier New" w:hAnsi="Courier New"/>
                <w:sz w:val="16"/>
                <w:szCs w:val="16"/>
                <w:color w:val="auto"/>
                <w:w w:val="99"/>
              </w:rPr>
              <w:t>43,000,000</w:t>
            </w:r>
          </w:p>
        </w:tc>
        <w:tc>
          <w:tcPr>
            <w:tcW w:w="2360" w:type="dxa"/>
            <w:vAlign w:val="bottom"/>
          </w:tcPr>
          <w:p>
            <w:pPr>
              <w:spacing w:after="0"/>
              <w:rPr>
                <w:sz w:val="20"/>
                <w:szCs w:val="20"/>
                <w:color w:val="auto"/>
              </w:rPr>
            </w:pPr>
            <w:r>
              <w:rPr>
                <w:rFonts w:ascii="Courier New" w:cs="Courier New" w:eastAsia="Courier New" w:hAnsi="Courier New"/>
                <w:sz w:val="16"/>
                <w:szCs w:val="16"/>
                <w:color w:val="auto"/>
              </w:rPr>
              <w:t>21,100,000</w:t>
            </w:r>
          </w:p>
        </w:tc>
      </w:tr>
      <w:tr>
        <w:trPr>
          <w:trHeight w:val="190"/>
        </w:trPr>
        <w:tc>
          <w:tcPr>
            <w:tcW w:w="1980" w:type="dxa"/>
            <w:vAlign w:val="bottom"/>
          </w:tcPr>
          <w:p>
            <w:pPr>
              <w:spacing w:after="0"/>
              <w:rPr>
                <w:sz w:val="16"/>
                <w:szCs w:val="16"/>
                <w:color w:val="auto"/>
              </w:rPr>
            </w:pPr>
          </w:p>
        </w:tc>
        <w:tc>
          <w:tcPr>
            <w:tcW w:w="1580" w:type="dxa"/>
            <w:vAlign w:val="bottom"/>
          </w:tcPr>
          <w:p>
            <w:pPr>
              <w:ind w:left="580"/>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6"/>
                <w:szCs w:val="16"/>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6"/>
                <w:szCs w:val="16"/>
                <w:color w:val="auto"/>
              </w:rPr>
              <w:t>0</w:t>
            </w:r>
          </w:p>
        </w:tc>
        <w:tc>
          <w:tcPr>
            <w:tcW w:w="2360" w:type="dxa"/>
            <w:vAlign w:val="bottom"/>
          </w:tcPr>
          <w:p>
            <w:pPr>
              <w:ind w:left="1380"/>
              <w:spacing w:after="0"/>
              <w:rPr>
                <w:sz w:val="20"/>
                <w:szCs w:val="20"/>
                <w:color w:val="auto"/>
              </w:rPr>
            </w:pPr>
            <w:r>
              <w:rPr>
                <w:rFonts w:ascii="Courier New" w:cs="Courier New" w:eastAsia="Courier New" w:hAnsi="Courier New"/>
                <w:sz w:val="16"/>
                <w:szCs w:val="16"/>
                <w:color w:val="auto"/>
              </w:rPr>
              <w:t>0</w:t>
            </w:r>
          </w:p>
        </w:tc>
      </w:tr>
      <w:tr>
        <w:trPr>
          <w:trHeight w:val="190"/>
        </w:trPr>
        <w:tc>
          <w:tcPr>
            <w:tcW w:w="198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6"/>
                <w:szCs w:val="16"/>
                <w:color w:val="auto"/>
              </w:rPr>
            </w:pPr>
          </w:p>
        </w:tc>
        <w:tc>
          <w:tcPr>
            <w:tcW w:w="1580" w:type="dxa"/>
            <w:vAlign w:val="bottom"/>
          </w:tcPr>
          <w:p>
            <w:pPr>
              <w:ind w:left="500"/>
              <w:spacing w:after="0"/>
              <w:rPr>
                <w:sz w:val="20"/>
                <w:szCs w:val="20"/>
                <w:color w:val="auto"/>
              </w:rPr>
            </w:pPr>
            <w:r>
              <w:rPr>
                <w:rFonts w:ascii="Courier New" w:cs="Courier New" w:eastAsia="Courier New" w:hAnsi="Courier New"/>
                <w:sz w:val="16"/>
                <w:szCs w:val="16"/>
                <w:color w:val="auto"/>
              </w:rPr>
              <w:t>0</w:t>
            </w:r>
          </w:p>
        </w:tc>
        <w:tc>
          <w:tcPr>
            <w:tcW w:w="2360" w:type="dxa"/>
            <w:vAlign w:val="bottom"/>
          </w:tcPr>
          <w:p>
            <w:pPr>
              <w:ind w:left="1280"/>
              <w:spacing w:after="0"/>
              <w:rPr>
                <w:sz w:val="20"/>
                <w:szCs w:val="20"/>
                <w:color w:val="auto"/>
              </w:rPr>
            </w:pPr>
            <w:r>
              <w:rPr>
                <w:rFonts w:ascii="Courier New" w:cs="Courier New" w:eastAsia="Courier New" w:hAnsi="Courier New"/>
                <w:sz w:val="16"/>
                <w:szCs w:val="16"/>
                <w:color w:val="auto"/>
              </w:rPr>
              <w:t>0</w:t>
            </w:r>
          </w:p>
        </w:tc>
      </w:tr>
      <w:tr>
        <w:trPr>
          <w:trHeight w:val="190"/>
        </w:trPr>
        <w:tc>
          <w:tcPr>
            <w:tcW w:w="1980" w:type="dxa"/>
            <w:vAlign w:val="bottom"/>
          </w:tcPr>
          <w:p>
            <w:pPr>
              <w:spacing w:after="0"/>
              <w:rPr>
                <w:sz w:val="16"/>
                <w:szCs w:val="16"/>
                <w:color w:val="auto"/>
              </w:rPr>
            </w:pPr>
          </w:p>
        </w:tc>
        <w:tc>
          <w:tcPr>
            <w:tcW w:w="1580" w:type="dxa"/>
            <w:vAlign w:val="bottom"/>
          </w:tcPr>
          <w:p>
            <w:pPr>
              <w:ind w:left="1080"/>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6"/>
                <w:szCs w:val="16"/>
                <w:color w:val="auto"/>
              </w:rPr>
            </w:pP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2360" w:type="dxa"/>
            <w:vAlign w:val="bottom"/>
          </w:tcPr>
          <w:p>
            <w:pPr>
              <w:ind w:left="1880"/>
              <w:spacing w:after="0"/>
              <w:rPr>
                <w:sz w:val="20"/>
                <w:szCs w:val="20"/>
                <w:color w:val="auto"/>
              </w:rPr>
            </w:pPr>
            <w:r>
              <w:rPr>
                <w:rFonts w:ascii="Courier New" w:cs="Courier New" w:eastAsia="Courier New" w:hAnsi="Courier New"/>
                <w:sz w:val="16"/>
                <w:szCs w:val="16"/>
                <w:color w:val="auto"/>
              </w:rPr>
              <w:t>0</w:t>
            </w:r>
          </w:p>
        </w:tc>
      </w:tr>
      <w:tr>
        <w:trPr>
          <w:trHeight w:val="190"/>
        </w:trPr>
        <w:tc>
          <w:tcPr>
            <w:tcW w:w="3560" w:type="dxa"/>
            <w:vAlign w:val="bottom"/>
            <w:gridSpan w:val="2"/>
          </w:tcPr>
          <w:p>
            <w:pPr>
              <w:ind w:left="1880"/>
              <w:spacing w:after="0"/>
              <w:rPr>
                <w:sz w:val="20"/>
                <w:szCs w:val="20"/>
                <w:color w:val="auto"/>
              </w:rPr>
            </w:pPr>
            <w:r>
              <w:rPr>
                <w:rFonts w:ascii="Courier New" w:cs="Courier New" w:eastAsia="Courier New" w:hAnsi="Courier New"/>
                <w:sz w:val="16"/>
                <w:szCs w:val="16"/>
                <w:color w:val="auto"/>
              </w:rPr>
              <w:t>24,400,000</w:t>
            </w:r>
          </w:p>
        </w:tc>
        <w:tc>
          <w:tcPr>
            <w:tcW w:w="23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43,000,000</w:t>
            </w:r>
          </w:p>
        </w:tc>
        <w:tc>
          <w:tcPr>
            <w:tcW w:w="2360" w:type="dxa"/>
            <w:vAlign w:val="bottom"/>
          </w:tcPr>
          <w:p>
            <w:pPr>
              <w:ind w:left="680"/>
              <w:spacing w:after="0"/>
              <w:rPr>
                <w:sz w:val="20"/>
                <w:szCs w:val="20"/>
                <w:color w:val="auto"/>
              </w:rPr>
            </w:pPr>
            <w:r>
              <w:rPr>
                <w:rFonts w:ascii="Courier New" w:cs="Courier New" w:eastAsia="Courier New" w:hAnsi="Courier New"/>
                <w:sz w:val="16"/>
                <w:szCs w:val="16"/>
                <w:color w:val="auto"/>
              </w:rPr>
              <w:t>21,100,000</w:t>
            </w:r>
          </w:p>
        </w:tc>
      </w:tr>
      <w:tr>
        <w:trPr>
          <w:trHeight w:val="190"/>
        </w:trPr>
        <w:tc>
          <w:tcPr>
            <w:tcW w:w="1980" w:type="dxa"/>
            <w:vAlign w:val="bottom"/>
          </w:tcPr>
          <w:p>
            <w:pPr>
              <w:spacing w:after="0"/>
              <w:rPr>
                <w:sz w:val="16"/>
                <w:szCs w:val="16"/>
                <w:color w:val="auto"/>
              </w:rPr>
            </w:pPr>
          </w:p>
        </w:tc>
        <w:tc>
          <w:tcPr>
            <w:tcW w:w="15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1.18</w:t>
            </w:r>
          </w:p>
        </w:tc>
        <w:tc>
          <w:tcPr>
            <w:tcW w:w="780" w:type="dxa"/>
            <w:vAlign w:val="bottom"/>
          </w:tcPr>
          <w:p>
            <w:pPr>
              <w:spacing w:after="0"/>
              <w:rPr>
                <w:sz w:val="16"/>
                <w:szCs w:val="16"/>
                <w:color w:val="auto"/>
              </w:rPr>
            </w:pPr>
          </w:p>
        </w:tc>
        <w:tc>
          <w:tcPr>
            <w:tcW w:w="15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1.92</w:t>
            </w:r>
          </w:p>
        </w:tc>
        <w:tc>
          <w:tcPr>
            <w:tcW w:w="2360" w:type="dxa"/>
            <w:vAlign w:val="bottom"/>
          </w:tcPr>
          <w:p>
            <w:pPr>
              <w:ind w:left="1180"/>
              <w:spacing w:after="0"/>
              <w:rPr>
                <w:sz w:val="20"/>
                <w:szCs w:val="20"/>
                <w:color w:val="auto"/>
              </w:rPr>
            </w:pPr>
            <w:r>
              <w:rPr>
                <w:rFonts w:ascii="Courier New" w:cs="Courier New" w:eastAsia="Courier New" w:hAnsi="Courier New"/>
                <w:sz w:val="16"/>
                <w:szCs w:val="16"/>
                <w:color w:val="auto"/>
              </w:rPr>
              <w:t>1.01</w:t>
            </w:r>
          </w:p>
        </w:tc>
      </w:tr>
      <w:tr>
        <w:trPr>
          <w:trHeight w:val="190"/>
        </w:trPr>
        <w:tc>
          <w:tcPr>
            <w:tcW w:w="1980" w:type="dxa"/>
            <w:vAlign w:val="bottom"/>
          </w:tcPr>
          <w:p>
            <w:pPr>
              <w:spacing w:after="0"/>
              <w:rPr>
                <w:sz w:val="16"/>
                <w:szCs w:val="16"/>
                <w:color w:val="auto"/>
              </w:rPr>
            </w:pPr>
          </w:p>
        </w:tc>
        <w:tc>
          <w:tcPr>
            <w:tcW w:w="15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0.80</w:t>
            </w:r>
          </w:p>
        </w:tc>
        <w:tc>
          <w:tcPr>
            <w:tcW w:w="780" w:type="dxa"/>
            <w:vAlign w:val="bottom"/>
          </w:tcPr>
          <w:p>
            <w:pPr>
              <w:spacing w:after="0"/>
              <w:rPr>
                <w:sz w:val="16"/>
                <w:szCs w:val="16"/>
                <w:color w:val="auto"/>
              </w:rPr>
            </w:pPr>
          </w:p>
        </w:tc>
        <w:tc>
          <w:tcPr>
            <w:tcW w:w="15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1.47</w:t>
            </w:r>
          </w:p>
        </w:tc>
        <w:tc>
          <w:tcPr>
            <w:tcW w:w="2360" w:type="dxa"/>
            <w:vAlign w:val="bottom"/>
          </w:tcPr>
          <w:p>
            <w:pPr>
              <w:ind w:left="1180"/>
              <w:spacing w:after="0"/>
              <w:rPr>
                <w:sz w:val="20"/>
                <w:szCs w:val="20"/>
                <w:color w:val="auto"/>
              </w:rPr>
            </w:pPr>
            <w:r>
              <w:rPr>
                <w:rFonts w:ascii="Courier New" w:cs="Courier New" w:eastAsia="Courier New" w:hAnsi="Courier New"/>
                <w:sz w:val="16"/>
                <w:szCs w:val="16"/>
                <w:color w:val="auto"/>
              </w:rPr>
              <w:t>0.71</w:t>
            </w:r>
          </w:p>
        </w:tc>
      </w:tr>
    </w:tbl>
    <w:p>
      <w:pPr>
        <w:spacing w:after="0" w:line="1" w:lineRule="exact"/>
        <w:rPr>
          <w:sz w:val="20"/>
          <w:szCs w:val="20"/>
          <w:color w:val="auto"/>
        </w:rPr>
      </w:pPr>
    </w:p>
    <w:sectPr>
      <w:pgSz w:w="11900" w:h="16838" w:orient="portrait"/>
      <w:cols w:equalWidth="0" w:num="1">
        <w:col w:w="10199"/>
      </w:cols>
      <w:pgMar w:left="260" w:top="5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decimal"/>
      <w:start w:val="6"/>
    </w:lvl>
  </w:abstractNum>
  <w:abstractNum w:abstractNumId="5">
    <w:nsid w:val="12200854"/>
    <w:multiLevelType w:val="hybridMultilevel"/>
    <w:lvl w:ilvl="0">
      <w:lvlJc w:val="left"/>
      <w:lvlText w:val="%1."/>
      <w:numFmt w:val="decimal"/>
      <w:start w:val="7"/>
    </w:lvl>
  </w:abstractNum>
  <w:abstractNum w:abstractNumId="6">
    <w:nsid w:val="4DB127F8"/>
    <w:multiLevelType w:val="hybridMultilevel"/>
    <w:lvl w:ilvl="0">
      <w:lvlJc w:val="left"/>
      <w:lvlText w:val="%1."/>
      <w:numFmt w:val="decimal"/>
      <w:start w:val="8"/>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o"/>
      <w:numFmt w:val="bullet"/>
      <w:start w:val="1"/>
    </w:lvl>
  </w:abstractNum>
  <w:abstractNum w:abstractNumId="10">
    <w:nsid w:val="66EF438D"/>
    <w:multiLevelType w:val="hybridMultilevel"/>
    <w:lvl w:ilvl="0">
      <w:lvlJc w:val="left"/>
      <w:lvlText w:val="o"/>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2019-12-20T06:37:34Z</dcterms:created>
  <dcterms:modified xsi:type="dcterms:W3CDTF">2019-12-20T06:37:34Z</dcterms:modified>
</cp:coreProperties>
</file>