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-227330</wp:posOffset>
            </wp:positionV>
            <wp:extent cx="120650" cy="1206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-568325</wp:posOffset>
            </wp:positionV>
            <wp:extent cx="120650" cy="1206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2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5217795</wp:posOffset>
            </wp:positionH>
            <wp:positionV relativeFrom="paragraph">
              <wp:posOffset>-615315</wp:posOffset>
            </wp:positionV>
            <wp:extent cx="57785" cy="6286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8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3939540</wp:posOffset>
            </wp:positionH>
            <wp:positionV relativeFrom="paragraph">
              <wp:posOffset>-615315</wp:posOffset>
            </wp:positionV>
            <wp:extent cx="57785" cy="6286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8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-1687830</wp:posOffset>
            </wp:positionH>
            <wp:positionV relativeFrom="paragraph">
              <wp:posOffset>728345</wp:posOffset>
            </wp:positionV>
            <wp:extent cx="7047865" cy="41579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4157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60"/>
            <w:col w:w="8440"/>
          </w:cols>
          <w:pgMar w:left="460" w:top="216" w:right="359" w:bottom="1440" w:gutter="0" w:footer="0" w:header="0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HAGEDORN JAMES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 w:right="300"/>
        <w:spacing w:after="0" w:line="37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THE SCOTTS MIRACLE-GRO COMPANY 14111 SCOTTSLAWN ROAD</w:t>
      </w:r>
    </w:p>
    <w:p>
      <w:pPr>
        <w:spacing w:after="0" w:line="15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MARYSVILLE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43041</w:t>
            </w: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39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SCOTTS MIRACLE-GRO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SMG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03/26/2026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Chairman &amp;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03/26/2026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3,000.37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3,000.37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65.11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240,393.518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share of phantom stock represents the right to receive one common share of Issuer or the cash value thereof.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hanging="1"/>
        <w:spacing w:after="0" w:line="248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of phantom stock are payable in cash following termination of the reporting person's employment with Issuer. The reporting person may transfer his/her phantom stock into an alternative investment at any time.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Kathy L. Uttley as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03/27/2026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800" w:type="dxa"/>
            <w:vAlign w:val="bottom"/>
            <w:vMerge w:val="restart"/>
          </w:tcPr>
          <w:p>
            <w:pPr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in-fact for James Hagedorn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3740" w:hanging="1"/>
        <w:spacing w:after="0" w:line="330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180171" TargetMode="External"/><Relationship Id="rId14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2026-03-27T17:54:55Z</dcterms:created>
  <dcterms:modified xsi:type="dcterms:W3CDTF">2026-03-27T17:54:55Z</dcterms:modified>
</cp:coreProperties>
</file>