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7"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3"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_____________________________________</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10-K</w:t>
      </w:r>
    </w:p>
    <w:p>
      <w:pPr>
        <w:spacing w:after="0" w:line="37" w:lineRule="exact"/>
        <w:rPr>
          <w:sz w:val="24"/>
          <w:szCs w:val="24"/>
          <w:color w:val="auto"/>
        </w:rPr>
      </w:pPr>
    </w:p>
    <w:p>
      <w:pPr>
        <w:ind w:left="4160"/>
        <w:spacing w:after="0"/>
        <w:rPr>
          <w:sz w:val="20"/>
          <w:szCs w:val="20"/>
          <w:color w:val="auto"/>
        </w:rPr>
      </w:pPr>
      <w:r>
        <w:rPr>
          <w:rFonts w:ascii="Arial" w:cs="Arial" w:eastAsia="Arial" w:hAnsi="Arial"/>
          <w:sz w:val="16"/>
          <w:szCs w:val="16"/>
          <w:color w:val="auto"/>
        </w:rPr>
        <w:t>_____________________________________</w:t>
      </w:r>
    </w:p>
    <w:p>
      <w:pPr>
        <w:spacing w:after="0" w:line="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420" w:hanging="397"/>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20" w:hanging="397"/>
        <w:spacing w:after="0"/>
        <w:tabs>
          <w:tab w:leader="none" w:pos="4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8" w:lineRule="exact"/>
        <w:rPr>
          <w:sz w:val="24"/>
          <w:szCs w:val="24"/>
          <w:color w:val="auto"/>
        </w:rPr>
      </w:pPr>
    </w:p>
    <w:tbl>
      <w:tblPr>
        <w:tblLayout w:type="fixed"/>
        <w:tblInd w:w="88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8"/>
              </w:rPr>
              <w:t>Commission file number 001-11593</w:t>
            </w:r>
          </w:p>
        </w:tc>
        <w:tc>
          <w:tcPr>
            <w:tcW w:w="2760" w:type="dxa"/>
            <w:vAlign w:val="bottom"/>
          </w:tcPr>
          <w:p>
            <w:pPr>
              <w:spacing w:after="0"/>
              <w:rPr>
                <w:sz w:val="16"/>
                <w:szCs w:val="16"/>
                <w:color w:val="auto"/>
              </w:rPr>
            </w:pPr>
          </w:p>
        </w:tc>
      </w:tr>
      <w:tr>
        <w:trPr>
          <w:trHeight w:val="161"/>
        </w:trPr>
        <w:tc>
          <w:tcPr>
            <w:tcW w:w="9600" w:type="dxa"/>
            <w:vAlign w:val="bottom"/>
            <w:gridSpan w:val="7"/>
          </w:tcPr>
          <w:p>
            <w:pPr>
              <w:jc w:val="right"/>
              <w:ind w:right="2385"/>
              <w:spacing w:after="0" w:line="161" w:lineRule="exact"/>
              <w:rPr>
                <w:sz w:val="20"/>
                <w:szCs w:val="20"/>
                <w:color w:val="auto"/>
              </w:rPr>
            </w:pPr>
            <w:r>
              <w:rPr>
                <w:rFonts w:ascii="Arial" w:cs="Arial" w:eastAsia="Arial" w:hAnsi="Arial"/>
                <w:sz w:val="16"/>
                <w:szCs w:val="16"/>
                <w:color w:val="auto"/>
              </w:rPr>
              <w:t>______________________________________________________________</w:t>
            </w:r>
          </w:p>
        </w:tc>
      </w:tr>
      <w:tr>
        <w:trPr>
          <w:trHeight w:val="479"/>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780" w:type="dxa"/>
            <w:vAlign w:val="bottom"/>
            <w:gridSpan w:val="5"/>
          </w:tcPr>
          <w:p>
            <w:pPr>
              <w:jc w:val="center"/>
              <w:ind w:right="1865"/>
              <w:spacing w:after="0"/>
              <w:rPr>
                <w:sz w:val="20"/>
                <w:szCs w:val="20"/>
                <w:color w:val="auto"/>
              </w:rPr>
            </w:pPr>
            <w:r>
              <w:rPr>
                <w:rFonts w:ascii="Arial" w:cs="Arial" w:eastAsia="Arial" w:hAnsi="Arial"/>
                <w:sz w:val="39"/>
                <w:szCs w:val="39"/>
                <w:b w:val="1"/>
                <w:bCs w:val="1"/>
                <w:color w:val="auto"/>
                <w:w w:val="90"/>
              </w:rPr>
              <w:t>The Scotts Miracle-Gro Company</w:t>
            </w:r>
          </w:p>
        </w:tc>
      </w:tr>
      <w:tr>
        <w:trPr>
          <w:trHeight w:val="205"/>
        </w:trPr>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c>
          <w:tcPr>
            <w:tcW w:w="2760" w:type="dxa"/>
            <w:vAlign w:val="bottom"/>
          </w:tcPr>
          <w:p>
            <w:pPr>
              <w:spacing w:after="0"/>
              <w:rPr>
                <w:sz w:val="17"/>
                <w:szCs w:val="17"/>
                <w:color w:val="auto"/>
              </w:rPr>
            </w:pPr>
          </w:p>
        </w:tc>
      </w:tr>
      <w:tr>
        <w:trPr>
          <w:trHeight w:val="221"/>
        </w:trPr>
        <w:tc>
          <w:tcPr>
            <w:tcW w:w="700" w:type="dxa"/>
            <w:vAlign w:val="bottom"/>
          </w:tcPr>
          <w:p>
            <w:pPr>
              <w:spacing w:after="0"/>
              <w:rPr>
                <w:sz w:val="19"/>
                <w:szCs w:val="19"/>
                <w:color w:val="auto"/>
              </w:rPr>
            </w:pPr>
          </w:p>
        </w:tc>
        <w:tc>
          <w:tcPr>
            <w:tcW w:w="1980" w:type="dxa"/>
            <w:vAlign w:val="bottom"/>
            <w:gridSpan w:val="2"/>
          </w:tcPr>
          <w:p>
            <w:pPr>
              <w:jc w:val="center"/>
              <w:ind w:right="647"/>
              <w:spacing w:after="0"/>
              <w:rPr>
                <w:sz w:val="20"/>
                <w:szCs w:val="20"/>
                <w:color w:val="auto"/>
              </w:rPr>
            </w:pPr>
            <w:r>
              <w:rPr>
                <w:rFonts w:ascii="Arial" w:cs="Arial" w:eastAsia="Arial" w:hAnsi="Arial"/>
                <w:sz w:val="16"/>
                <w:szCs w:val="16"/>
                <w:b w:val="1"/>
                <w:bCs w:val="1"/>
                <w:color w:val="auto"/>
                <w:w w:val="93"/>
              </w:rPr>
              <w:t>Ohio</w:t>
            </w:r>
          </w:p>
        </w:tc>
        <w:tc>
          <w:tcPr>
            <w:tcW w:w="1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88"/>
              </w:rPr>
              <w:t>31-1414921</w:t>
            </w:r>
          </w:p>
        </w:tc>
      </w:tr>
      <w:tr>
        <w:trPr>
          <w:trHeight w:val="141"/>
        </w:trPr>
        <w:tc>
          <w:tcPr>
            <w:tcW w:w="2680" w:type="dxa"/>
            <w:vAlign w:val="bottom"/>
            <w:gridSpan w:val="3"/>
          </w:tcPr>
          <w:p>
            <w:pPr>
              <w:jc w:val="center"/>
              <w:spacing w:after="0" w:line="141" w:lineRule="exact"/>
              <w:rPr>
                <w:sz w:val="20"/>
                <w:szCs w:val="20"/>
                <w:color w:val="auto"/>
              </w:rPr>
            </w:pPr>
            <w:r>
              <w:rPr>
                <w:rFonts w:ascii="Arial" w:cs="Arial" w:eastAsia="Arial" w:hAnsi="Arial"/>
                <w:sz w:val="14"/>
                <w:szCs w:val="14"/>
                <w:b w:val="1"/>
                <w:bCs w:val="1"/>
                <w:color w:val="auto"/>
                <w:w w:val="90"/>
              </w:rPr>
              <w:t>(State or other jurisdiction of</w:t>
            </w:r>
          </w:p>
        </w:tc>
        <w:tc>
          <w:tcPr>
            <w:tcW w:w="1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incorporation or organization)</w:t>
            </w:r>
          </w:p>
        </w:tc>
        <w:tc>
          <w:tcPr>
            <w:tcW w:w="1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281"/>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14111 Scottslawn Road, Marysville, Ohio 43041</w:t>
            </w:r>
          </w:p>
        </w:tc>
        <w:tc>
          <w:tcPr>
            <w:tcW w:w="2760" w:type="dxa"/>
            <w:vAlign w:val="bottom"/>
          </w:tcPr>
          <w:p>
            <w:pPr>
              <w:spacing w:after="0"/>
              <w:rPr>
                <w:sz w:val="24"/>
                <w:szCs w:val="24"/>
                <w:color w:val="auto"/>
              </w:rPr>
            </w:pPr>
          </w:p>
        </w:tc>
      </w:tr>
      <w:tr>
        <w:trPr>
          <w:trHeight w:val="183"/>
        </w:trPr>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(Address of principal executive offices) (Zip Code)</w:t>
            </w:r>
          </w:p>
        </w:tc>
        <w:tc>
          <w:tcPr>
            <w:tcW w:w="2760" w:type="dxa"/>
            <w:vAlign w:val="bottom"/>
          </w:tcPr>
          <w:p>
            <w:pPr>
              <w:spacing w:after="0"/>
              <w:rPr>
                <w:sz w:val="15"/>
                <w:szCs w:val="15"/>
                <w:color w:val="auto"/>
              </w:rPr>
            </w:pPr>
          </w:p>
        </w:tc>
      </w:tr>
      <w:tr>
        <w:trPr>
          <w:trHeight w:val="406"/>
        </w:trPr>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7"/>
              </w:rPr>
              <w:t>Registrant’s telephone number, including area code:</w:t>
            </w:r>
          </w:p>
        </w:tc>
        <w:tc>
          <w:tcPr>
            <w:tcW w:w="2760" w:type="dxa"/>
            <w:vAlign w:val="bottom"/>
          </w:tcPr>
          <w:p>
            <w:pPr>
              <w:spacing w:after="0"/>
              <w:rPr>
                <w:sz w:val="24"/>
                <w:szCs w:val="24"/>
                <w:color w:val="auto"/>
              </w:rPr>
            </w:pPr>
          </w:p>
        </w:tc>
      </w:tr>
      <w:tr>
        <w:trPr>
          <w:trHeight w:val="209"/>
        </w:trPr>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gridSpan w:val="2"/>
          </w:tcPr>
          <w:p>
            <w:pPr>
              <w:jc w:val="center"/>
              <w:ind w:left="1423"/>
              <w:spacing w:after="0"/>
              <w:rPr>
                <w:sz w:val="20"/>
                <w:szCs w:val="20"/>
                <w:color w:val="auto"/>
              </w:rPr>
            </w:pPr>
            <w:r>
              <w:rPr>
                <w:rFonts w:ascii="Arial" w:cs="Arial" w:eastAsia="Arial" w:hAnsi="Arial"/>
                <w:sz w:val="16"/>
                <w:szCs w:val="16"/>
                <w:b w:val="1"/>
                <w:bCs w:val="1"/>
                <w:color w:val="auto"/>
                <w:w w:val="93"/>
              </w:rPr>
              <w:t>(</w:t>
            </w:r>
            <w:r>
              <w:rPr>
                <w:rFonts w:ascii="Arial" w:cs="Arial" w:eastAsia="Arial" w:hAnsi="Arial"/>
                <w:sz w:val="17"/>
                <w:szCs w:val="17"/>
                <w:color w:val="auto"/>
                <w:w w:val="93"/>
              </w:rPr>
              <w:t>937</w:t>
            </w:r>
            <w:r>
              <w:rPr>
                <w:rFonts w:ascii="Arial" w:cs="Arial" w:eastAsia="Arial" w:hAnsi="Arial"/>
                <w:sz w:val="16"/>
                <w:szCs w:val="16"/>
                <w:b w:val="1"/>
                <w:bCs w:val="1"/>
                <w:color w:val="auto"/>
                <w:w w:val="93"/>
              </w:rPr>
              <w:t xml:space="preserve">) </w:t>
            </w:r>
            <w:r>
              <w:rPr>
                <w:rFonts w:ascii="Arial" w:cs="Arial" w:eastAsia="Arial" w:hAnsi="Arial"/>
                <w:sz w:val="17"/>
                <w:szCs w:val="17"/>
                <w:color w:val="auto"/>
                <w:w w:val="93"/>
              </w:rPr>
              <w:t>644-0011</w:t>
            </w:r>
          </w:p>
        </w:tc>
        <w:tc>
          <w:tcPr>
            <w:tcW w:w="154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05"/>
        </w:trPr>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1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2760" w:type="dxa"/>
            <w:vAlign w:val="bottom"/>
          </w:tcPr>
          <w:p>
            <w:pPr>
              <w:spacing w:after="0"/>
              <w:rPr>
                <w:sz w:val="17"/>
                <w:szCs w:val="17"/>
                <w:color w:val="auto"/>
              </w:rPr>
            </w:pPr>
          </w:p>
        </w:tc>
      </w:tr>
      <w:tr>
        <w:trPr>
          <w:trHeight w:val="164"/>
        </w:trPr>
        <w:tc>
          <w:tcPr>
            <w:tcW w:w="700" w:type="dxa"/>
            <w:vAlign w:val="bottom"/>
          </w:tcPr>
          <w:p>
            <w:pPr>
              <w:spacing w:after="0"/>
              <w:rPr>
                <w:sz w:val="14"/>
                <w:szCs w:val="14"/>
                <w:color w:val="auto"/>
              </w:rPr>
            </w:pPr>
          </w:p>
        </w:tc>
        <w:tc>
          <w:tcPr>
            <w:tcW w:w="1980" w:type="dxa"/>
            <w:vAlign w:val="bottom"/>
            <w:gridSpan w:val="2"/>
          </w:tcPr>
          <w:p>
            <w:pPr>
              <w:jc w:val="center"/>
              <w:ind w:right="667"/>
              <w:spacing w:after="0"/>
              <w:rPr>
                <w:sz w:val="20"/>
                <w:szCs w:val="20"/>
                <w:color w:val="auto"/>
              </w:rPr>
            </w:pPr>
            <w:r>
              <w:rPr>
                <w:rFonts w:ascii="Arial" w:cs="Arial" w:eastAsia="Arial" w:hAnsi="Arial"/>
                <w:sz w:val="14"/>
                <w:szCs w:val="14"/>
                <w:b w:val="1"/>
                <w:bCs w:val="1"/>
                <w:color w:val="auto"/>
                <w:w w:val="89"/>
              </w:rPr>
              <w:t>Title of Each Class</w:t>
            </w:r>
          </w:p>
        </w:tc>
        <w:tc>
          <w:tcPr>
            <w:tcW w:w="41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Trading Symbol(s)</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r>
      <w:tr>
        <w:trPr>
          <w:trHeight w:val="242"/>
        </w:trPr>
        <w:tc>
          <w:tcPr>
            <w:tcW w:w="2680" w:type="dxa"/>
            <w:vAlign w:val="bottom"/>
            <w:gridSpan w:val="3"/>
          </w:tcPr>
          <w:p>
            <w:pPr>
              <w:jc w:val="center"/>
              <w:spacing w:after="0"/>
              <w:rPr>
                <w:sz w:val="20"/>
                <w:szCs w:val="20"/>
                <w:color w:val="auto"/>
              </w:rPr>
            </w:pPr>
            <w:r>
              <w:rPr>
                <w:rFonts w:ascii="Arial" w:cs="Arial" w:eastAsia="Arial" w:hAnsi="Arial"/>
                <w:sz w:val="18"/>
                <w:szCs w:val="18"/>
                <w:color w:val="auto"/>
                <w:w w:val="86"/>
              </w:rPr>
              <w:t>Common Shares, $0.01 stated value</w:t>
            </w:r>
          </w:p>
        </w:tc>
        <w:tc>
          <w:tcPr>
            <w:tcW w:w="1500" w:type="dxa"/>
            <w:vAlign w:val="bottom"/>
          </w:tcPr>
          <w:p>
            <w:pPr>
              <w:spacing w:after="0"/>
              <w:rPr>
                <w:sz w:val="21"/>
                <w:szCs w:val="21"/>
                <w:color w:val="auto"/>
              </w:rPr>
            </w:pPr>
          </w:p>
        </w:tc>
        <w:tc>
          <w:tcPr>
            <w:tcW w:w="2660" w:type="dxa"/>
            <w:vAlign w:val="bottom"/>
            <w:gridSpan w:val="2"/>
          </w:tcPr>
          <w:p>
            <w:pPr>
              <w:jc w:val="center"/>
              <w:ind w:right="1520"/>
              <w:spacing w:after="0"/>
              <w:rPr>
                <w:sz w:val="20"/>
                <w:szCs w:val="20"/>
                <w:color w:val="auto"/>
              </w:rPr>
            </w:pPr>
            <w:r>
              <w:rPr>
                <w:rFonts w:ascii="Arial" w:cs="Arial" w:eastAsia="Arial" w:hAnsi="Arial"/>
                <w:sz w:val="18"/>
                <w:szCs w:val="18"/>
                <w:color w:val="auto"/>
                <w:w w:val="92"/>
              </w:rPr>
              <w:t>SMG</w:t>
            </w: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NYSE</w:t>
            </w:r>
          </w:p>
        </w:tc>
      </w:tr>
    </w:tbl>
    <w:p>
      <w:pPr>
        <w:spacing w:after="0" w:line="7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ind w:left="3160"/>
        <w:spacing w:after="0"/>
        <w:rPr>
          <w:sz w:val="20"/>
          <w:szCs w:val="20"/>
          <w:color w:val="auto"/>
        </w:rPr>
      </w:pPr>
      <w:r>
        <w:rPr>
          <w:rFonts w:ascii="Arial" w:cs="Arial" w:eastAsia="Arial" w:hAnsi="Arial"/>
          <w:sz w:val="16"/>
          <w:szCs w:val="16"/>
          <w:color w:val="auto"/>
        </w:rPr>
        <w:t>______________________________________________________________</w:t>
      </w:r>
    </w:p>
    <w:p>
      <w:pPr>
        <w:sectPr>
          <w:pgSz w:w="11900" w:h="16838" w:orient="portrait"/>
          <w:cols w:equalWidth="0" w:num="1">
            <w:col w:w="11240"/>
          </w:cols>
          <w:pgMar w:left="320" w:top="232" w:right="339" w:bottom="1440" w:gutter="0" w:footer="0" w:header="0"/>
        </w:sectPr>
      </w:pPr>
    </w:p>
    <w:p>
      <w:pPr>
        <w:spacing w:after="0" w:line="96"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80" w:lineRule="exact"/>
        <w:rPr>
          <w:sz w:val="24"/>
          <w:szCs w:val="24"/>
          <w:color w:val="auto"/>
        </w:rPr>
      </w:pPr>
    </w:p>
    <w:p>
      <w:pPr>
        <w:sectPr>
          <w:pgSz w:w="11900" w:h="16838" w:orient="portrait"/>
          <w:cols w:equalWidth="0" w:num="5">
            <w:col w:w="6900" w:space="140"/>
            <w:col w:w="200" w:space="60"/>
            <w:col w:w="140" w:space="140"/>
            <w:col w:w="160" w:space="80"/>
            <w:col w:w="3420"/>
          </w:cols>
          <w:pgMar w:left="320" w:top="232" w:right="339" w:bottom="1440" w:gutter="0" w:footer="0" w:header="0"/>
          <w:type w:val="continuous"/>
        </w:sectPr>
      </w:pPr>
    </w:p>
    <w:p>
      <w:pPr>
        <w:spacing w:after="0" w:line="25" w:lineRule="exact"/>
        <w:rPr>
          <w:sz w:val="24"/>
          <w:szCs w:val="24"/>
          <w:color w:val="auto"/>
        </w:rPr>
      </w:pPr>
    </w:p>
    <w:p>
      <w:pPr>
        <w:ind w:left="32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8" w:lineRule="exact"/>
        <w:rPr>
          <w:sz w:val="24"/>
          <w:szCs w:val="24"/>
          <w:color w:val="auto"/>
        </w:rPr>
      </w:pPr>
    </w:p>
    <w:p>
      <w:pPr>
        <w:sectPr>
          <w:pgSz w:w="11900" w:h="16838" w:orient="portrait"/>
          <w:cols w:equalWidth="0" w:num="5">
            <w:col w:w="7020" w:space="140"/>
            <w:col w:w="200" w:space="80"/>
            <w:col w:w="60" w:space="140"/>
            <w:col w:w="180" w:space="60"/>
            <w:col w:w="3360"/>
          </w:cols>
          <w:pgMar w:left="320" w:top="232" w:right="339" w:bottom="1440" w:gutter="0" w:footer="0" w:header="0"/>
          <w:type w:val="continuous"/>
        </w:sectPr>
      </w:pPr>
    </w:p>
    <w:p>
      <w:pPr>
        <w:ind w:firstLine="315"/>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firstLine="315"/>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69" w:lineRule="exact"/>
        <w:rPr>
          <w:sz w:val="24"/>
          <w:szCs w:val="24"/>
          <w:color w:val="auto"/>
        </w:rPr>
      </w:pPr>
    </w:p>
    <w:p>
      <w:pPr>
        <w:ind w:firstLine="315"/>
        <w:spacing w:after="0" w:line="27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20" w:type="dxa"/>
        <w:tblCellMar>
          <w:top w:w="0" w:type="dxa"/>
          <w:left w:w="0" w:type="dxa"/>
          <w:bottom w:w="0" w:type="dxa"/>
          <w:right w:w="0" w:type="dxa"/>
        </w:tblCellMar>
      </w:tblPr>
      <w:tr>
        <w:trPr>
          <w:trHeight w:val="209"/>
        </w:trPr>
        <w:tc>
          <w:tcPr>
            <w:tcW w:w="19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060"/>
              <w:spacing w:after="0"/>
              <w:rPr>
                <w:sz w:val="20"/>
                <w:szCs w:val="20"/>
                <w:color w:val="auto"/>
              </w:rPr>
            </w:pPr>
            <w:r>
              <w:rPr>
                <w:rFonts w:ascii="Arial" w:cs="Arial" w:eastAsia="Arial" w:hAnsi="Arial"/>
                <w:sz w:val="14"/>
                <w:szCs w:val="14"/>
                <w:color w:val="auto"/>
              </w:rPr>
              <w:t>Accelerated filer</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1960" w:type="dxa"/>
            <w:vAlign w:val="bottom"/>
          </w:tcPr>
          <w:p>
            <w:pPr>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2060"/>
              <w:spacing w:after="0"/>
              <w:rPr>
                <w:sz w:val="20"/>
                <w:szCs w:val="20"/>
                <w:color w:val="auto"/>
              </w:rPr>
            </w:pPr>
            <w:r>
              <w:rPr>
                <w:rFonts w:ascii="Arial" w:cs="Arial" w:eastAsia="Arial" w:hAnsi="Arial"/>
                <w:sz w:val="14"/>
                <w:szCs w:val="14"/>
                <w:color w:val="auto"/>
              </w:rPr>
              <w:t>Smaller reporting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19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4540" w:type="dxa"/>
            <w:vAlign w:val="bottom"/>
          </w:tcPr>
          <w:p>
            <w:pPr>
              <w:ind w:left="2060"/>
              <w:spacing w:after="0"/>
              <w:rPr>
                <w:sz w:val="20"/>
                <w:szCs w:val="20"/>
                <w:color w:val="auto"/>
              </w:rPr>
            </w:pPr>
            <w:r>
              <w:rPr>
                <w:rFonts w:ascii="Arial" w:cs="Arial" w:eastAsia="Arial" w:hAnsi="Arial"/>
                <w:sz w:val="14"/>
                <w:szCs w:val="14"/>
                <w:color w:val="auto"/>
              </w:rPr>
              <w:t>Emerging growth company</w:t>
            </w:r>
          </w:p>
        </w:tc>
        <w:tc>
          <w:tcPr>
            <w:tcW w:w="1080" w:type="dxa"/>
            <w:vAlign w:val="bottom"/>
          </w:tcPr>
          <w:p>
            <w:pPr>
              <w:ind w:left="9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8" w:lineRule="exact"/>
        <w:rPr>
          <w:sz w:val="24"/>
          <w:szCs w:val="24"/>
          <w:color w:val="auto"/>
        </w:rPr>
      </w:pPr>
    </w:p>
    <w:p>
      <w:pPr>
        <w:ind w:left="32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29" w:lineRule="exact"/>
        <w:rPr>
          <w:sz w:val="24"/>
          <w:szCs w:val="24"/>
          <w:color w:val="auto"/>
        </w:rPr>
      </w:pPr>
    </w:p>
    <w:p>
      <w:pPr>
        <w:spacing w:after="0"/>
        <w:tabs>
          <w:tab w:leader="none" w:pos="4020" w:val="left"/>
        </w:tabs>
        <w:rPr>
          <w:sz w:val="20"/>
          <w:szCs w:val="20"/>
          <w:color w:val="auto"/>
        </w:rPr>
      </w:pPr>
      <w:r>
        <w:rPr>
          <w:rFonts w:ascii="Arial" w:cs="Arial" w:eastAsia="Arial" w:hAnsi="Arial"/>
          <w:sz w:val="13"/>
          <w:szCs w:val="13"/>
          <w:color w:val="auto"/>
        </w:rPr>
        <w:t>standards provided pursuant to Section 13(a) of the Exchange Act.</w:t>
      </w:r>
      <w:r>
        <w:rPr>
          <w:sz w:val="20"/>
          <w:szCs w:val="20"/>
          <w:color w:val="auto"/>
        </w:rPr>
        <w:tab/>
      </w:r>
      <w:r>
        <w:rPr>
          <w:rFonts w:ascii="Arial" w:cs="Arial" w:eastAsia="Arial" w:hAnsi="Arial"/>
          <w:sz w:val="14"/>
          <w:szCs w:val="14"/>
          <w:color w:val="auto"/>
        </w:rPr>
        <w:t>o</w:t>
      </w:r>
    </w:p>
    <w:p>
      <w:pPr>
        <w:spacing w:after="0" w:line="41" w:lineRule="exact"/>
        <w:rPr>
          <w:sz w:val="24"/>
          <w:szCs w:val="24"/>
          <w:color w:val="auto"/>
        </w:rPr>
      </w:pPr>
    </w:p>
    <w:p>
      <w:pPr>
        <w:ind w:right="60" w:firstLine="315"/>
        <w:spacing w:after="0" w:line="20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3" w:lineRule="exact"/>
        <w:rPr>
          <w:sz w:val="24"/>
          <w:szCs w:val="24"/>
          <w:color w:val="auto"/>
        </w:rPr>
      </w:pPr>
    </w:p>
    <w:p>
      <w:pPr>
        <w:ind w:left="320"/>
        <w:spacing w:after="0" w:line="161" w:lineRule="exact"/>
        <w:tabs>
          <w:tab w:leader="none" w:pos="6220" w:val="left"/>
          <w:tab w:leader="none" w:pos="67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7" w:lineRule="exact"/>
        <w:rPr>
          <w:sz w:val="24"/>
          <w:szCs w:val="24"/>
          <w:color w:val="auto"/>
        </w:rPr>
      </w:pPr>
    </w:p>
    <w:p>
      <w:pPr>
        <w:ind w:firstLine="315"/>
        <w:spacing w:after="0" w:line="261" w:lineRule="auto"/>
        <w:rPr>
          <w:sz w:val="20"/>
          <w:szCs w:val="20"/>
          <w:color w:val="auto"/>
        </w:rPr>
      </w:pPr>
      <w:r>
        <w:rPr>
          <w:rFonts w:ascii="Arial" w:cs="Arial" w:eastAsia="Arial" w:hAnsi="Arial"/>
          <w:sz w:val="14"/>
          <w:szCs w:val="14"/>
          <w:color w:val="auto"/>
        </w:rPr>
        <w:t>The aggregate market value of Common Shares (the only common equity of the registrant) held by non-affiliates (for this purpose, executive officers and directors of the registrant are considered affiliates) as of April 2, 2021 (the last business day of the most recently completed second quarter) was approximately $10,247,688,750.</w:t>
      </w:r>
    </w:p>
    <w:p>
      <w:pPr>
        <w:spacing w:after="0" w:line="70" w:lineRule="exact"/>
        <w:rPr>
          <w:sz w:val="24"/>
          <w:szCs w:val="24"/>
          <w:color w:val="auto"/>
        </w:rPr>
      </w:pPr>
    </w:p>
    <w:p>
      <w:pPr>
        <w:ind w:left="320"/>
        <w:spacing w:after="0"/>
        <w:rPr>
          <w:sz w:val="20"/>
          <w:szCs w:val="20"/>
          <w:color w:val="auto"/>
        </w:rPr>
      </w:pPr>
      <w:r>
        <w:rPr>
          <w:rFonts w:ascii="Arial" w:cs="Arial" w:eastAsia="Arial" w:hAnsi="Arial"/>
          <w:sz w:val="14"/>
          <w:szCs w:val="14"/>
          <w:color w:val="auto"/>
        </w:rPr>
        <w:t>There were 55,155,114 Common Shares of the registrant outstanding as of November 19, 2021.</w:t>
      </w:r>
    </w:p>
    <w:p>
      <w:pPr>
        <w:spacing w:after="0" w:line="9"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3" w:lineRule="exact"/>
        <w:rPr>
          <w:sz w:val="24"/>
          <w:szCs w:val="24"/>
          <w:color w:val="auto"/>
        </w:rPr>
      </w:pPr>
    </w:p>
    <w:p>
      <w:pPr>
        <w:ind w:firstLine="315"/>
        <w:spacing w:after="0" w:line="261" w:lineRule="auto"/>
        <w:rPr>
          <w:sz w:val="20"/>
          <w:szCs w:val="20"/>
          <w:color w:val="auto"/>
        </w:rPr>
      </w:pPr>
      <w:r>
        <w:rPr>
          <w:rFonts w:ascii="Arial" w:cs="Arial" w:eastAsia="Arial" w:hAnsi="Arial"/>
          <w:sz w:val="14"/>
          <w:szCs w:val="14"/>
          <w:color w:val="auto"/>
        </w:rPr>
        <w:t>Portions of the definitive Proxy Statement for the registrant’s 2022 Annual Meeting of Shareholders are incorporated by reference into Part III of this Annual Report on Form 10-K. Such Proxy Statement will be filed with the Securities and Exchange Commission within 120 days of the registrant’s fiscal year ended September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194310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300" w:type="dxa"/>
            <w:vAlign w:val="bottom"/>
            <w:gridSpan w:val="9"/>
          </w:tcPr>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1"/>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19"/>
          </w:tcPr>
          <w:p>
            <w:pPr>
              <w:jc w:val="center"/>
              <w:ind w:right="3300"/>
              <w:spacing w:after="0"/>
              <w:rPr>
                <w:sz w:val="20"/>
                <w:szCs w:val="20"/>
                <w:color w:val="auto"/>
              </w:rPr>
            </w:pPr>
            <w:r>
              <w:rPr>
                <w:rFonts w:ascii="Arial" w:cs="Arial" w:eastAsia="Arial" w:hAnsi="Arial"/>
                <w:sz w:val="18"/>
                <w:szCs w:val="18"/>
                <w:b w:val="1"/>
                <w:bCs w:val="1"/>
                <w:color w:val="auto"/>
                <w:w w:val="89"/>
              </w:rPr>
              <w:t>The Scotts Miracle-Gro Company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60" w:type="dxa"/>
            <w:vAlign w:val="bottom"/>
            <w:gridSpan w:val="17"/>
          </w:tcPr>
          <w:p>
            <w:pPr>
              <w:jc w:val="center"/>
              <w:ind w:right="3720"/>
              <w:spacing w:after="0"/>
              <w:rPr>
                <w:sz w:val="20"/>
                <w:szCs w:val="20"/>
                <w:color w:val="auto"/>
              </w:rPr>
            </w:pPr>
            <w:r>
              <w:rPr>
                <w:rFonts w:ascii="Arial" w:cs="Arial" w:eastAsia="Arial" w:hAnsi="Arial"/>
                <w:sz w:val="18"/>
                <w:szCs w:val="18"/>
                <w:b w:val="1"/>
                <w:bCs w:val="1"/>
                <w:color w:val="auto"/>
                <w:w w:val="91"/>
              </w:rPr>
              <w:t>Annual Report on Form 10-K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20" w:type="dxa"/>
            <w:vAlign w:val="bottom"/>
            <w:gridSpan w:val="21"/>
          </w:tcPr>
          <w:p>
            <w:pPr>
              <w:jc w:val="center"/>
              <w:ind w:right="3040"/>
              <w:spacing w:after="0"/>
              <w:rPr>
                <w:sz w:val="20"/>
                <w:szCs w:val="20"/>
                <w:color w:val="auto"/>
              </w:rPr>
            </w:pPr>
            <w:r>
              <w:rPr>
                <w:rFonts w:ascii="Arial" w:cs="Arial" w:eastAsia="Arial" w:hAnsi="Arial"/>
                <w:sz w:val="18"/>
                <w:szCs w:val="18"/>
                <w:b w:val="1"/>
                <w:bCs w:val="1"/>
                <w:color w:val="auto"/>
                <w:w w:val="87"/>
              </w:rPr>
              <w:t>For the Fiscal Year Ended September 30, 2021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20" w:type="dxa"/>
            <w:vAlign w:val="bottom"/>
            <w:gridSpan w:val="14"/>
          </w:tcPr>
          <w:p>
            <w:pPr>
              <w:jc w:val="center"/>
              <w:ind w:right="4160"/>
              <w:spacing w:after="0"/>
              <w:rPr>
                <w:sz w:val="20"/>
                <w:szCs w:val="20"/>
                <w:color w:val="auto"/>
              </w:rPr>
            </w:pPr>
            <w:r>
              <w:rPr>
                <w:rFonts w:ascii="Arial" w:cs="Arial" w:eastAsia="Arial" w:hAnsi="Arial"/>
                <w:sz w:val="18"/>
                <w:szCs w:val="18"/>
                <w:b w:val="1"/>
                <w:bCs w:val="1"/>
                <w:color w:val="auto"/>
                <w:w w:val="86"/>
              </w:rPr>
              <w:t>Table of Contents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6"/>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940" w:type="dxa"/>
            <w:vAlign w:val="bottom"/>
            <w:gridSpan w:val="4"/>
          </w:tcPr>
          <w:p>
            <w:pPr>
              <w:spacing w:after="0" w:line="178" w:lineRule="exact"/>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1320" w:type="dxa"/>
            <w:vAlign w:val="bottom"/>
            <w:gridSpan w:val="4"/>
          </w:tcPr>
          <w:p>
            <w:pPr>
              <w:spacing w:after="0" w:line="178"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20" w:type="dxa"/>
            <w:vAlign w:val="bottom"/>
          </w:tcPr>
          <w:p>
            <w:pPr>
              <w:spacing w:after="0"/>
              <w:rPr>
                <w:sz w:val="15"/>
                <w:szCs w:val="15"/>
                <w:color w:val="auto"/>
              </w:rPr>
            </w:pPr>
          </w:p>
        </w:tc>
        <w:tc>
          <w:tcPr>
            <w:tcW w:w="7240" w:type="dxa"/>
            <w:vAlign w:val="bottom"/>
            <w:gridSpan w:val="22"/>
          </w:tcPr>
          <w:p>
            <w:pPr>
              <w:spacing w:after="0" w:line="178"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420" w:type="dxa"/>
            <w:vAlign w:val="bottom"/>
            <w:tcBorders>
              <w:top w:val="single" w:sz="8" w:color="auto"/>
            </w:tcBorders>
            <w:gridSpan w:val="3"/>
          </w:tcPr>
          <w:p>
            <w:pPr>
              <w:jc w:val="center"/>
              <w:ind w:left="252"/>
              <w:spacing w:after="0" w:line="178"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rFonts w:ascii="Arial" w:cs="Arial" w:eastAsia="Arial" w:hAnsi="Arial"/>
                <w:sz w:val="18"/>
                <w:szCs w:val="18"/>
                <w:color w:val="0000FF"/>
                <w:w w:val="83"/>
              </w:rPr>
            </w:pPr>
            <w:hyperlink w:anchor="page10">
              <w:r>
                <w:rPr>
                  <w:rFonts w:ascii="Arial" w:cs="Arial" w:eastAsia="Arial" w:hAnsi="Arial"/>
                  <w:sz w:val="18"/>
                  <w:szCs w:val="18"/>
                  <w:color w:val="0000FF"/>
                  <w:w w:val="83"/>
                </w:rPr>
                <w:t>Item 1A.</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420" w:type="dxa"/>
            <w:vAlign w:val="bottom"/>
            <w:gridSpan w:val="3"/>
          </w:tcPr>
          <w:p>
            <w:pPr>
              <w:jc w:val="center"/>
              <w:ind w:left="252"/>
              <w:spacing w:after="0" w:line="203"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9</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rFonts w:ascii="Arial" w:cs="Arial" w:eastAsia="Arial" w:hAnsi="Arial"/>
                <w:sz w:val="18"/>
                <w:szCs w:val="18"/>
                <w:color w:val="0000FF"/>
                <w:w w:val="83"/>
              </w:rPr>
            </w:pPr>
            <w:hyperlink w:anchor="page22">
              <w:r>
                <w:rPr>
                  <w:rFonts w:ascii="Arial" w:cs="Arial" w:eastAsia="Arial" w:hAnsi="Arial"/>
                  <w:sz w:val="18"/>
                  <w:szCs w:val="18"/>
                  <w:color w:val="0000FF"/>
                  <w:w w:val="83"/>
                </w:rPr>
                <w:t>Item 1B.</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22">
              <w:r>
                <w:rPr>
                  <w:rFonts w:ascii="Arial" w:cs="Arial" w:eastAsia="Arial" w:hAnsi="Arial"/>
                  <w:sz w:val="18"/>
                  <w:szCs w:val="18"/>
                  <w:color w:val="0000FF"/>
                </w:rPr>
                <w:t>Unresolved Staff Comments</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87"/>
              </w:rPr>
            </w:pPr>
            <w:hyperlink w:anchor="page22">
              <w:r>
                <w:rPr>
                  <w:rFonts w:ascii="Arial" w:cs="Arial" w:eastAsia="Arial" w:hAnsi="Arial"/>
                  <w:sz w:val="18"/>
                  <w:szCs w:val="18"/>
                  <w:color w:val="0000FF"/>
                  <w:w w:val="87"/>
                </w:rPr>
                <w:t>Item 2.</w:t>
              </w:r>
            </w:hyperlink>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gridSpan w:val="2"/>
          </w:tcPr>
          <w:p>
            <w:pPr>
              <w:spacing w:after="0" w:line="203" w:lineRule="exact"/>
              <w:rPr>
                <w:rFonts w:ascii="Arial" w:cs="Arial" w:eastAsia="Arial" w:hAnsi="Arial"/>
                <w:sz w:val="18"/>
                <w:szCs w:val="18"/>
                <w:color w:val="0000FF"/>
                <w:w w:val="80"/>
              </w:rPr>
            </w:pPr>
            <w:hyperlink w:anchor="page22">
              <w:r>
                <w:rPr>
                  <w:rFonts w:ascii="Arial" w:cs="Arial" w:eastAsia="Arial" w:hAnsi="Arial"/>
                  <w:sz w:val="18"/>
                  <w:szCs w:val="18"/>
                  <w:color w:val="0000FF"/>
                  <w:w w:val="80"/>
                </w:rPr>
                <w:t>Properties</w:t>
              </w:r>
            </w:hyperlink>
          </w:p>
        </w:tc>
        <w:tc>
          <w:tcPr>
            <w:tcW w:w="1300" w:type="dxa"/>
            <w:vAlign w:val="bottom"/>
            <w:gridSpan w:val="8"/>
          </w:tcPr>
          <w:p>
            <w:pPr>
              <w:spacing w:after="0"/>
              <w:rPr>
                <w:sz w:val="17"/>
                <w:szCs w:val="17"/>
                <w:color w:val="auto"/>
              </w:rPr>
            </w:pPr>
          </w:p>
        </w:tc>
        <w:tc>
          <w:tcPr>
            <w:tcW w:w="5240" w:type="dxa"/>
            <w:vAlign w:val="bottom"/>
            <w:gridSpan w:val="12"/>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22">
              <w:r>
                <w:rPr>
                  <w:rFonts w:ascii="Arial" w:cs="Arial" w:eastAsia="Arial" w:hAnsi="Arial"/>
                  <w:sz w:val="15"/>
                  <w:szCs w:val="15"/>
                  <w:color w:val="0000FF"/>
                  <w:w w:val="71"/>
                </w:rPr>
                <w:t>21</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87"/>
              </w:rPr>
            </w:pPr>
            <w:hyperlink w:anchor="page22">
              <w:r>
                <w:rPr>
                  <w:rFonts w:ascii="Arial" w:cs="Arial" w:eastAsia="Arial" w:hAnsi="Arial"/>
                  <w:sz w:val="18"/>
                  <w:szCs w:val="18"/>
                  <w:color w:val="0000FF"/>
                  <w:w w:val="87"/>
                </w:rPr>
                <w:t>Item 3.</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bottom w:val="single" w:sz="8" w:color="0000FF"/>
            </w:tcBorders>
            <w:gridSpan w:val="2"/>
          </w:tcPr>
          <w:p>
            <w:pPr>
              <w:spacing w:after="0" w:line="203" w:lineRule="exact"/>
              <w:rPr>
                <w:rFonts w:ascii="Arial" w:cs="Arial" w:eastAsia="Arial" w:hAnsi="Arial"/>
                <w:sz w:val="18"/>
                <w:szCs w:val="18"/>
                <w:color w:val="0000FF"/>
                <w:w w:val="87"/>
              </w:rPr>
            </w:pPr>
            <w:hyperlink w:anchor="page23">
              <w:r>
                <w:rPr>
                  <w:rFonts w:ascii="Arial" w:cs="Arial" w:eastAsia="Arial" w:hAnsi="Arial"/>
                  <w:sz w:val="18"/>
                  <w:szCs w:val="18"/>
                  <w:color w:val="0000FF"/>
                  <w:w w:val="87"/>
                </w:rPr>
                <w:t>Item 4.</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tcBorders>
              <w:bottom w:val="single" w:sz="8" w:color="0000FF"/>
            </w:tcBorders>
            <w:gridSpan w:val="7"/>
          </w:tcPr>
          <w:p>
            <w:pPr>
              <w:spacing w:after="0" w:line="203"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Mine Safety Disclosure</w:t>
              </w:r>
            </w:hyperlink>
          </w:p>
        </w:tc>
        <w:tc>
          <w:tcPr>
            <w:tcW w:w="5580" w:type="dxa"/>
            <w:vAlign w:val="bottom"/>
            <w:gridSpan w:val="15"/>
          </w:tcPr>
          <w:p>
            <w:pPr>
              <w:spacing w:after="0"/>
              <w:rPr>
                <w:sz w:val="17"/>
                <w:szCs w:val="17"/>
                <w:color w:val="auto"/>
              </w:rPr>
            </w:pPr>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gridSpan w:val="4"/>
          </w:tcPr>
          <w:p>
            <w:pPr>
              <w:spacing w:after="0" w:line="203" w:lineRule="exact"/>
              <w:rPr>
                <w:rFonts w:ascii="Arial" w:cs="Arial" w:eastAsia="Arial" w:hAnsi="Arial"/>
                <w:sz w:val="18"/>
                <w:szCs w:val="18"/>
                <w:color w:val="0000FF"/>
                <w:w w:val="86"/>
              </w:rPr>
            </w:pPr>
            <w:hyperlink w:anchor="page23">
              <w:r>
                <w:rPr>
                  <w:rFonts w:ascii="Arial" w:cs="Arial" w:eastAsia="Arial" w:hAnsi="Arial"/>
                  <w:sz w:val="18"/>
                  <w:szCs w:val="18"/>
                  <w:color w:val="0000FF"/>
                  <w:w w:val="86"/>
                </w:rPr>
                <w:t>Supplemental Item</w:t>
              </w:r>
            </w:hyperlink>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23">
              <w:r>
                <w:rPr>
                  <w:rFonts w:ascii="Arial" w:cs="Arial" w:eastAsia="Arial" w:hAnsi="Arial"/>
                  <w:sz w:val="18"/>
                  <w:szCs w:val="18"/>
                  <w:color w:val="0000FF"/>
                </w:rPr>
                <w:t>Executive Officers of the Registrant</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Market for Registrant’s Common Equity, Related Stockholder Matters and Issuer Purchases of Equity</w:t>
              </w:r>
            </w:hyperlink>
          </w:p>
        </w:tc>
        <w:tc>
          <w:tcPr>
            <w:tcW w:w="500" w:type="dxa"/>
            <w:vAlign w:val="bottom"/>
            <w:gridSpan w:val="4"/>
            <w:vMerge w:val="restart"/>
          </w:tcPr>
          <w:p>
            <w:pPr>
              <w:jc w:val="center"/>
              <w:ind w:left="152"/>
              <w:spacing w:after="0"/>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940" w:type="dxa"/>
            <w:vAlign w:val="bottom"/>
            <w:gridSpan w:val="4"/>
            <w:vMerge w:val="restart"/>
          </w:tcPr>
          <w:p>
            <w:pPr>
              <w:spacing w:after="0" w:line="151" w:lineRule="exact"/>
              <w:rPr>
                <w:rFonts w:ascii="Arial" w:cs="Arial" w:eastAsia="Arial" w:hAnsi="Arial"/>
                <w:sz w:val="16"/>
                <w:szCs w:val="16"/>
                <w:color w:val="0000FF"/>
              </w:rPr>
            </w:pPr>
            <w:hyperlink w:anchor="page24">
              <w:r>
                <w:rPr>
                  <w:rFonts w:ascii="Arial" w:cs="Arial" w:eastAsia="Arial" w:hAnsi="Arial"/>
                  <w:sz w:val="16"/>
                  <w:szCs w:val="16"/>
                  <w:color w:val="0000FF"/>
                </w:rPr>
                <w:t>Part II</w:t>
              </w:r>
            </w:hyperlink>
          </w:p>
        </w:tc>
        <w:tc>
          <w:tcPr>
            <w:tcW w:w="1320" w:type="dxa"/>
            <w:vAlign w:val="bottom"/>
            <w:gridSpan w:val="4"/>
            <w:vMerge w:val="restart"/>
          </w:tcPr>
          <w:p>
            <w:pPr>
              <w:spacing w:after="0" w:line="151" w:lineRule="exact"/>
              <w:rPr>
                <w:rFonts w:ascii="Arial" w:cs="Arial" w:eastAsia="Arial" w:hAnsi="Arial"/>
                <w:sz w:val="16"/>
                <w:szCs w:val="16"/>
                <w:color w:val="0000FF"/>
              </w:rPr>
            </w:pPr>
            <w:hyperlink w:anchor="page25">
              <w:r>
                <w:rPr>
                  <w:rFonts w:ascii="Arial" w:cs="Arial" w:eastAsia="Arial" w:hAnsi="Arial"/>
                  <w:sz w:val="16"/>
                  <w:szCs w:val="16"/>
                  <w:color w:val="0000FF"/>
                </w:rPr>
                <w:t>Item 5.</w:t>
              </w:r>
            </w:hyperlink>
          </w:p>
        </w:tc>
        <w:tc>
          <w:tcPr>
            <w:tcW w:w="920" w:type="dxa"/>
            <w:vAlign w:val="bottom"/>
          </w:tcPr>
          <w:p>
            <w:pPr>
              <w:spacing w:after="0"/>
              <w:rPr>
                <w:sz w:val="5"/>
                <w:szCs w:val="5"/>
                <w:color w:val="auto"/>
              </w:rPr>
            </w:pPr>
          </w:p>
        </w:tc>
        <w:tc>
          <w:tcPr>
            <w:tcW w:w="7120" w:type="dxa"/>
            <w:vAlign w:val="bottom"/>
            <w:tcBorders>
              <w:top w:val="single" w:sz="8" w:color="0000FF"/>
            </w:tcBorders>
            <w:gridSpan w:val="21"/>
            <w:vMerge w:val="restart"/>
          </w:tcPr>
          <w:p>
            <w:pPr>
              <w:spacing w:after="0" w:line="151" w:lineRule="exact"/>
              <w:rPr>
                <w:rFonts w:ascii="Arial" w:cs="Arial" w:eastAsia="Arial" w:hAnsi="Arial"/>
                <w:sz w:val="16"/>
                <w:szCs w:val="16"/>
                <w:color w:val="0000FF"/>
              </w:rPr>
            </w:pPr>
            <w:hyperlink w:anchor="page25">
              <w:r>
                <w:rPr>
                  <w:rFonts w:ascii="Arial" w:cs="Arial" w:eastAsia="Arial" w:hAnsi="Arial"/>
                  <w:sz w:val="16"/>
                  <w:szCs w:val="16"/>
                  <w:color w:val="0000FF"/>
                </w:rPr>
                <w:t>Securities</w:t>
              </w:r>
            </w:hyperlink>
          </w:p>
        </w:tc>
        <w:tc>
          <w:tcPr>
            <w:tcW w:w="120" w:type="dxa"/>
            <w:vAlign w:val="bottom"/>
            <w:vMerge w:val="restart"/>
          </w:tcPr>
          <w:p>
            <w:pPr>
              <w:spacing w:after="0"/>
              <w:rPr>
                <w:sz w:val="5"/>
                <w:szCs w:val="5"/>
                <w:color w:val="auto"/>
              </w:rPr>
            </w:pPr>
          </w:p>
        </w:tc>
        <w:tc>
          <w:tcPr>
            <w:tcW w:w="5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940" w:type="dxa"/>
            <w:vAlign w:val="bottom"/>
            <w:gridSpan w:val="4"/>
            <w:vMerge w:val="continue"/>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120" w:type="dxa"/>
            <w:vAlign w:val="bottom"/>
            <w:tcBorders>
              <w:top w:val="single" w:sz="8" w:color="0000FF"/>
            </w:tcBorders>
            <w:gridSpan w:val="21"/>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line="203" w:lineRule="exact"/>
              <w:rPr>
                <w:rFonts w:ascii="Arial" w:cs="Arial" w:eastAsia="Arial" w:hAnsi="Arial"/>
                <w:sz w:val="18"/>
                <w:szCs w:val="18"/>
                <w:color w:val="0000FF"/>
                <w:w w:val="87"/>
              </w:rPr>
            </w:pPr>
            <w:hyperlink w:anchor="page26">
              <w:r>
                <w:rPr>
                  <w:rFonts w:ascii="Arial" w:cs="Arial" w:eastAsia="Arial" w:hAnsi="Arial"/>
                  <w:sz w:val="18"/>
                  <w:szCs w:val="18"/>
                  <w:color w:val="0000FF"/>
                  <w:w w:val="87"/>
                </w:rPr>
                <w:t>Item 6.</w:t>
              </w:r>
            </w:hyperlink>
          </w:p>
        </w:tc>
        <w:tc>
          <w:tcPr>
            <w:tcW w:w="2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26">
              <w:r>
                <w:rPr>
                  <w:rFonts w:ascii="Arial" w:cs="Arial" w:eastAsia="Arial" w:hAnsi="Arial"/>
                  <w:sz w:val="18"/>
                  <w:szCs w:val="18"/>
                  <w:color w:val="0000FF"/>
                </w:rPr>
                <w:t>Selected Financial Data</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25</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87"/>
              </w:rPr>
            </w:pPr>
            <w:hyperlink w:anchor="page26">
              <w:r>
                <w:rPr>
                  <w:rFonts w:ascii="Arial" w:cs="Arial" w:eastAsia="Arial" w:hAnsi="Arial"/>
                  <w:sz w:val="18"/>
                  <w:szCs w:val="18"/>
                  <w:color w:val="0000FF"/>
                  <w:w w:val="87"/>
                </w:rPr>
                <w:t>Item 7.</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26">
              <w:r>
                <w:rPr>
                  <w:rFonts w:ascii="Arial" w:cs="Arial" w:eastAsia="Arial" w:hAnsi="Arial"/>
                  <w:sz w:val="18"/>
                  <w:szCs w:val="18"/>
                  <w:color w:val="0000FF"/>
                </w:rPr>
                <w:t>Management’s Discussion and Analysis of Financial Condition and Results of Operations</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Borders>
              <w:bottom w:val="single" w:sz="8" w:color="0000FF"/>
            </w:tcBorders>
            <w:gridSpan w:val="4"/>
          </w:tcPr>
          <w:p>
            <w:pPr>
              <w:spacing w:after="0" w:line="203" w:lineRule="exact"/>
              <w:rPr>
                <w:rFonts w:ascii="Arial" w:cs="Arial" w:eastAsia="Arial" w:hAnsi="Arial"/>
                <w:sz w:val="18"/>
                <w:szCs w:val="18"/>
                <w:color w:val="0000FF"/>
              </w:rPr>
            </w:pPr>
            <w:hyperlink w:anchor="page49">
              <w:r>
                <w:rPr>
                  <w:rFonts w:ascii="Arial" w:cs="Arial" w:eastAsia="Arial" w:hAnsi="Arial"/>
                  <w:sz w:val="18"/>
                  <w:szCs w:val="18"/>
                  <w:color w:val="0000FF"/>
                </w:rPr>
                <w:t>Item 7A.</w:t>
              </w:r>
            </w:hyperlink>
          </w:p>
        </w:tc>
        <w:tc>
          <w:tcPr>
            <w:tcW w:w="920" w:type="dxa"/>
            <w:vAlign w:val="bottom"/>
          </w:tcPr>
          <w:p>
            <w:pPr>
              <w:spacing w:after="0"/>
              <w:rPr>
                <w:sz w:val="17"/>
                <w:szCs w:val="17"/>
                <w:color w:val="auto"/>
              </w:rPr>
            </w:pPr>
          </w:p>
        </w:tc>
        <w:tc>
          <w:tcPr>
            <w:tcW w:w="4300" w:type="dxa"/>
            <w:vAlign w:val="bottom"/>
            <w:tcBorders>
              <w:bottom w:val="single" w:sz="8" w:color="0000FF"/>
            </w:tcBorders>
            <w:gridSpan w:val="16"/>
          </w:tcPr>
          <w:p>
            <w:pPr>
              <w:spacing w:after="0" w:line="203"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Quantitative And Qualitative Disclosures About Market Risk</w:t>
              </w:r>
            </w:hyperlink>
          </w:p>
        </w:tc>
        <w:tc>
          <w:tcPr>
            <w:tcW w:w="2940" w:type="dxa"/>
            <w:vAlign w:val="bottom"/>
            <w:gridSpan w:val="6"/>
          </w:tcPr>
          <w:p>
            <w:pPr>
              <w:spacing w:after="0"/>
              <w:rPr>
                <w:sz w:val="17"/>
                <w:szCs w:val="17"/>
                <w:color w:val="auto"/>
              </w:rPr>
            </w:pPr>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8.</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50">
              <w:r>
                <w:rPr>
                  <w:rFonts w:ascii="Arial" w:cs="Arial" w:eastAsia="Arial" w:hAnsi="Arial"/>
                  <w:sz w:val="18"/>
                  <w:szCs w:val="18"/>
                  <w:color w:val="0000FF"/>
                </w:rPr>
                <w:t>Financial Statements and Supplementary Data</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9.</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50">
              <w:r>
                <w:rPr>
                  <w:rFonts w:ascii="Arial" w:cs="Arial" w:eastAsia="Arial" w:hAnsi="Arial"/>
                  <w:sz w:val="18"/>
                  <w:szCs w:val="18"/>
                  <w:color w:val="0000FF"/>
                </w:rPr>
                <w:t>Changes in and Disagreements with Accountants on Accounting and Financial Disclosure</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rFonts w:ascii="Arial" w:cs="Arial" w:eastAsia="Arial" w:hAnsi="Arial"/>
                <w:sz w:val="18"/>
                <w:szCs w:val="18"/>
                <w:color w:val="0000FF"/>
                <w:w w:val="83"/>
              </w:rPr>
            </w:pPr>
            <w:hyperlink w:anchor="page51">
              <w:r>
                <w:rPr>
                  <w:rFonts w:ascii="Arial" w:cs="Arial" w:eastAsia="Arial" w:hAnsi="Arial"/>
                  <w:sz w:val="18"/>
                  <w:szCs w:val="18"/>
                  <w:color w:val="0000FF"/>
                  <w:w w:val="83"/>
                </w:rPr>
                <w:t>Item 9A.</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51">
              <w:r>
                <w:rPr>
                  <w:rFonts w:ascii="Arial" w:cs="Arial" w:eastAsia="Arial" w:hAnsi="Arial"/>
                  <w:sz w:val="18"/>
                  <w:szCs w:val="18"/>
                  <w:color w:val="0000FF"/>
                </w:rPr>
                <w:t>Controls and Procedures</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gridSpan w:val="3"/>
          </w:tcPr>
          <w:p>
            <w:pPr>
              <w:spacing w:after="0" w:line="203" w:lineRule="exact"/>
              <w:rPr>
                <w:rFonts w:ascii="Arial" w:cs="Arial" w:eastAsia="Arial" w:hAnsi="Arial"/>
                <w:sz w:val="18"/>
                <w:szCs w:val="18"/>
                <w:color w:val="0000FF"/>
                <w:w w:val="83"/>
              </w:rPr>
            </w:pPr>
            <w:hyperlink w:anchor="page51">
              <w:r>
                <w:rPr>
                  <w:rFonts w:ascii="Arial" w:cs="Arial" w:eastAsia="Arial" w:hAnsi="Arial"/>
                  <w:sz w:val="18"/>
                  <w:szCs w:val="18"/>
                  <w:color w:val="0000FF"/>
                  <w:w w:val="83"/>
                </w:rPr>
                <w:t>Item 9B.</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8"/>
          </w:tcPr>
          <w:p>
            <w:pPr>
              <w:spacing w:after="0" w:line="203" w:lineRule="exact"/>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5520" w:type="dxa"/>
            <w:vAlign w:val="bottom"/>
            <w:gridSpan w:val="14"/>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1">
              <w:r>
                <w:rPr>
                  <w:rFonts w:ascii="Arial" w:cs="Arial" w:eastAsia="Arial" w:hAnsi="Arial"/>
                  <w:sz w:val="15"/>
                  <w:szCs w:val="15"/>
                  <w:color w:val="0000FF"/>
                  <w:w w:val="71"/>
                </w:rPr>
                <w:t>50</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40" w:type="dxa"/>
            <w:vAlign w:val="bottom"/>
            <w:gridSpan w:val="4"/>
          </w:tcPr>
          <w:p>
            <w:pPr>
              <w:spacing w:after="0" w:line="203" w:lineRule="exact"/>
              <w:rPr>
                <w:rFonts w:ascii="Arial" w:cs="Arial" w:eastAsia="Arial" w:hAnsi="Arial"/>
                <w:sz w:val="18"/>
                <w:szCs w:val="18"/>
                <w:color w:val="0000FF"/>
              </w:rPr>
            </w:pPr>
            <w:hyperlink w:anchor="page51">
              <w:r>
                <w:rPr>
                  <w:rFonts w:ascii="Arial" w:cs="Arial" w:eastAsia="Arial" w:hAnsi="Arial"/>
                  <w:sz w:val="18"/>
                  <w:szCs w:val="18"/>
                  <w:color w:val="0000FF"/>
                </w:rPr>
                <w:t>Part III</w:t>
              </w:r>
            </w:hyperlink>
          </w:p>
        </w:tc>
        <w:tc>
          <w:tcPr>
            <w:tcW w:w="600" w:type="dxa"/>
            <w:vAlign w:val="bottom"/>
            <w:gridSpan w:val="3"/>
          </w:tcPr>
          <w:p>
            <w:pPr>
              <w:spacing w:after="0" w:line="203" w:lineRule="exact"/>
              <w:rPr>
                <w:rFonts w:ascii="Arial" w:cs="Arial" w:eastAsia="Arial" w:hAnsi="Arial"/>
                <w:sz w:val="18"/>
                <w:szCs w:val="18"/>
                <w:color w:val="0000FF"/>
                <w:w w:val="86"/>
              </w:rPr>
            </w:pPr>
            <w:hyperlink w:anchor="page52">
              <w:r>
                <w:rPr>
                  <w:rFonts w:ascii="Arial" w:cs="Arial" w:eastAsia="Arial" w:hAnsi="Arial"/>
                  <w:sz w:val="18"/>
                  <w:szCs w:val="18"/>
                  <w:color w:val="0000FF"/>
                  <w:w w:val="86"/>
                </w:rPr>
                <w:t>Item 10.</w:t>
              </w:r>
            </w:hyperlink>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52">
              <w:r>
                <w:rPr>
                  <w:rFonts w:ascii="Arial" w:cs="Arial" w:eastAsia="Arial" w:hAnsi="Arial"/>
                  <w:sz w:val="18"/>
                  <w:szCs w:val="18"/>
                  <w:color w:val="0000FF"/>
                </w:rPr>
                <w:t>Directors, Executive Officers, and Corporate Governance</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73"/>
              </w:rPr>
            </w:pPr>
            <w:hyperlink w:anchor="page53">
              <w:r>
                <w:rPr>
                  <w:rFonts w:ascii="Arial" w:cs="Arial" w:eastAsia="Arial" w:hAnsi="Arial"/>
                  <w:sz w:val="18"/>
                  <w:szCs w:val="18"/>
                  <w:color w:val="0000FF"/>
                  <w:w w:val="73"/>
                </w:rPr>
                <w:t>Item 11.</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gridSpan w:val="9"/>
          </w:tcPr>
          <w:p>
            <w:pPr>
              <w:spacing w:after="0" w:line="203" w:lineRule="exact"/>
              <w:rPr>
                <w:rFonts w:ascii="Arial" w:cs="Arial" w:eastAsia="Arial" w:hAnsi="Arial"/>
                <w:sz w:val="18"/>
                <w:szCs w:val="18"/>
                <w:color w:val="0000FF"/>
                <w:w w:val="87"/>
              </w:rPr>
            </w:pPr>
            <w:hyperlink w:anchor="page53">
              <w:r>
                <w:rPr>
                  <w:rFonts w:ascii="Arial" w:cs="Arial" w:eastAsia="Arial" w:hAnsi="Arial"/>
                  <w:sz w:val="18"/>
                  <w:szCs w:val="18"/>
                  <w:color w:val="0000FF"/>
                  <w:w w:val="87"/>
                </w:rPr>
                <w:t>Executive Compensation</w:t>
              </w:r>
            </w:hyperlink>
          </w:p>
        </w:tc>
        <w:tc>
          <w:tcPr>
            <w:tcW w:w="2280" w:type="dxa"/>
            <w:vAlign w:val="bottom"/>
            <w:gridSpan w:val="6"/>
          </w:tcPr>
          <w:p>
            <w:pPr>
              <w:spacing w:after="0"/>
              <w:rPr>
                <w:sz w:val="17"/>
                <w:szCs w:val="17"/>
                <w:color w:val="auto"/>
              </w:rPr>
            </w:pPr>
          </w:p>
        </w:tc>
        <w:tc>
          <w:tcPr>
            <w:tcW w:w="3200" w:type="dxa"/>
            <w:vAlign w:val="bottom"/>
            <w:gridSpan w:val="7"/>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52</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73"/>
              </w:rPr>
            </w:pPr>
            <w:hyperlink w:anchor="page53">
              <w:r>
                <w:rPr>
                  <w:rFonts w:ascii="Arial" w:cs="Arial" w:eastAsia="Arial" w:hAnsi="Arial"/>
                  <w:sz w:val="18"/>
                  <w:szCs w:val="18"/>
                  <w:color w:val="0000FF"/>
                  <w:w w:val="73"/>
                </w:rPr>
                <w:t>Item 12.</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w w:val="90"/>
              </w:rPr>
            </w:pPr>
            <w:hyperlink w:anchor="page53">
              <w:r>
                <w:rPr>
                  <w:rFonts w:ascii="Arial" w:cs="Arial" w:eastAsia="Arial" w:hAnsi="Arial"/>
                  <w:sz w:val="18"/>
                  <w:szCs w:val="18"/>
                  <w:color w:val="0000FF"/>
                  <w:w w:val="90"/>
                </w:rPr>
                <w:t>Security Ownership of Certain Beneficial Owners and Management and Related Stockholder Matters</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73"/>
              </w:rPr>
            </w:pPr>
            <w:hyperlink w:anchor="page53">
              <w:r>
                <w:rPr>
                  <w:rFonts w:ascii="Arial" w:cs="Arial" w:eastAsia="Arial" w:hAnsi="Arial"/>
                  <w:sz w:val="18"/>
                  <w:szCs w:val="18"/>
                  <w:color w:val="0000FF"/>
                  <w:w w:val="73"/>
                </w:rPr>
                <w:t>Item 13.</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100" w:type="dxa"/>
            <w:vAlign w:val="bottom"/>
            <w:gridSpan w:val="20"/>
          </w:tcPr>
          <w:p>
            <w:pPr>
              <w:spacing w:after="0" w:line="203" w:lineRule="exact"/>
              <w:rPr>
                <w:rFonts w:ascii="Arial" w:cs="Arial" w:eastAsia="Arial" w:hAnsi="Arial"/>
                <w:sz w:val="18"/>
                <w:szCs w:val="18"/>
                <w:color w:val="0000FF"/>
              </w:rPr>
            </w:pPr>
            <w:hyperlink w:anchor="page53">
              <w:r>
                <w:rPr>
                  <w:rFonts w:ascii="Arial" w:cs="Arial" w:eastAsia="Arial" w:hAnsi="Arial"/>
                  <w:sz w:val="18"/>
                  <w:szCs w:val="18"/>
                  <w:color w:val="0000FF"/>
                </w:rPr>
                <w:t>Certain Relationships and Related Transactions, and Director Independence</w:t>
              </w:r>
            </w:hyperlink>
          </w:p>
        </w:tc>
        <w:tc>
          <w:tcPr>
            <w:tcW w:w="1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52</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73"/>
              </w:rPr>
            </w:pPr>
            <w:hyperlink w:anchor="page53">
              <w:r>
                <w:rPr>
                  <w:rFonts w:ascii="Arial" w:cs="Arial" w:eastAsia="Arial" w:hAnsi="Arial"/>
                  <w:sz w:val="18"/>
                  <w:szCs w:val="18"/>
                  <w:color w:val="0000FF"/>
                  <w:w w:val="73"/>
                </w:rPr>
                <w:t>Item 14.</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800" w:type="dxa"/>
            <w:vAlign w:val="bottom"/>
            <w:gridSpan w:val="12"/>
          </w:tcPr>
          <w:p>
            <w:pPr>
              <w:spacing w:after="0" w:line="203" w:lineRule="exact"/>
              <w:rPr>
                <w:rFonts w:ascii="Arial" w:cs="Arial" w:eastAsia="Arial" w:hAnsi="Arial"/>
                <w:sz w:val="18"/>
                <w:szCs w:val="18"/>
                <w:color w:val="0000FF"/>
                <w:w w:val="87"/>
              </w:rPr>
            </w:pPr>
            <w:hyperlink w:anchor="page53">
              <w:r>
                <w:rPr>
                  <w:rFonts w:ascii="Arial" w:cs="Arial" w:eastAsia="Arial" w:hAnsi="Arial"/>
                  <w:sz w:val="18"/>
                  <w:szCs w:val="18"/>
                  <w:color w:val="0000FF"/>
                  <w:w w:val="87"/>
                </w:rPr>
                <w:t>Principal Accounting Fees and Services</w:t>
              </w:r>
            </w:hyperlink>
          </w:p>
        </w:tc>
        <w:tc>
          <w:tcPr>
            <w:tcW w:w="2500" w:type="dxa"/>
            <w:vAlign w:val="bottom"/>
            <w:gridSpan w:val="5"/>
          </w:tcPr>
          <w:p>
            <w:pPr>
              <w:spacing w:after="0"/>
              <w:rPr>
                <w:sz w:val="17"/>
                <w:szCs w:val="17"/>
                <w:color w:val="auto"/>
              </w:rPr>
            </w:pPr>
          </w:p>
        </w:tc>
        <w:tc>
          <w:tcPr>
            <w:tcW w:w="1940" w:type="dxa"/>
            <w:vAlign w:val="bottom"/>
            <w:gridSpan w:val="5"/>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53</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gridSpan w:val="3"/>
          </w:tcPr>
          <w:p>
            <w:pPr>
              <w:spacing w:after="0" w:line="203" w:lineRule="exact"/>
              <w:rPr>
                <w:rFonts w:ascii="Arial" w:cs="Arial" w:eastAsia="Arial" w:hAnsi="Arial"/>
                <w:sz w:val="18"/>
                <w:szCs w:val="18"/>
                <w:color w:val="0000FF"/>
                <w:w w:val="90"/>
              </w:rPr>
            </w:pPr>
            <w:hyperlink w:anchor="page54">
              <w:r>
                <w:rPr>
                  <w:rFonts w:ascii="Arial" w:cs="Arial" w:eastAsia="Arial" w:hAnsi="Arial"/>
                  <w:sz w:val="18"/>
                  <w:szCs w:val="18"/>
                  <w:color w:val="0000FF"/>
                  <w:w w:val="90"/>
                </w:rPr>
                <w:t>Part IV</w:t>
              </w:r>
            </w:hyperlink>
          </w:p>
        </w:tc>
        <w:tc>
          <w:tcPr>
            <w:tcW w:w="420" w:type="dxa"/>
            <w:vAlign w:val="bottom"/>
          </w:tcPr>
          <w:p>
            <w:pPr>
              <w:spacing w:after="0"/>
              <w:rPr>
                <w:sz w:val="17"/>
                <w:szCs w:val="17"/>
                <w:color w:val="auto"/>
              </w:rPr>
            </w:pPr>
          </w:p>
        </w:tc>
        <w:tc>
          <w:tcPr>
            <w:tcW w:w="520" w:type="dxa"/>
            <w:vAlign w:val="bottom"/>
            <w:gridSpan w:val="2"/>
          </w:tcPr>
          <w:p>
            <w:pPr>
              <w:spacing w:after="0" w:line="203" w:lineRule="exact"/>
              <w:rPr>
                <w:rFonts w:ascii="Arial" w:cs="Arial" w:eastAsia="Arial" w:hAnsi="Arial"/>
                <w:sz w:val="18"/>
                <w:szCs w:val="18"/>
                <w:color w:val="0000FF"/>
                <w:w w:val="73"/>
              </w:rPr>
            </w:pPr>
            <w:hyperlink w:anchor="page54">
              <w:r>
                <w:rPr>
                  <w:rFonts w:ascii="Arial" w:cs="Arial" w:eastAsia="Arial" w:hAnsi="Arial"/>
                  <w:sz w:val="18"/>
                  <w:szCs w:val="18"/>
                  <w:color w:val="0000FF"/>
                  <w:w w:val="73"/>
                </w:rPr>
                <w:t>Item 15.</w:t>
              </w:r>
            </w:hyperlink>
          </w:p>
        </w:tc>
        <w:tc>
          <w:tcPr>
            <w:tcW w:w="80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54">
              <w:r>
                <w:rPr>
                  <w:rFonts w:ascii="Arial" w:cs="Arial" w:eastAsia="Arial" w:hAnsi="Arial"/>
                  <w:sz w:val="18"/>
                  <w:szCs w:val="18"/>
                  <w:color w:val="0000FF"/>
                </w:rPr>
                <w:t>Exhibits, Financial Statement Schedules</w:t>
              </w:r>
            </w:hyperlink>
          </w:p>
        </w:tc>
        <w:tc>
          <w:tcPr>
            <w:tcW w:w="500" w:type="dxa"/>
            <w:vAlign w:val="bottom"/>
            <w:gridSpan w:val="4"/>
          </w:tcPr>
          <w:p>
            <w:pPr>
              <w:jc w:val="center"/>
              <w:ind w:left="152"/>
              <w:spacing w:after="0" w:line="203"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53</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Borders>
              <w:top w:val="single" w:sz="8" w:color="0000FF"/>
            </w:tcBorders>
            <w:gridSpan w:val="2"/>
          </w:tcPr>
          <w:p>
            <w:pPr>
              <w:spacing w:after="0" w:line="203" w:lineRule="exact"/>
              <w:rPr>
                <w:rFonts w:ascii="Arial" w:cs="Arial" w:eastAsia="Arial" w:hAnsi="Arial"/>
                <w:sz w:val="18"/>
                <w:szCs w:val="18"/>
                <w:color w:val="0000FF"/>
                <w:w w:val="73"/>
              </w:rPr>
            </w:pPr>
            <w:hyperlink w:anchor="page54">
              <w:r>
                <w:rPr>
                  <w:rFonts w:ascii="Arial" w:cs="Arial" w:eastAsia="Arial" w:hAnsi="Arial"/>
                  <w:sz w:val="18"/>
                  <w:szCs w:val="18"/>
                  <w:color w:val="0000FF"/>
                  <w:w w:val="73"/>
                </w:rPr>
                <w:t>Item 16.</w:t>
              </w:r>
            </w:hyperlink>
          </w:p>
        </w:tc>
        <w:tc>
          <w:tcPr>
            <w:tcW w:w="800" w:type="dxa"/>
            <w:vAlign w:val="bottom"/>
            <w:tcBorders>
              <w:top w:val="single" w:sz="8" w:color="0000FF"/>
            </w:tcBorders>
            <w:gridSpan w:val="2"/>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Borders>
              <w:top w:val="single" w:sz="8" w:color="0000FF"/>
            </w:tcBorders>
            <w:gridSpan w:val="6"/>
          </w:tcPr>
          <w:p>
            <w:pPr>
              <w:spacing w:after="0" w:line="203"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Form 10-K Summary</w:t>
              </w:r>
            </w:hyperlink>
          </w:p>
        </w:tc>
        <w:tc>
          <w:tcPr>
            <w:tcW w:w="1300" w:type="dxa"/>
            <w:vAlign w:val="bottom"/>
            <w:tcBorders>
              <w:top w:val="single" w:sz="8" w:color="0000FF"/>
            </w:tcBorders>
            <w:gridSpan w:val="7"/>
          </w:tcPr>
          <w:p>
            <w:pPr>
              <w:spacing w:after="0"/>
              <w:rPr>
                <w:sz w:val="17"/>
                <w:szCs w:val="17"/>
                <w:color w:val="auto"/>
              </w:rPr>
            </w:pPr>
          </w:p>
        </w:tc>
        <w:tc>
          <w:tcPr>
            <w:tcW w:w="4420" w:type="dxa"/>
            <w:vAlign w:val="bottom"/>
            <w:gridSpan w:val="9"/>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4">
              <w:r>
                <w:rPr>
                  <w:rFonts w:ascii="Arial" w:cs="Arial" w:eastAsia="Arial" w:hAnsi="Arial"/>
                  <w:sz w:val="15"/>
                  <w:szCs w:val="15"/>
                  <w:color w:val="0000FF"/>
                  <w:w w:val="71"/>
                </w:rPr>
                <w:t>53</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72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gridSpan w:val="6"/>
          </w:tcPr>
          <w:p>
            <w:pPr>
              <w:spacing w:after="0" w:line="203" w:lineRule="exact"/>
              <w:rPr>
                <w:rFonts w:ascii="Arial" w:cs="Arial" w:eastAsia="Arial" w:hAnsi="Arial"/>
                <w:sz w:val="18"/>
                <w:szCs w:val="18"/>
                <w:color w:val="0000FF"/>
              </w:rPr>
            </w:pPr>
            <w:hyperlink w:anchor="page54">
              <w:r>
                <w:rPr>
                  <w:rFonts w:ascii="Arial" w:cs="Arial" w:eastAsia="Arial" w:hAnsi="Arial"/>
                  <w:sz w:val="18"/>
                  <w:szCs w:val="18"/>
                  <w:color w:val="0000FF"/>
                </w:rPr>
                <w:t>Signatures</w:t>
              </w:r>
            </w:hyperlink>
          </w:p>
        </w:tc>
        <w:tc>
          <w:tcPr>
            <w:tcW w:w="5720" w:type="dxa"/>
            <w:vAlign w:val="bottom"/>
            <w:gridSpan w:val="16"/>
          </w:tcPr>
          <w:p>
            <w:pPr>
              <w:spacing w:after="0"/>
              <w:rPr>
                <w:sz w:val="17"/>
                <w:szCs w:val="17"/>
                <w:color w:val="auto"/>
              </w:rPr>
            </w:pPr>
          </w:p>
        </w:tc>
        <w:tc>
          <w:tcPr>
            <w:tcW w:w="340" w:type="dxa"/>
            <w:vAlign w:val="bottom"/>
            <w:gridSpan w:val="2"/>
          </w:tcPr>
          <w:p>
            <w:pPr>
              <w:spacing w:after="0"/>
              <w:rPr>
                <w:sz w:val="17"/>
                <w:szCs w:val="17"/>
                <w:color w:val="auto"/>
              </w:rPr>
            </w:pPr>
          </w:p>
        </w:tc>
        <w:tc>
          <w:tcPr>
            <w:tcW w:w="160" w:type="dxa"/>
            <w:vAlign w:val="bottom"/>
            <w:gridSpan w:val="2"/>
          </w:tcPr>
          <w:p>
            <w:pPr>
              <w:jc w:val="center"/>
              <w:ind w:right="40"/>
              <w:spacing w:after="0"/>
              <w:rPr>
                <w:rFonts w:ascii="Arial" w:cs="Arial" w:eastAsia="Arial" w:hAnsi="Arial"/>
                <w:sz w:val="15"/>
                <w:szCs w:val="15"/>
                <w:color w:val="0000FF"/>
                <w:w w:val="71"/>
              </w:rPr>
            </w:pPr>
            <w:hyperlink w:anchor="page54">
              <w:r>
                <w:rPr>
                  <w:rFonts w:ascii="Arial" w:cs="Arial" w:eastAsia="Arial" w:hAnsi="Arial"/>
                  <w:sz w:val="15"/>
                  <w:szCs w:val="15"/>
                  <w:color w:val="0000FF"/>
                  <w:w w:val="71"/>
                </w:rPr>
                <w:t>54</w:t>
              </w:r>
            </w:hyperlink>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40" w:type="dxa"/>
            <w:vAlign w:val="bottom"/>
            <w:gridSpan w:val="22"/>
          </w:tcPr>
          <w:p>
            <w:pPr>
              <w:spacing w:after="0" w:line="203" w:lineRule="exact"/>
              <w:rPr>
                <w:rFonts w:ascii="Arial" w:cs="Arial" w:eastAsia="Arial" w:hAnsi="Arial"/>
                <w:sz w:val="18"/>
                <w:szCs w:val="18"/>
                <w:color w:val="0000FF"/>
              </w:rPr>
            </w:pPr>
            <w:hyperlink w:anchor="page109">
              <w:r>
                <w:rPr>
                  <w:rFonts w:ascii="Arial" w:cs="Arial" w:eastAsia="Arial" w:hAnsi="Arial"/>
                  <w:sz w:val="18"/>
                  <w:szCs w:val="18"/>
                  <w:color w:val="0000FF"/>
                </w:rPr>
                <w:t>Index to Exhibits</w:t>
              </w:r>
            </w:hyperlink>
          </w:p>
        </w:tc>
        <w:tc>
          <w:tcPr>
            <w:tcW w:w="760" w:type="dxa"/>
            <w:vAlign w:val="bottom"/>
            <w:gridSpan w:val="5"/>
          </w:tcPr>
          <w:p>
            <w:pPr>
              <w:jc w:val="center"/>
              <w:ind w:right="20"/>
              <w:spacing w:after="0" w:line="203" w:lineRule="exact"/>
              <w:rPr>
                <w:rFonts w:ascii="Arial" w:cs="Arial" w:eastAsia="Arial" w:hAnsi="Arial"/>
                <w:sz w:val="18"/>
                <w:szCs w:val="18"/>
                <w:color w:val="0000FF"/>
                <w:w w:val="86"/>
              </w:rPr>
            </w:pPr>
            <w:hyperlink w:anchor="page109">
              <w:r>
                <w:rPr>
                  <w:rFonts w:ascii="Arial" w:cs="Arial" w:eastAsia="Arial" w:hAnsi="Arial"/>
                  <w:sz w:val="18"/>
                  <w:szCs w:val="18"/>
                  <w:color w:val="0000FF"/>
                  <w:w w:val="86"/>
                </w:rPr>
                <w:t>109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9"/>
        </w:trPr>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i w:val="1"/>
          <w:iCs w:val="1"/>
          <w:u w:val="single" w:color="auto"/>
          <w:color w:val="auto"/>
        </w:rPr>
        <w:t>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101"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The discussion below describes the business conducted by The Scotts Miracle-Gro Company, an Ohio corporation (“Scotts Miracle-Gro” and, together with its subsidiaries, the “Company,” “we” or “us”), including general developments in the Company’s business during the fiscal year ended September 30, 2021 (“fiscal 2021”). For additional information on recent business developments, see “ITEM 7. MANAGEMENT’S DISCUSSION AND ANALYSIS OF FINANCIAL CONDITION AND RESULTS OF OPERATIONS” of this Annual Report on Form 10-K (“Form 10-K”).</w:t>
      </w:r>
    </w:p>
    <w:p>
      <w:pPr>
        <w:spacing w:after="0" w:line="31"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6"/>
          <w:szCs w:val="16"/>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lawn fertilizer and grass seed products; Miracle-Gro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soil, plant food and insecticide, LiquaFeed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plant food and Osmocote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gardening and landscape products; and Ortho</w:t>
      </w:r>
      <w:r>
        <w:rPr>
          <w:rFonts w:ascii="Arial" w:cs="Arial" w:eastAsia="Arial" w:hAnsi="Arial"/>
          <w:sz w:val="20"/>
          <w:szCs w:val="20"/>
          <w:color w:val="auto"/>
          <w:vertAlign w:val="superscript"/>
        </w:rPr>
        <w:t>®</w:t>
      </w:r>
      <w:r>
        <w:rPr>
          <w:rFonts w:ascii="Arial" w:cs="Arial" w:eastAsia="Arial" w:hAnsi="Arial"/>
          <w:sz w:val="16"/>
          <w:szCs w:val="16"/>
          <w:color w:val="auto"/>
        </w:rPr>
        <w:t>, Home Defense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Tomcat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insect control, weed control and rodent control products. We are the exclusive agent of the Monsanto Company, a subsidiary of Bayer AG (“Monsanto”), for the marketing and distribution of certain of Monsanto’s consumer Roundup</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branded products within the United States and certain other specified countries. We also have a presence in similar branded consumer products in China. In addition, we own a 50% equity interest in Bonnie Plants, LLC, a joint venture with Alabama Farmers Cooperative, Inc. (“AFC”), focused on planting, growing, developing, manufacturing, distributing, marketing, and selling live plants, plant food, fertilizer and potting soil.</w:t>
      </w:r>
    </w:p>
    <w:p>
      <w:pPr>
        <w:spacing w:after="0" w:line="71" w:lineRule="exact"/>
        <w:rPr>
          <w:sz w:val="20"/>
          <w:szCs w:val="20"/>
          <w:color w:val="auto"/>
        </w:rPr>
      </w:pPr>
    </w:p>
    <w:p>
      <w:pPr>
        <w:jc w:val="both"/>
        <w:ind w:firstLine="434"/>
        <w:spacing w:after="0" w:line="255" w:lineRule="auto"/>
        <w:rPr>
          <w:sz w:val="20"/>
          <w:szCs w:val="20"/>
          <w:color w:val="auto"/>
        </w:rPr>
      </w:pPr>
      <w:r>
        <w:rPr>
          <w:rFonts w:ascii="Arial" w:cs="Arial" w:eastAsia="Arial" w:hAnsi="Arial"/>
          <w:sz w:val="17"/>
          <w:szCs w:val="17"/>
          <w:color w:val="auto"/>
        </w:rPr>
        <w:t>Through our Hawthorne segment, we are the leading manufacturer, marketer and distributor of lighting, nutrients, growing media, growing environments and hardware products for indoor and hydroponic gardening in North America. Our key brands include General Hydroponics</w:t>
      </w:r>
      <w:r>
        <w:rPr>
          <w:rFonts w:ascii="Arial" w:cs="Arial" w:eastAsia="Arial" w:hAnsi="Arial"/>
          <w:sz w:val="21"/>
          <w:szCs w:val="21"/>
          <w:color w:val="auto"/>
          <w:vertAlign w:val="superscript"/>
        </w:rPr>
        <w:t>®</w:t>
      </w:r>
      <w:r>
        <w:rPr>
          <w:rFonts w:ascii="Arial" w:cs="Arial" w:eastAsia="Arial" w:hAnsi="Arial"/>
          <w:sz w:val="17"/>
          <w:szCs w:val="17"/>
          <w:color w:val="auto"/>
        </w:rPr>
        <w:t>, Gavita</w:t>
      </w:r>
      <w:r>
        <w:rPr>
          <w:rFonts w:ascii="Arial" w:cs="Arial" w:eastAsia="Arial" w:hAnsi="Arial"/>
          <w:sz w:val="21"/>
          <w:szCs w:val="21"/>
          <w:color w:val="auto"/>
          <w:vertAlign w:val="superscript"/>
        </w:rPr>
        <w:t>®</w:t>
      </w:r>
      <w:r>
        <w:rPr>
          <w:rFonts w:ascii="Arial" w:cs="Arial" w:eastAsia="Arial" w:hAnsi="Arial"/>
          <w:sz w:val="17"/>
          <w:szCs w:val="17"/>
          <w:color w:val="auto"/>
        </w:rPr>
        <w:t>, Botanicare</w:t>
      </w:r>
      <w:r>
        <w:rPr>
          <w:rFonts w:ascii="Arial" w:cs="Arial" w:eastAsia="Arial" w:hAnsi="Arial"/>
          <w:sz w:val="21"/>
          <w:szCs w:val="21"/>
          <w:color w:val="auto"/>
          <w:vertAlign w:val="superscript"/>
        </w:rPr>
        <w:t>®</w:t>
      </w:r>
      <w:r>
        <w:rPr>
          <w:rFonts w:ascii="Arial" w:cs="Arial" w:eastAsia="Arial" w:hAnsi="Arial"/>
          <w:sz w:val="17"/>
          <w:szCs w:val="17"/>
          <w:color w:val="auto"/>
        </w:rPr>
        <w:t>, Agrolux</w:t>
      </w:r>
      <w:r>
        <w:rPr>
          <w:rFonts w:ascii="Arial" w:cs="Arial" w:eastAsia="Arial" w:hAnsi="Arial"/>
          <w:sz w:val="21"/>
          <w:szCs w:val="21"/>
          <w:color w:val="auto"/>
          <w:vertAlign w:val="superscript"/>
        </w:rPr>
        <w:t>®</w:t>
      </w:r>
      <w:r>
        <w:rPr>
          <w:rFonts w:ascii="Arial" w:cs="Arial" w:eastAsia="Arial" w:hAnsi="Arial"/>
          <w:sz w:val="17"/>
          <w:szCs w:val="17"/>
          <w:color w:val="auto"/>
        </w:rPr>
        <w:t>, Can-Filters</w:t>
      </w:r>
      <w:r>
        <w:rPr>
          <w:rFonts w:ascii="Arial" w:cs="Arial" w:eastAsia="Arial" w:hAnsi="Arial"/>
          <w:sz w:val="21"/>
          <w:szCs w:val="21"/>
          <w:color w:val="auto"/>
          <w:vertAlign w:val="superscript"/>
        </w:rPr>
        <w:t>®</w:t>
      </w:r>
      <w:r>
        <w:rPr>
          <w:rFonts w:ascii="Arial" w:cs="Arial" w:eastAsia="Arial" w:hAnsi="Arial"/>
          <w:sz w:val="17"/>
          <w:szCs w:val="17"/>
          <w:color w:val="auto"/>
        </w:rPr>
        <w:t>, Sun System</w:t>
      </w:r>
      <w:r>
        <w:rPr>
          <w:rFonts w:ascii="Arial" w:cs="Arial" w:eastAsia="Arial" w:hAnsi="Arial"/>
          <w:sz w:val="21"/>
          <w:szCs w:val="21"/>
          <w:color w:val="auto"/>
          <w:vertAlign w:val="superscript"/>
        </w:rPr>
        <w:t>®</w:t>
      </w:r>
      <w:r>
        <w:rPr>
          <w:rFonts w:ascii="Arial" w:cs="Arial" w:eastAsia="Arial" w:hAnsi="Arial"/>
          <w:sz w:val="17"/>
          <w:szCs w:val="17"/>
          <w:color w:val="auto"/>
        </w:rPr>
        <w:t>, Gro Pro</w:t>
      </w:r>
      <w:r>
        <w:rPr>
          <w:rFonts w:ascii="Arial" w:cs="Arial" w:eastAsia="Arial" w:hAnsi="Arial"/>
          <w:sz w:val="21"/>
          <w:szCs w:val="21"/>
          <w:color w:val="auto"/>
          <w:vertAlign w:val="superscript"/>
        </w:rPr>
        <w:t>®</w:t>
      </w:r>
      <w:r>
        <w:rPr>
          <w:rFonts w:ascii="Arial" w:cs="Arial" w:eastAsia="Arial" w:hAnsi="Arial"/>
          <w:sz w:val="17"/>
          <w:szCs w:val="17"/>
          <w:color w:val="auto"/>
        </w:rPr>
        <w:t>, Mother Earth</w:t>
      </w:r>
      <w:r>
        <w:rPr>
          <w:rFonts w:ascii="Arial" w:cs="Arial" w:eastAsia="Arial" w:hAnsi="Arial"/>
          <w:sz w:val="21"/>
          <w:szCs w:val="21"/>
          <w:color w:val="auto"/>
          <w:vertAlign w:val="superscript"/>
        </w:rPr>
        <w:t>®</w:t>
      </w:r>
      <w:r>
        <w:rPr>
          <w:rFonts w:ascii="Arial" w:cs="Arial" w:eastAsia="Arial" w:hAnsi="Arial"/>
          <w:sz w:val="17"/>
          <w:szCs w:val="17"/>
          <w:color w:val="auto"/>
        </w:rPr>
        <w:t>, Hurricane</w:t>
      </w:r>
      <w:r>
        <w:rPr>
          <w:rFonts w:ascii="Arial" w:cs="Arial" w:eastAsia="Arial" w:hAnsi="Arial"/>
          <w:sz w:val="21"/>
          <w:szCs w:val="21"/>
          <w:color w:val="auto"/>
          <w:vertAlign w:val="superscript"/>
        </w:rPr>
        <w:t>®</w:t>
      </w:r>
      <w:r>
        <w:rPr>
          <w:rFonts w:ascii="Arial" w:cs="Arial" w:eastAsia="Arial" w:hAnsi="Arial"/>
          <w:sz w:val="17"/>
          <w:szCs w:val="17"/>
          <w:color w:val="auto"/>
        </w:rPr>
        <w:t>, Grower’s Edge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Hydro-Logic</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jc w:val="both"/>
        <w:ind w:firstLine="434"/>
        <w:spacing w:after="0" w:line="235" w:lineRule="auto"/>
        <w:rPr>
          <w:sz w:val="20"/>
          <w:szCs w:val="20"/>
          <w:color w:val="auto"/>
        </w:rPr>
      </w:pPr>
      <w:r>
        <w:rPr>
          <w:rFonts w:ascii="Arial" w:cs="Arial" w:eastAsia="Arial" w:hAnsi="Arial"/>
          <w:sz w:val="17"/>
          <w:szCs w:val="17"/>
          <w:color w:val="auto"/>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leading brands in the U.S. home lawn and garden industry. In fiscal 1995, through a merger with Stern’s Miracle-Gro Products, Inc., which was founded by Horace Hagedorn and Otto Stern in Long Island, New York in 1951, we acquired the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the industry leader in water-soluble garden plant foods. In fiscal 1999, we acquired the Ortho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in the United States and obtained exclusive rights to market Monsanto’s consumer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within the United States and other contractually specified countries, thereby adding industry-leading weed, pest and disease control products to our portfolio. Today, the Scotts</w:t>
      </w:r>
      <w:r>
        <w:rPr>
          <w:rFonts w:ascii="Arial" w:cs="Arial" w:eastAsia="Arial" w:hAnsi="Arial"/>
          <w:sz w:val="21"/>
          <w:szCs w:val="21"/>
          <w:color w:val="auto"/>
          <w:vertAlign w:val="superscript"/>
        </w:rPr>
        <w:t>®</w:t>
      </w:r>
      <w:r>
        <w:rPr>
          <w:rFonts w:ascii="Arial" w:cs="Arial" w:eastAsia="Arial" w:hAnsi="Arial"/>
          <w:sz w:val="17"/>
          <w:szCs w:val="17"/>
          <w:color w:val="auto"/>
        </w:rPr>
        <w:t>, Turf Builder</w:t>
      </w:r>
      <w:r>
        <w:rPr>
          <w:rFonts w:ascii="Arial" w:cs="Arial" w:eastAsia="Arial" w:hAnsi="Arial"/>
          <w:sz w:val="21"/>
          <w:szCs w:val="21"/>
          <w:color w:val="auto"/>
          <w:vertAlign w:val="superscript"/>
        </w:rPr>
        <w:t>®</w:t>
      </w:r>
      <w:r>
        <w:rPr>
          <w:rFonts w:ascii="Arial" w:cs="Arial" w:eastAsia="Arial" w:hAnsi="Arial"/>
          <w:sz w:val="17"/>
          <w:szCs w:val="17"/>
          <w:color w:val="auto"/>
        </w:rPr>
        <w:t>, Miracle-Gro</w:t>
      </w:r>
      <w:r>
        <w:rPr>
          <w:rFonts w:ascii="Arial" w:cs="Arial" w:eastAsia="Arial" w:hAnsi="Arial"/>
          <w:sz w:val="21"/>
          <w:szCs w:val="21"/>
          <w:color w:val="auto"/>
          <w:vertAlign w:val="superscript"/>
        </w:rPr>
        <w:t>®</w:t>
      </w:r>
      <w:r>
        <w:rPr>
          <w:rFonts w:ascii="Arial" w:cs="Arial" w:eastAsia="Arial" w:hAnsi="Arial"/>
          <w:sz w:val="17"/>
          <w:szCs w:val="17"/>
          <w:color w:val="auto"/>
        </w:rPr>
        <w:t>, Ortho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brands make us the most widely recognized company in the consumer lawn and garden industry in the United States. Our Hawthorne segment is the leading manufacturer, marketer and distributor of indoor and hydroponic gardening products in North America.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56" w:lineRule="exact"/>
        <w:rPr>
          <w:sz w:val="20"/>
          <w:szCs w:val="20"/>
          <w:color w:val="auto"/>
        </w:rPr>
      </w:pPr>
    </w:p>
    <w:p>
      <w:pPr>
        <w:ind w:left="1260" w:hanging="62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Consumer</w:t>
      </w:r>
    </w:p>
    <w:p>
      <w:pPr>
        <w:spacing w:after="0" w:line="55" w:lineRule="exact"/>
        <w:rPr>
          <w:rFonts w:ascii="Arial" w:cs="Arial" w:eastAsia="Arial" w:hAnsi="Arial"/>
          <w:sz w:val="18"/>
          <w:szCs w:val="18"/>
          <w:color w:val="auto"/>
        </w:rPr>
      </w:pPr>
    </w:p>
    <w:p>
      <w:pPr>
        <w:ind w:left="1260" w:hanging="62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Hawthorne</w:t>
      </w:r>
    </w:p>
    <w:p>
      <w:pPr>
        <w:spacing w:after="0" w:line="55" w:lineRule="exact"/>
        <w:rPr>
          <w:rFonts w:ascii="Arial" w:cs="Arial" w:eastAsia="Arial" w:hAnsi="Arial"/>
          <w:sz w:val="18"/>
          <w:szCs w:val="18"/>
          <w:color w:val="auto"/>
        </w:rPr>
      </w:pPr>
    </w:p>
    <w:p>
      <w:pPr>
        <w:ind w:left="1260" w:hanging="624"/>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U.S. Consumer consists of our consumer lawn and garden business located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Executive Officer (the chief operating decision maker of the Company). In addition, Corporate consists of general and administrative expenses and certain other income and expense items not allocated to the business segments. Financial information about these segments for each of the three fiscal years ended September 30, 2021, 2020 and 2019 is presented in “NOTE 21. SEGMENT INFORMATION” of the Notes to Consolidated Financial Statements included in this Form 10-K.</w:t>
      </w: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15" w:lineRule="exact"/>
        <w:rPr>
          <w:sz w:val="20"/>
          <w:szCs w:val="20"/>
          <w:color w:val="auto"/>
        </w:rPr>
      </w:pPr>
    </w:p>
    <w:p>
      <w:pPr>
        <w:ind w:left="120" w:hanging="84"/>
        <w:spacing w:after="0"/>
        <w:tabs>
          <w:tab w:leader="none" w:pos="120" w:val="left"/>
        </w:tabs>
        <w:numPr>
          <w:ilvl w:val="0"/>
          <w:numId w:val="4"/>
        </w:numPr>
        <w:rPr>
          <w:rFonts w:ascii="Arial" w:cs="Arial" w:eastAsia="Arial" w:hAnsi="Arial"/>
          <w:sz w:val="9"/>
          <w:szCs w:val="9"/>
          <w:color w:val="auto"/>
        </w:rPr>
      </w:pPr>
      <w:r>
        <w:rPr>
          <w:rFonts w:ascii="Arial" w:cs="Arial" w:eastAsia="Arial" w:hAnsi="Arial"/>
          <w:sz w:val="14"/>
          <w:szCs w:val="14"/>
          <w:color w:val="auto"/>
        </w:rPr>
        <w:t>Osmocote</w:t>
      </w:r>
      <w:r>
        <w:rPr>
          <w:rFonts w:ascii="Arial" w:cs="Arial" w:eastAsia="Arial" w:hAnsi="Arial"/>
          <w:sz w:val="9"/>
          <w:szCs w:val="9"/>
          <w:color w:val="auto"/>
        </w:rPr>
        <w:t>®</w:t>
      </w:r>
      <w:r>
        <w:rPr>
          <w:rFonts w:ascii="Arial" w:cs="Arial" w:eastAsia="Arial" w:hAnsi="Arial"/>
          <w:sz w:val="14"/>
          <w:szCs w:val="14"/>
          <w:color w:val="auto"/>
        </w:rPr>
        <w:t xml:space="preserve"> is a registered trademark of Everris International B.V., a subsidiary of Israel Chemicals Ltd.</w:t>
      </w:r>
    </w:p>
    <w:p>
      <w:pPr>
        <w:spacing w:after="0" w:line="18" w:lineRule="exact"/>
        <w:rPr>
          <w:sz w:val="20"/>
          <w:szCs w:val="20"/>
          <w:color w:val="auto"/>
        </w:rPr>
      </w:pPr>
    </w:p>
    <w:p>
      <w:pPr>
        <w:ind w:left="120" w:hanging="84"/>
        <w:spacing w:after="0"/>
        <w:tabs>
          <w:tab w:leader="none" w:pos="120" w:val="left"/>
        </w:tabs>
        <w:numPr>
          <w:ilvl w:val="0"/>
          <w:numId w:val="5"/>
        </w:numPr>
        <w:rPr>
          <w:rFonts w:ascii="Arial" w:cs="Arial" w:eastAsia="Arial" w:hAnsi="Arial"/>
          <w:sz w:val="9"/>
          <w:szCs w:val="9"/>
          <w:color w:val="auto"/>
        </w:rPr>
      </w:pPr>
      <w:r>
        <w:rPr>
          <w:rFonts w:ascii="Arial" w:cs="Arial" w:eastAsia="Arial" w:hAnsi="Arial"/>
          <w:sz w:val="14"/>
          <w:szCs w:val="14"/>
          <w:color w:val="auto"/>
        </w:rPr>
        <w:t>Roundup</w:t>
      </w:r>
      <w:r>
        <w:rPr>
          <w:rFonts w:ascii="Arial" w:cs="Arial" w:eastAsia="Arial" w:hAnsi="Arial"/>
          <w:sz w:val="9"/>
          <w:szCs w:val="9"/>
          <w:color w:val="auto"/>
        </w:rPr>
        <w:t>®</w:t>
      </w:r>
      <w:r>
        <w:rPr>
          <w:rFonts w:ascii="Arial" w:cs="Arial" w:eastAsia="Arial" w:hAnsi="Arial"/>
          <w:sz w:val="14"/>
          <w:szCs w:val="14"/>
          <w:color w:val="auto"/>
        </w:rPr>
        <w:t xml:space="preserve"> is a registered trademark of Monsanto Technology LLC, a company affiliated with Monsanto Company.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our reportable segments, we manufacture, market and sell lawn and garden products in the following categories:</w:t>
      </w:r>
    </w:p>
    <w:p>
      <w:pPr>
        <w:spacing w:after="0" w:line="82" w:lineRule="exact"/>
        <w:rPr>
          <w:sz w:val="20"/>
          <w:szCs w:val="20"/>
          <w:color w:val="auto"/>
        </w:rPr>
      </w:pPr>
    </w:p>
    <w:p>
      <w:pPr>
        <w:jc w:val="both"/>
        <w:ind w:firstLine="867"/>
        <w:spacing w:after="0" w:line="248"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users grow and enjoy the lawn they want. Products within this category include lawn</w:t>
      </w:r>
      <w:r>
        <w:rPr>
          <w:rFonts w:ascii="Arial" w:cs="Arial" w:eastAsia="Arial" w:hAnsi="Arial"/>
          <w:sz w:val="16"/>
          <w:szCs w:val="16"/>
          <w:i w:val="1"/>
          <w:iCs w:val="1"/>
          <w:color w:val="auto"/>
        </w:rPr>
        <w:t xml:space="preserve"> </w:t>
      </w:r>
      <w:r>
        <w:rPr>
          <w:rFonts w:ascii="Arial" w:cs="Arial" w:eastAsia="Arial" w:hAnsi="Arial"/>
          <w:sz w:val="16"/>
          <w:szCs w:val="16"/>
          <w:color w:val="auto"/>
        </w:rPr>
        <w:t>fertilizer products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grass seed products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Turf Builder</w:t>
      </w:r>
      <w:r>
        <w:rPr>
          <w:rFonts w:ascii="Arial" w:cs="Arial" w:eastAsia="Arial" w:hAnsi="Arial"/>
          <w:sz w:val="20"/>
          <w:szCs w:val="20"/>
          <w:color w:val="auto"/>
          <w:vertAlign w:val="superscript"/>
        </w:rPr>
        <w:t>®</w:t>
      </w:r>
      <w:r>
        <w:rPr>
          <w:rFonts w:ascii="Arial" w:cs="Arial" w:eastAsia="Arial" w:hAnsi="Arial"/>
          <w:sz w:val="16"/>
          <w:szCs w:val="16"/>
          <w:color w:val="auto"/>
        </w:rPr>
        <w:t>, EZ Seed</w:t>
      </w:r>
      <w:r>
        <w:rPr>
          <w:rFonts w:ascii="Arial" w:cs="Arial" w:eastAsia="Arial" w:hAnsi="Arial"/>
          <w:sz w:val="20"/>
          <w:szCs w:val="20"/>
          <w:color w:val="auto"/>
          <w:vertAlign w:val="superscript"/>
        </w:rPr>
        <w:t>®</w:t>
      </w:r>
      <w:r>
        <w:rPr>
          <w:rFonts w:ascii="Arial" w:cs="Arial" w:eastAsia="Arial" w:hAnsi="Arial"/>
          <w:sz w:val="16"/>
          <w:szCs w:val="16"/>
          <w:color w:val="auto"/>
        </w:rPr>
        <w:t>, PatchMaster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Thick’R Lawn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and sub-brand names; and lawn-related weed, pest and disease control products primarily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including sub-brands such as GrubEx</w:t>
      </w:r>
      <w:r>
        <w:rPr>
          <w:rFonts w:ascii="Arial" w:cs="Arial" w:eastAsia="Arial" w:hAnsi="Arial"/>
          <w:sz w:val="20"/>
          <w:szCs w:val="20"/>
          <w:color w:val="auto"/>
          <w:vertAlign w:val="superscript"/>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including Turf Builder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EdgeGuard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spreaders and Handy Green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II handheld spreaders. In addition, we market outdoor cleaners under the Scotts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w:t>
      </w:r>
    </w:p>
    <w:p>
      <w:pPr>
        <w:spacing w:after="0" w:line="4" w:lineRule="exact"/>
        <w:rPr>
          <w:sz w:val="20"/>
          <w:szCs w:val="20"/>
          <w:color w:val="auto"/>
        </w:rPr>
      </w:pPr>
    </w:p>
    <w:p>
      <w:pPr>
        <w:jc w:val="both"/>
        <w:ind w:firstLine="867"/>
        <w:spacing w:after="0" w:line="214" w:lineRule="auto"/>
        <w:rPr>
          <w:sz w:val="20"/>
          <w:szCs w:val="20"/>
          <w:color w:val="auto"/>
        </w:rPr>
      </w:pPr>
      <w:r>
        <w:rPr>
          <w:rFonts w:ascii="Arial" w:cs="Arial" w:eastAsia="Arial" w:hAnsi="Arial"/>
          <w:sz w:val="17"/>
          <w:szCs w:val="17"/>
          <w:i w:val="1"/>
          <w:iCs w:val="1"/>
          <w:color w:val="auto"/>
        </w:rPr>
        <w:t xml:space="preserve">Gardening and Landscape: </w:t>
      </w:r>
      <w:r>
        <w:rPr>
          <w:rFonts w:ascii="Arial" w:cs="Arial" w:eastAsia="Arial" w:hAnsi="Arial"/>
          <w:sz w:val="17"/>
          <w:szCs w:val="17"/>
          <w:color w:val="auto"/>
        </w:rPr>
        <w:t>The gardening and landscape category is designed to help consumers grow and enjoy flower and vegetable gardens and</w:t>
      </w:r>
      <w:r>
        <w:rPr>
          <w:rFonts w:ascii="Arial" w:cs="Arial" w:eastAsia="Arial" w:hAnsi="Arial"/>
          <w:sz w:val="17"/>
          <w:szCs w:val="17"/>
          <w:i w:val="1"/>
          <w:iCs w:val="1"/>
          <w:color w:val="auto"/>
        </w:rPr>
        <w:t xml:space="preserve"> </w:t>
      </w:r>
      <w:r>
        <w:rPr>
          <w:rFonts w:ascii="Arial" w:cs="Arial" w:eastAsia="Arial" w:hAnsi="Arial"/>
          <w:sz w:val="17"/>
          <w:szCs w:val="17"/>
          <w:color w:val="auto"/>
        </w:rPr>
        <w:t>beautify landscaped areas. Products within this category include a complete line of water-soluble plant foods under the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and sub-brands such as LiquaFeed</w:t>
      </w:r>
      <w:r>
        <w:rPr>
          <w:rFonts w:ascii="Arial" w:cs="Arial" w:eastAsia="Arial" w:hAnsi="Arial"/>
          <w:sz w:val="21"/>
          <w:szCs w:val="21"/>
          <w:color w:val="auto"/>
          <w:vertAlign w:val="superscript"/>
        </w:rPr>
        <w:t>®</w:t>
      </w:r>
      <w:r>
        <w:rPr>
          <w:rFonts w:ascii="Arial" w:cs="Arial" w:eastAsia="Arial" w:hAnsi="Arial"/>
          <w:sz w:val="17"/>
          <w:szCs w:val="17"/>
          <w:color w:val="auto"/>
        </w:rPr>
        <w:t>, continuous-release plant foods under the Miracle-Gro</w:t>
      </w:r>
      <w:r>
        <w:rPr>
          <w:rFonts w:ascii="Arial" w:cs="Arial" w:eastAsia="Arial" w:hAnsi="Arial"/>
          <w:sz w:val="21"/>
          <w:szCs w:val="21"/>
          <w:color w:val="auto"/>
          <w:vertAlign w:val="superscript"/>
        </w:rPr>
        <w:t>®</w:t>
      </w:r>
      <w:r>
        <w:rPr>
          <w:rFonts w:ascii="Arial" w:cs="Arial" w:eastAsia="Arial" w:hAnsi="Arial"/>
          <w:sz w:val="17"/>
          <w:szCs w:val="17"/>
          <w:color w:val="auto"/>
        </w:rPr>
        <w:t>, Scotts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Osmocote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brands and sub-brands of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such as Shake ‘N Feed</w:t>
      </w:r>
      <w:r>
        <w:rPr>
          <w:rFonts w:ascii="Arial" w:cs="Arial" w:eastAsia="Arial" w:hAnsi="Arial"/>
          <w:sz w:val="21"/>
          <w:szCs w:val="21"/>
          <w:color w:val="auto"/>
          <w:vertAlign w:val="superscript"/>
        </w:rPr>
        <w:t>®</w:t>
      </w:r>
      <w:r>
        <w:rPr>
          <w:rFonts w:ascii="Arial" w:cs="Arial" w:eastAsia="Arial" w:hAnsi="Arial"/>
          <w:sz w:val="17"/>
          <w:szCs w:val="17"/>
          <w:color w:val="auto"/>
        </w:rPr>
        <w:t>; potting mixes and garden soils under the Miracle-Gro</w:t>
      </w:r>
      <w:r>
        <w:rPr>
          <w:rFonts w:ascii="Arial" w:cs="Arial" w:eastAsia="Arial" w:hAnsi="Arial"/>
          <w:sz w:val="21"/>
          <w:szCs w:val="21"/>
          <w:color w:val="auto"/>
          <w:vertAlign w:val="superscript"/>
        </w:rPr>
        <w:t>®</w:t>
      </w:r>
      <w:r>
        <w:rPr>
          <w:rFonts w:ascii="Arial" w:cs="Arial" w:eastAsia="Arial" w:hAnsi="Arial"/>
          <w:sz w:val="17"/>
          <w:szCs w:val="17"/>
          <w:color w:val="auto"/>
        </w:rPr>
        <w:t>, Scotts</w:t>
      </w:r>
      <w:r>
        <w:rPr>
          <w:rFonts w:ascii="Arial" w:cs="Arial" w:eastAsia="Arial" w:hAnsi="Arial"/>
          <w:sz w:val="21"/>
          <w:szCs w:val="21"/>
          <w:color w:val="auto"/>
          <w:vertAlign w:val="superscript"/>
        </w:rPr>
        <w:t>®</w:t>
      </w:r>
      <w:r>
        <w:rPr>
          <w:rFonts w:ascii="Arial" w:cs="Arial" w:eastAsia="Arial" w:hAnsi="Arial"/>
          <w:sz w:val="17"/>
          <w:szCs w:val="17"/>
          <w:color w:val="auto"/>
        </w:rPr>
        <w:t>, Hyponex</w:t>
      </w:r>
      <w:r>
        <w:rPr>
          <w:rFonts w:ascii="Arial" w:cs="Arial" w:eastAsia="Arial" w:hAnsi="Arial"/>
          <w:sz w:val="21"/>
          <w:szCs w:val="21"/>
          <w:color w:val="auto"/>
          <w:vertAlign w:val="superscript"/>
        </w:rPr>
        <w:t>®</w:t>
      </w:r>
      <w:r>
        <w:rPr>
          <w:rFonts w:ascii="Arial" w:cs="Arial" w:eastAsia="Arial" w:hAnsi="Arial"/>
          <w:sz w:val="17"/>
          <w:szCs w:val="17"/>
          <w:color w:val="auto"/>
        </w:rPr>
        <w:t>, Earthgro</w:t>
      </w:r>
      <w:r>
        <w:rPr>
          <w:rFonts w:ascii="Arial" w:cs="Arial" w:eastAsia="Arial" w:hAnsi="Arial"/>
          <w:sz w:val="21"/>
          <w:szCs w:val="21"/>
          <w:color w:val="auto"/>
          <w:vertAlign w:val="superscript"/>
        </w:rPr>
        <w:t>®</w:t>
      </w:r>
      <w:r>
        <w:rPr>
          <w:rFonts w:ascii="Arial" w:cs="Arial" w:eastAsia="Arial" w:hAnsi="Arial"/>
          <w:sz w:val="17"/>
          <w:szCs w:val="17"/>
          <w:color w:val="auto"/>
        </w:rPr>
        <w:t>, SuperSoil</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Fafard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names; mulch and decorative groundcover products under the Scotts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including the sub-brands Nature Scapes</w:t>
      </w:r>
      <w:r>
        <w:rPr>
          <w:rFonts w:ascii="Arial" w:cs="Arial" w:eastAsia="Arial" w:hAnsi="Arial"/>
          <w:sz w:val="21"/>
          <w:szCs w:val="21"/>
          <w:color w:val="auto"/>
          <w:vertAlign w:val="superscript"/>
        </w:rPr>
        <w:t>®</w:t>
      </w:r>
      <w:r>
        <w:rPr>
          <w:rFonts w:ascii="Arial" w:cs="Arial" w:eastAsia="Arial" w:hAnsi="Arial"/>
          <w:sz w:val="17"/>
          <w:szCs w:val="17"/>
          <w:color w:val="auto"/>
        </w:rPr>
        <w:t>, Earthgro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Hyponex</w:t>
      </w:r>
      <w:r>
        <w:rPr>
          <w:rFonts w:ascii="Arial" w:cs="Arial" w:eastAsia="Arial" w:hAnsi="Arial"/>
          <w:sz w:val="21"/>
          <w:szCs w:val="21"/>
          <w:color w:val="auto"/>
          <w:vertAlign w:val="superscript"/>
        </w:rPr>
        <w:t>®</w:t>
      </w:r>
      <w:r>
        <w:rPr>
          <w:rFonts w:ascii="Arial" w:cs="Arial" w:eastAsia="Arial" w:hAnsi="Arial"/>
          <w:sz w:val="17"/>
          <w:szCs w:val="17"/>
          <w:color w:val="auto"/>
        </w:rPr>
        <w:t>; plant-related pest and disease control products under the Ortho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organic garden products under the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Performance Organics</w:t>
      </w:r>
      <w:r>
        <w:rPr>
          <w:rFonts w:ascii="Arial" w:cs="Arial" w:eastAsia="Arial" w:hAnsi="Arial"/>
          <w:sz w:val="21"/>
          <w:szCs w:val="21"/>
          <w:color w:val="auto"/>
          <w:vertAlign w:val="superscript"/>
        </w:rPr>
        <w:t>®</w:t>
      </w:r>
      <w:r>
        <w:rPr>
          <w:rFonts w:ascii="Arial" w:cs="Arial" w:eastAsia="Arial" w:hAnsi="Arial"/>
          <w:sz w:val="17"/>
          <w:szCs w:val="17"/>
          <w:color w:val="auto"/>
        </w:rPr>
        <w:t>,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Organic Choice</w:t>
      </w:r>
      <w:r>
        <w:rPr>
          <w:rFonts w:ascii="Arial" w:cs="Arial" w:eastAsia="Arial" w:hAnsi="Arial"/>
          <w:sz w:val="21"/>
          <w:szCs w:val="21"/>
          <w:color w:val="auto"/>
          <w:vertAlign w:val="superscript"/>
        </w:rPr>
        <w:t>®</w:t>
      </w:r>
      <w:r>
        <w:rPr>
          <w:rFonts w:ascii="Arial" w:cs="Arial" w:eastAsia="Arial" w:hAnsi="Arial"/>
          <w:sz w:val="17"/>
          <w:szCs w:val="17"/>
          <w:color w:val="auto"/>
        </w:rPr>
        <w:t>, Scotts</w:t>
      </w:r>
      <w:r>
        <w:rPr>
          <w:rFonts w:ascii="Arial" w:cs="Arial" w:eastAsia="Arial" w:hAnsi="Arial"/>
          <w:sz w:val="21"/>
          <w:szCs w:val="21"/>
          <w:color w:val="auto"/>
          <w:vertAlign w:val="superscript"/>
        </w:rPr>
        <w:t>®</w:t>
      </w:r>
      <w:r>
        <w:rPr>
          <w:rFonts w:ascii="Arial" w:cs="Arial" w:eastAsia="Arial" w:hAnsi="Arial"/>
          <w:sz w:val="17"/>
          <w:szCs w:val="17"/>
          <w:color w:val="auto"/>
        </w:rPr>
        <w:t>, Whitney Farms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EcoScraps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names; and live goods and seeding solutions under the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Hydroponic gardening focused growing media and nutrients products are marketed under the Mother Earth</w:t>
      </w:r>
      <w:r>
        <w:rPr>
          <w:rFonts w:ascii="Arial" w:cs="Arial" w:eastAsia="Arial" w:hAnsi="Arial"/>
          <w:sz w:val="21"/>
          <w:szCs w:val="21"/>
          <w:color w:val="auto"/>
          <w:vertAlign w:val="superscript"/>
        </w:rPr>
        <w:t>®</w:t>
      </w:r>
      <w:r>
        <w:rPr>
          <w:rFonts w:ascii="Arial" w:cs="Arial" w:eastAsia="Arial" w:hAnsi="Arial"/>
          <w:sz w:val="17"/>
          <w:szCs w:val="17"/>
          <w:color w:val="auto"/>
        </w:rPr>
        <w:t>, Botanicare</w:t>
      </w:r>
      <w:r>
        <w:rPr>
          <w:rFonts w:ascii="Arial" w:cs="Arial" w:eastAsia="Arial" w:hAnsi="Arial"/>
          <w:sz w:val="21"/>
          <w:szCs w:val="21"/>
          <w:color w:val="auto"/>
          <w:vertAlign w:val="superscript"/>
        </w:rPr>
        <w:t>®</w:t>
      </w:r>
      <w:r>
        <w:rPr>
          <w:rFonts w:ascii="Arial" w:cs="Arial" w:eastAsia="Arial" w:hAnsi="Arial"/>
          <w:sz w:val="17"/>
          <w:szCs w:val="17"/>
          <w:color w:val="auto"/>
        </w:rPr>
        <w:t>, General Hydroponics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Vermicrop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names as well as brands owned by third parties for which we serve as distributor.</w:t>
      </w:r>
    </w:p>
    <w:p>
      <w:pPr>
        <w:spacing w:after="0" w:line="86" w:lineRule="exact"/>
        <w:rPr>
          <w:sz w:val="20"/>
          <w:szCs w:val="20"/>
          <w:color w:val="auto"/>
        </w:rPr>
      </w:pPr>
    </w:p>
    <w:p>
      <w:pPr>
        <w:jc w:val="both"/>
        <w:ind w:firstLine="867"/>
        <w:spacing w:after="0" w:line="234" w:lineRule="auto"/>
        <w:rPr>
          <w:sz w:val="20"/>
          <w:szCs w:val="20"/>
          <w:color w:val="auto"/>
        </w:rPr>
      </w:pPr>
      <w:r>
        <w:rPr>
          <w:rFonts w:ascii="Arial" w:cs="Arial" w:eastAsia="Arial" w:hAnsi="Arial"/>
          <w:sz w:val="17"/>
          <w:szCs w:val="17"/>
          <w:i w:val="1"/>
          <w:iCs w:val="1"/>
          <w:color w:val="auto"/>
        </w:rPr>
        <w:t>Hydroponic hardware and growing environments</w:t>
      </w:r>
      <w:r>
        <w:rPr>
          <w:rFonts w:ascii="Arial" w:cs="Arial" w:eastAsia="Arial" w:hAnsi="Arial"/>
          <w:sz w:val="17"/>
          <w:szCs w:val="17"/>
          <w:color w:val="auto"/>
        </w:rPr>
        <w:t>: This category is designed to provide durable goods for customers to grow plants, flowers and</w:t>
      </w:r>
      <w:r>
        <w:rPr>
          <w:rFonts w:ascii="Arial" w:cs="Arial" w:eastAsia="Arial" w:hAnsi="Arial"/>
          <w:sz w:val="17"/>
          <w:szCs w:val="17"/>
          <w:i w:val="1"/>
          <w:iCs w:val="1"/>
          <w:color w:val="auto"/>
        </w:rPr>
        <w:t xml:space="preserve"> </w:t>
      </w:r>
      <w:r>
        <w:rPr>
          <w:rFonts w:ascii="Arial" w:cs="Arial" w:eastAsia="Arial" w:hAnsi="Arial"/>
          <w:sz w:val="17"/>
          <w:szCs w:val="17"/>
          <w:color w:val="auto"/>
        </w:rPr>
        <w:t>vegetables using little or no soil. Products within this category include systems, trays, fans, filters, humidifiers, dehumidifiers, timers, instruments, water pumps, irrigation supplies and hand tools, and are marketed under the Botanicare</w:t>
      </w:r>
      <w:r>
        <w:rPr>
          <w:rFonts w:ascii="Arial" w:cs="Arial" w:eastAsia="Arial" w:hAnsi="Arial"/>
          <w:sz w:val="21"/>
          <w:szCs w:val="21"/>
          <w:color w:val="auto"/>
          <w:vertAlign w:val="superscript"/>
        </w:rPr>
        <w:t>®</w:t>
      </w:r>
      <w:r>
        <w:rPr>
          <w:rFonts w:ascii="Arial" w:cs="Arial" w:eastAsia="Arial" w:hAnsi="Arial"/>
          <w:sz w:val="17"/>
          <w:szCs w:val="17"/>
          <w:color w:val="auto"/>
        </w:rPr>
        <w:t>, Can-Filters</w:t>
      </w:r>
      <w:r>
        <w:rPr>
          <w:rFonts w:ascii="Arial" w:cs="Arial" w:eastAsia="Arial" w:hAnsi="Arial"/>
          <w:sz w:val="21"/>
          <w:szCs w:val="21"/>
          <w:color w:val="auto"/>
          <w:vertAlign w:val="superscript"/>
        </w:rPr>
        <w:t>®</w:t>
      </w:r>
      <w:r>
        <w:rPr>
          <w:rFonts w:ascii="Arial" w:cs="Arial" w:eastAsia="Arial" w:hAnsi="Arial"/>
          <w:sz w:val="17"/>
          <w:szCs w:val="17"/>
          <w:color w:val="auto"/>
        </w:rPr>
        <w:t>, Gro Pro</w:t>
      </w:r>
      <w:r>
        <w:rPr>
          <w:rFonts w:ascii="Arial" w:cs="Arial" w:eastAsia="Arial" w:hAnsi="Arial"/>
          <w:sz w:val="21"/>
          <w:szCs w:val="21"/>
          <w:color w:val="auto"/>
          <w:vertAlign w:val="superscript"/>
        </w:rPr>
        <w:t>®</w:t>
      </w:r>
      <w:r>
        <w:rPr>
          <w:rFonts w:ascii="Arial" w:cs="Arial" w:eastAsia="Arial" w:hAnsi="Arial"/>
          <w:sz w:val="17"/>
          <w:szCs w:val="17"/>
          <w:color w:val="auto"/>
        </w:rPr>
        <w:t>, Hurricane</w:t>
      </w:r>
      <w:r>
        <w:rPr>
          <w:rFonts w:ascii="Arial" w:cs="Arial" w:eastAsia="Arial" w:hAnsi="Arial"/>
          <w:sz w:val="21"/>
          <w:szCs w:val="21"/>
          <w:color w:val="auto"/>
          <w:vertAlign w:val="superscript"/>
        </w:rPr>
        <w:t>®</w:t>
      </w:r>
      <w:r>
        <w:rPr>
          <w:rFonts w:ascii="Arial" w:cs="Arial" w:eastAsia="Arial" w:hAnsi="Arial"/>
          <w:sz w:val="17"/>
          <w:szCs w:val="17"/>
          <w:color w:val="auto"/>
        </w:rPr>
        <w:t>, AeroGarden</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Hydro-Logic</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names as well as brands owned by third parties for which we serve as distributor.</w:t>
      </w:r>
    </w:p>
    <w:p>
      <w:pPr>
        <w:spacing w:after="0" w:line="68" w:lineRule="exact"/>
        <w:rPr>
          <w:sz w:val="20"/>
          <w:szCs w:val="20"/>
          <w:color w:val="auto"/>
        </w:rPr>
      </w:pPr>
    </w:p>
    <w:p>
      <w:pPr>
        <w:jc w:val="both"/>
        <w:ind w:firstLine="867"/>
        <w:spacing w:after="0" w:line="290" w:lineRule="auto"/>
        <w:rPr>
          <w:sz w:val="20"/>
          <w:szCs w:val="20"/>
          <w:color w:val="auto"/>
        </w:rPr>
      </w:pPr>
      <w:r>
        <w:rPr>
          <w:rFonts w:ascii="Arial" w:cs="Arial" w:eastAsia="Arial" w:hAnsi="Arial"/>
          <w:sz w:val="16"/>
          <w:szCs w:val="16"/>
          <w:i w:val="1"/>
          <w:iCs w:val="1"/>
          <w:color w:val="auto"/>
        </w:rPr>
        <w:t>Lighting</w:t>
      </w:r>
      <w:r>
        <w:rPr>
          <w:rFonts w:ascii="Arial" w:cs="Arial" w:eastAsia="Arial" w:hAnsi="Arial"/>
          <w:sz w:val="16"/>
          <w:szCs w:val="16"/>
          <w:color w:val="auto"/>
        </w:rPr>
        <w:t>: The lighting category is designed to provide consumers a complete selection of lighting systems and components for use in hydroponic</w:t>
      </w:r>
      <w:r>
        <w:rPr>
          <w:rFonts w:ascii="Arial" w:cs="Arial" w:eastAsia="Arial" w:hAnsi="Arial"/>
          <w:sz w:val="16"/>
          <w:szCs w:val="16"/>
          <w:i w:val="1"/>
          <w:iCs w:val="1"/>
          <w:color w:val="auto"/>
        </w:rPr>
        <w:t xml:space="preserve"> </w:t>
      </w:r>
      <w:r>
        <w:rPr>
          <w:rFonts w:ascii="Arial" w:cs="Arial" w:eastAsia="Arial" w:hAnsi="Arial"/>
          <w:sz w:val="16"/>
          <w:szCs w:val="16"/>
          <w:color w:val="auto"/>
        </w:rPr>
        <w:t>and indoor gardening applications. Products in this category include lighting fixtures, reflectors, lamps, cords and hangars, and are marketed under the Gavita</w:t>
      </w:r>
      <w:r>
        <w:rPr>
          <w:rFonts w:ascii="Arial" w:cs="Arial" w:eastAsia="Arial" w:hAnsi="Arial"/>
          <w:sz w:val="20"/>
          <w:szCs w:val="20"/>
          <w:color w:val="auto"/>
          <w:vertAlign w:val="superscript"/>
        </w:rPr>
        <w:t>®</w:t>
      </w:r>
      <w:r>
        <w:rPr>
          <w:rFonts w:ascii="Arial" w:cs="Arial" w:eastAsia="Arial" w:hAnsi="Arial"/>
          <w:sz w:val="16"/>
          <w:szCs w:val="16"/>
          <w:color w:val="auto"/>
        </w:rPr>
        <w:t>, Sun System</w:t>
      </w:r>
      <w:r>
        <w:rPr>
          <w:rFonts w:ascii="Arial" w:cs="Arial" w:eastAsia="Arial" w:hAnsi="Arial"/>
          <w:sz w:val="20"/>
          <w:szCs w:val="20"/>
          <w:color w:val="auto"/>
          <w:vertAlign w:val="superscript"/>
        </w:rPr>
        <w:t>®</w:t>
      </w:r>
      <w:r>
        <w:rPr>
          <w:rFonts w:ascii="Arial" w:cs="Arial" w:eastAsia="Arial" w:hAnsi="Arial"/>
          <w:sz w:val="16"/>
          <w:szCs w:val="16"/>
          <w:color w:val="auto"/>
        </w:rPr>
        <w:t>, Agrolux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Titan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as well as brands owned by third parties for which we serve as distributor.</w:t>
      </w:r>
    </w:p>
    <w:p>
      <w:pPr>
        <w:spacing w:after="0" w:line="2" w:lineRule="exact"/>
        <w:rPr>
          <w:sz w:val="20"/>
          <w:szCs w:val="20"/>
          <w:color w:val="auto"/>
        </w:rPr>
      </w:pPr>
    </w:p>
    <w:p>
      <w:pPr>
        <w:jc w:val="both"/>
        <w:ind w:firstLine="867"/>
        <w:spacing w:after="0" w:line="246" w:lineRule="auto"/>
        <w:rPr>
          <w:sz w:val="20"/>
          <w:szCs w:val="20"/>
          <w:color w:val="auto"/>
        </w:rPr>
      </w:pPr>
      <w:r>
        <w:rPr>
          <w:rFonts w:ascii="Arial" w:cs="Arial" w:eastAsia="Arial" w:hAnsi="Arial"/>
          <w:sz w:val="16"/>
          <w:szCs w:val="16"/>
          <w:i w:val="1"/>
          <w:iCs w:val="1"/>
          <w:color w:val="auto"/>
        </w:rPr>
        <w:t xml:space="preserve">Controls: </w:t>
      </w:r>
      <w:r>
        <w:rPr>
          <w:rFonts w:ascii="Arial" w:cs="Arial" w:eastAsia="Arial" w:hAnsi="Arial"/>
          <w:sz w:val="16"/>
          <w:szCs w:val="16"/>
          <w:color w:val="auto"/>
        </w:rPr>
        <w:t>The controls category is designed to help consumers protect their homes from pests and maintain external home areas. Insect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are marketed under the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including Ortho Max</w:t>
      </w:r>
      <w:r>
        <w:rPr>
          <w:rFonts w:ascii="Arial" w:cs="Arial" w:eastAsia="Arial" w:hAnsi="Arial"/>
          <w:sz w:val="20"/>
          <w:szCs w:val="20"/>
          <w:color w:val="auto"/>
          <w:vertAlign w:val="superscript"/>
        </w:rPr>
        <w:t>®</w:t>
      </w:r>
      <w:r>
        <w:rPr>
          <w:rFonts w:ascii="Arial" w:cs="Arial" w:eastAsia="Arial" w:hAnsi="Arial"/>
          <w:sz w:val="16"/>
          <w:szCs w:val="16"/>
          <w:color w:val="auto"/>
        </w:rPr>
        <w:t>, Home Defense Max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Bug B Gon Max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sub-brands; rodent control products are marketed under the Tomcat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brands; selective weed control products are marketed under the Ortho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Weed B Gon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sub-brand; and non-selective weed killer products are marketed under the Groundclear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 Hydroponic gardening focused controls products are marketed under the Alchemist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General Hydroponics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names as well as brands owned by third parties for which we serve as distributor.</w:t>
      </w:r>
    </w:p>
    <w:p>
      <w:pPr>
        <w:spacing w:after="0" w:line="4" w:lineRule="exact"/>
        <w:rPr>
          <w:sz w:val="20"/>
          <w:szCs w:val="20"/>
          <w:color w:val="auto"/>
        </w:rPr>
      </w:pPr>
    </w:p>
    <w:p>
      <w:pPr>
        <w:jc w:val="both"/>
        <w:ind w:firstLine="867"/>
        <w:spacing w:after="0" w:line="273" w:lineRule="auto"/>
        <w:rPr>
          <w:sz w:val="20"/>
          <w:szCs w:val="20"/>
          <w:color w:val="auto"/>
        </w:rPr>
      </w:pPr>
      <w:r>
        <w:rPr>
          <w:rFonts w:ascii="Arial" w:cs="Arial" w:eastAsia="Arial" w:hAnsi="Arial"/>
          <w:sz w:val="16"/>
          <w:szCs w:val="16"/>
          <w:i w:val="1"/>
          <w:iCs w:val="1"/>
          <w:color w:val="auto"/>
        </w:rPr>
        <w:t xml:space="preserve">Marketing Agreement: </w:t>
      </w:r>
      <w:r>
        <w:rPr>
          <w:rFonts w:ascii="Arial" w:cs="Arial" w:eastAsia="Arial" w:hAnsi="Arial"/>
          <w:sz w:val="16"/>
          <w:szCs w:val="16"/>
          <w:color w:val="auto"/>
        </w:rPr>
        <w:t>We are Monsanto’s exclusive agent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branded products in the United States and certain other specified countries. On May 15, 2015, we entered into an amendment (the “Marketing Agreement Amendment”) to the Amended and Restated Exclusive Agency and Marketing Agreement (as amended, the “Original Marketing Agreement”) with Monsanto and also entered into a lawn and garden brand extension agreement (the “Brand Extension Agreement”) and a commercialization and technology agreement (the “Commercialization and Technology Agreement”) with Monsanto. On August 31, 2017, in connection with the sale of our consumer lawn and garden businesses located in Australia, Austria, Belgium, Luxembourg, Czech Republic, France, Germany, Poland and the United Kingdom (the “International Business”), we entered into the Second Amended and Restated Agency and Marketing Agreement (the “Restated Marketing Agreement”) and the Amended and Restated Lawn and Garden Brand Extension Agreement – Americas (the “Restated Brand Extension Agreement”) to reflect the Company’s transfer and assignment to Exponent Private Equity LLP (“Exponent”) of the Company’s rights and responsibilities under the Original Marketing Agreement, as amended, and the Brand Extension Agreement relating to those countries and territories subject to the sale.</w:t>
      </w:r>
    </w:p>
    <w:p>
      <w:pPr>
        <w:spacing w:after="0" w:line="44" w:lineRule="exact"/>
        <w:rPr>
          <w:sz w:val="20"/>
          <w:szCs w:val="20"/>
          <w:color w:val="auto"/>
        </w:rPr>
      </w:pPr>
    </w:p>
    <w:p>
      <w:pPr>
        <w:jc w:val="both"/>
        <w:ind w:firstLine="867"/>
        <w:spacing w:after="0" w:line="237" w:lineRule="auto"/>
        <w:rPr>
          <w:sz w:val="20"/>
          <w:szCs w:val="20"/>
          <w:color w:val="auto"/>
        </w:rPr>
      </w:pPr>
      <w:r>
        <w:rPr>
          <w:rFonts w:ascii="Arial" w:cs="Arial" w:eastAsia="Arial" w:hAnsi="Arial"/>
          <w:sz w:val="18"/>
          <w:szCs w:val="18"/>
          <w:color w:val="auto"/>
        </w:rPr>
        <w:t>Effective August 1, 2019, we entered into (i) the Third Amended and Restated Exclusive Agency and Marketing Agreement (the “Third Restated Agreement”) which amends and restates the Restated Marketing Agreement, (ii) a Brand Extension Agreement Asset Purchase Agreement (the “BEA Purchase Agreement”) under which we sold certain assets to Monsanto related to the development, manufacture, production, advertising, marketing, promotion, distribution, importation, exportation, offer for sale and sale of specified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branded products sold outside the non-selective weedkiller category within the residential lawn and garden market and (iii) agreements terminating both the Restated Brand Extension Agreement and the Commercialization and Technology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867"/>
        <w:spacing w:after="0" w:line="238" w:lineRule="auto"/>
        <w:rPr>
          <w:sz w:val="20"/>
          <w:szCs w:val="20"/>
          <w:color w:val="auto"/>
        </w:rPr>
      </w:pPr>
      <w:r>
        <w:rPr>
          <w:rFonts w:ascii="Arial" w:cs="Arial" w:eastAsia="Arial" w:hAnsi="Arial"/>
          <w:sz w:val="17"/>
          <w:szCs w:val="17"/>
          <w:color w:val="auto"/>
        </w:rPr>
        <w:t>Under the terms of the Third Restated Agreement, we provide certain consumer and trade marketing program services, sales, merchandising, warehousing and other selling and marketing support for certain of Monsanto’s consumer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products. Among other things, the Third Restated Agreement amends the provisions of the Restated Marketing Agreement relating to commissions, contributions, noncompetition, and termination. The Company also performs other services on behalf of Monsanto, including manufacturing conversion services, pursuant to ancillary agreements. For additional details regarding the Third Restated Agreement, see “ITEM 1A. RISK FACTORS — Risks Related to Our Business — </w:t>
      </w:r>
      <w:r>
        <w:rPr>
          <w:rFonts w:ascii="Arial" w:cs="Arial" w:eastAsia="Arial" w:hAnsi="Arial"/>
          <w:sz w:val="17"/>
          <w:szCs w:val="17"/>
          <w:i w:val="1"/>
          <w:iCs w:val="1"/>
          <w:color w:val="auto"/>
        </w:rPr>
        <w:t>In the event the Third Restated</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 for Monsanto’s consumer Roundup</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xml:space="preserve"> products terminates or Monsanto’s consumer Roundup</w:t>
      </w:r>
      <w:r>
        <w:rPr>
          <w:rFonts w:ascii="Arial" w:cs="Arial" w:eastAsia="Arial" w:hAnsi="Arial"/>
          <w:sz w:val="21"/>
          <w:szCs w:val="21"/>
          <w:i w:val="1"/>
          <w:iCs w:val="1"/>
          <w:color w:val="auto"/>
          <w:vertAlign w:val="superscript"/>
        </w:rPr>
        <w:t>®</w:t>
      </w:r>
      <w:r>
        <w:rPr>
          <w:rFonts w:ascii="Arial" w:cs="Arial" w:eastAsia="Arial" w:hAnsi="Arial"/>
          <w:sz w:val="17"/>
          <w:szCs w:val="17"/>
          <w:i w:val="1"/>
          <w:iCs w:val="1"/>
          <w:color w:val="auto"/>
        </w:rPr>
        <w:t xml:space="preserve"> business materially declines, we would lose a substantial source of future earnings and overhead expense absorption</w:t>
      </w:r>
      <w:r>
        <w:rPr>
          <w:rFonts w:ascii="Arial" w:cs="Arial" w:eastAsia="Arial" w:hAnsi="Arial"/>
          <w:sz w:val="17"/>
          <w:szCs w:val="17"/>
          <w:color w:val="auto"/>
        </w:rPr>
        <w:t>” of this Annual Report on Form 10-K and “NOTE 7. MARKETING AGREEMENT”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to Consolidated Financial Statements included in this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88" w:lineRule="exact"/>
        <w:rPr>
          <w:sz w:val="20"/>
          <w:szCs w:val="20"/>
          <w:color w:val="auto"/>
        </w:rPr>
      </w:pPr>
    </w:p>
    <w:p>
      <w:pPr>
        <w:jc w:val="both"/>
        <w:ind w:firstLine="394"/>
        <w:spacing w:after="0" w:line="281"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our business and industry. 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which has paid out nearly $50.0 million since the inception of the COVID-19 pandemic.</w:t>
      </w:r>
    </w:p>
    <w:p>
      <w:pPr>
        <w:spacing w:after="0" w:line="51"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auto"/>
        </w:rPr>
        <w:t>During fiscal 2021, we continued to experience increased demand for many of our products compared to periods before the pandemic. The extent to which the COVID-19 pandemic will impact our business, results of operations, financial condition and cash flows in the future will depend on future developments, including the duration, spread and intensity of the pandemic, our continued ability to manufacture and distribute our products, as well as any future government actions affecting consumers and the economy generally, all of which are uncertain and difficult to predict considering the rapidly evolving landscape. We are not able to predict the impact, if any, that the COVID-19 pandemic may have on the seasonality of our business.</w:t>
      </w:r>
    </w:p>
    <w:p>
      <w:pPr>
        <w:spacing w:after="0" w:line="47" w:lineRule="exact"/>
        <w:rPr>
          <w:sz w:val="20"/>
          <w:szCs w:val="20"/>
          <w:color w:val="auto"/>
        </w:rPr>
      </w:pPr>
    </w:p>
    <w:p>
      <w:pPr>
        <w:jc w:val="both"/>
        <w:ind w:firstLine="394"/>
        <w:spacing w:after="0" w:line="299" w:lineRule="auto"/>
        <w:rPr>
          <w:sz w:val="20"/>
          <w:szCs w:val="20"/>
          <w:color w:val="auto"/>
        </w:rPr>
      </w:pPr>
      <w:r>
        <w:rPr>
          <w:rFonts w:ascii="Arial" w:cs="Arial" w:eastAsia="Arial" w:hAnsi="Arial"/>
          <w:sz w:val="16"/>
          <w:szCs w:val="16"/>
          <w:color w:val="auto"/>
        </w:rPr>
        <w:t>Although we currently expect to be able to continue operating our business as described above and we intend to continue to work with government authorities and to follow the necessary protocols to maintain the health and safety of our employees, uncertainty resulting from COVID-19 could result in an unforeseen additional disruption to our business, including our global supply chain and retailer network, and/or require us to incur additional operational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88" w:lineRule="exact"/>
        <w:rPr>
          <w:sz w:val="20"/>
          <w:szCs w:val="20"/>
          <w:color w:val="auto"/>
        </w:rPr>
      </w:pPr>
    </w:p>
    <w:p>
      <w:pPr>
        <w:jc w:val="both"/>
        <w:ind w:firstLine="434"/>
        <w:spacing w:after="0" w:line="268" w:lineRule="auto"/>
        <w:rPr>
          <w:sz w:val="20"/>
          <w:szCs w:val="20"/>
          <w:color w:val="auto"/>
        </w:rPr>
      </w:pPr>
      <w:r>
        <w:rPr>
          <w:rFonts w:ascii="Arial" w:cs="Arial" w:eastAsia="Arial" w:hAnsi="Arial"/>
          <w:sz w:val="18"/>
          <w:szCs w:val="18"/>
          <w:color w:val="auto"/>
        </w:rPr>
        <w:t>On August 13, 2021, our Hawthorne segment completed the acquisition of substantially all of the assets of Rhizoflora, Inc., manufacturer of terpene enhancing nutrient products Terpinator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and Purpinator</w:t>
      </w:r>
      <w:r>
        <w:rPr>
          <w:rFonts w:ascii="Arial" w:cs="Arial" w:eastAsia="Arial" w:hAnsi="Arial"/>
          <w:sz w:val="22"/>
          <w:szCs w:val="22"/>
          <w:color w:val="auto"/>
          <w:vertAlign w:val="superscript"/>
        </w:rPr>
        <w:t>®</w:t>
      </w:r>
      <w:r>
        <w:rPr>
          <w:rFonts w:ascii="Arial" w:cs="Arial" w:eastAsia="Arial" w:hAnsi="Arial"/>
          <w:sz w:val="18"/>
          <w:szCs w:val="18"/>
          <w:color w:val="auto"/>
        </w:rPr>
        <w:t>, for $33.7 million.</w:t>
      </w:r>
    </w:p>
    <w:p>
      <w:pPr>
        <w:jc w:val="both"/>
        <w:ind w:firstLine="434"/>
        <w:spacing w:after="0" w:line="277" w:lineRule="auto"/>
        <w:rPr>
          <w:sz w:val="20"/>
          <w:szCs w:val="20"/>
          <w:color w:val="auto"/>
        </w:rPr>
      </w:pPr>
      <w:r>
        <w:rPr>
          <w:rFonts w:ascii="Arial" w:cs="Arial" w:eastAsia="Arial" w:hAnsi="Arial"/>
          <w:sz w:val="16"/>
          <w:szCs w:val="16"/>
          <w:color w:val="auto"/>
        </w:rPr>
        <w:t>During fiscal 2021, we announced the creation of a newly formed subsidiary, The Hawthorne Collective, Inc., which will focus on strategic minority non-equity investments in areas of the cannabis industry not currently pursued by our Hawthorne segment. This initiative is designed to allow us, in the future, to participate directly in a larger marketplace as the legal environment changes over time. On August 24, 2021, we made our initial investment under this initiative in the form of a $150.0 million six-year convertible note issued to us by Toronto-based RIV Capital Inc. (“RIV Capital”) (CSE: RIV) (OTC: CNPOF), a cannabis investment and acquisition firm listed on the Canadian Securities Exchange. The note accrues interest at 2 percent annually for the first two years and provides additional follow-on investment rights. The conversion feature, which is based upon the RIV Capital closing stock price on August 9, 2021, would provide us with approximately 42 percent ownership of RIV Capital if we exercise the conversion feature. In connection with our investment, RIV Capital increased the size of its Board of Directors from four to seven members, and added three nominees of the Company to the Board of Directors. We do not have control of or an active day-to-day role in RIV Capital nor any of the companies in which RIV Capital invests. RIV Capital has agreed to use the funds for general corporate and other lawful purposes, which could include acquisitions, and has agreed that the funds will not be used in connection with or for any cannabis or cannabis-related operations in the U.S. unless and until such operations comply with all applicable U.S. federal laws. During the fourth quarter of fiscal 2021, The Hawthorne Collective, Inc. made additional minority non-equity investments of $43.1 million in other entities focused on branded cannabis and high quality genetics. These additional investments also include conversion features that would provide us with minority ownership interests in these entities if we exercise the conversion features. The additional investments include restrictions that the funds will not be used in connection with or for any cannabis or cannabis-related operations in the U.S. unless and until such operations comply with all applicable U.S. federal laws.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On August 27, 2021, our Hawthorne segment completed the acquisition of substantially all of the assets of Hydro-Logic Purification Systems, Inc., a leading provider of products, accessories and systems for water filtration and purification, for $66.7 million.</w:t>
      </w:r>
    </w:p>
    <w:p>
      <w:pPr>
        <w:spacing w:after="0" w:line="4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On February 26, 2021, we acquired all of the remaining outstanding shares of AeroGrow International, Inc. (“AeroGrow”) for cash consideration of $3.00 per share, or approximately $20.1 million. Prior to closing, SMG Growing Media, Inc., a wholly-owned subsidiary of Scotts Miracle-Gro, was the holder of 80.5% of the outstanding shares of AeroGrow.</w:t>
      </w:r>
    </w:p>
    <w:p>
      <w:pPr>
        <w:spacing w:after="0" w:line="71"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During the second quarter of fiscal 2016, we entered into a Marketing, R&amp;D and Ancillary Services Agreement (the “Services Agreement”) and a Term Loan Agreement (the “Term Loan Agreement”) with Bonnie Plants, Inc. and AFC, pursuant to which we provided financing and certain services to Bonnie’s business of planting, growing, developing, manufacturing, distributing, marketing, and selling to retail stores throughout the United States live plants, plant food, fertilizer and potting soil (the “Bonnie Business”), and that included options beginning in fiscal 2020 that provided for either (i) the Company to increase its economic interest in the Bonnie Business or (ii) AFC and Bonnie to repurchase the Company’s economic interest in the Bonnie Business (collectively, the “Bonnie Option”). On December 31, 2020, pursuant to the terms of the Contribution and Unit Purchase Agreement between us and AFC, we acquired a 50% equity interest in a newly formed joint venture with AFC (“Bonnie Plants, LLC”) in exchange for cash payments of $102.3 million, as well as non-cash investing activities that included forgiveness of our outstanding loan receivable with AFC and surrender of the Bonnie Option.</w:t>
      </w:r>
    </w:p>
    <w:p>
      <w:pPr>
        <w:spacing w:after="0" w:line="5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Refer to “NOTE 8. ACQUISITIONS AND INVESTMENTS” of the Notes to the Consolidated Financial Statements included in this Form 10-K for more information regarding these acquisitions and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8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sell our products through a direct sales force, online selling and our network of brokers and distributors primarily to home centers, mass merchandisers, warehouse clubs, large hardware chains, independent hardware stores, nurseries, garden centers, e-commerce platforms, food and drug stores, indoor gardening and hydroponic product distributors, retailers and growers.</w:t>
      </w:r>
    </w:p>
    <w:p>
      <w:pPr>
        <w:spacing w:after="0" w:line="7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majority of our shipments to customers are made via common carriers, our own private fleet or through distributors in the United States. We primarily utilize third parties to manage the key distribution centers for our consumer lawn and garden business, which are strategically located across the United States and Canada. For our Hawthorne business, we primarily self-manage distribution centers across the United States and Canada. Growing media products are generally shipped direct-to-store without passing through a distribution center.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01"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resin and urea, to improve cost predictability and control. Sufficient raw materials were available during fiscal 2021.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Trade Secrets and Licenses</w:t>
      </w:r>
    </w:p>
    <w:p>
      <w:pPr>
        <w:spacing w:after="0" w:line="88" w:lineRule="exact"/>
        <w:rPr>
          <w:sz w:val="20"/>
          <w:szCs w:val="20"/>
          <w:color w:val="auto"/>
        </w:rPr>
      </w:pPr>
    </w:p>
    <w:p>
      <w:pPr>
        <w:jc w:val="both"/>
        <w:ind w:firstLine="434"/>
        <w:spacing w:after="0" w:line="274" w:lineRule="auto"/>
        <w:rPr>
          <w:sz w:val="20"/>
          <w:szCs w:val="20"/>
          <w:color w:val="auto"/>
        </w:rPr>
      </w:pPr>
      <w:r>
        <w:rPr>
          <w:rFonts w:ascii="Arial" w:cs="Arial" w:eastAsia="Arial" w:hAnsi="Arial"/>
          <w:sz w:val="15"/>
          <w:szCs w:val="15"/>
          <w:color w:val="auto"/>
        </w:rPr>
        <w:t>We believe that our trademarks, patents, trade secrets and licenses provide us with significant competitive advantages. We pursue a vigorous trademark protection strategy consisting of registration, renewal and maintenance of key trademarks and proactive monitoring and enforcement activities to protect against infringement. The Scotts</w:t>
      </w:r>
      <w:r>
        <w:rPr>
          <w:rFonts w:ascii="Arial" w:cs="Arial" w:eastAsia="Arial" w:hAnsi="Arial"/>
          <w:sz w:val="19"/>
          <w:szCs w:val="19"/>
          <w:color w:val="auto"/>
          <w:vertAlign w:val="superscript"/>
        </w:rPr>
        <w:t>®</w:t>
      </w:r>
      <w:r>
        <w:rPr>
          <w:rFonts w:ascii="Arial" w:cs="Arial" w:eastAsia="Arial" w:hAnsi="Arial"/>
          <w:sz w:val="15"/>
          <w:szCs w:val="15"/>
          <w:color w:val="auto"/>
        </w:rPr>
        <w:t>, Miracle-Gro</w:t>
      </w:r>
      <w:r>
        <w:rPr>
          <w:rFonts w:ascii="Arial" w:cs="Arial" w:eastAsia="Arial" w:hAnsi="Arial"/>
          <w:sz w:val="19"/>
          <w:szCs w:val="19"/>
          <w:color w:val="auto"/>
          <w:vertAlign w:val="superscript"/>
        </w:rPr>
        <w:t>®</w:t>
      </w:r>
      <w:r>
        <w:rPr>
          <w:rFonts w:ascii="Arial" w:cs="Arial" w:eastAsia="Arial" w:hAnsi="Arial"/>
          <w:sz w:val="15"/>
          <w:szCs w:val="15"/>
          <w:color w:val="auto"/>
        </w:rPr>
        <w:t>, Ortho</w:t>
      </w:r>
      <w:r>
        <w:rPr>
          <w:rFonts w:ascii="Arial" w:cs="Arial" w:eastAsia="Arial" w:hAnsi="Arial"/>
          <w:sz w:val="19"/>
          <w:szCs w:val="19"/>
          <w:color w:val="auto"/>
          <w:vertAlign w:val="superscript"/>
        </w:rPr>
        <w:t>®</w:t>
      </w:r>
      <w:r>
        <w:rPr>
          <w:rFonts w:ascii="Arial" w:cs="Arial" w:eastAsia="Arial" w:hAnsi="Arial"/>
          <w:sz w:val="15"/>
          <w:szCs w:val="15"/>
          <w:color w:val="auto"/>
        </w:rPr>
        <w:t>, Tomcat</w:t>
      </w:r>
      <w:r>
        <w:rPr>
          <w:rFonts w:ascii="Arial" w:cs="Arial" w:eastAsia="Arial" w:hAnsi="Arial"/>
          <w:sz w:val="19"/>
          <w:szCs w:val="19"/>
          <w:color w:val="auto"/>
          <w:vertAlign w:val="superscript"/>
        </w:rPr>
        <w:t>®</w:t>
      </w:r>
      <w:r>
        <w:rPr>
          <w:rFonts w:ascii="Arial" w:cs="Arial" w:eastAsia="Arial" w:hAnsi="Arial"/>
          <w:sz w:val="15"/>
          <w:szCs w:val="15"/>
          <w:color w:val="auto"/>
        </w:rPr>
        <w:t>, Hyponex</w:t>
      </w:r>
      <w:r>
        <w:rPr>
          <w:rFonts w:ascii="Arial" w:cs="Arial" w:eastAsia="Arial" w:hAnsi="Arial"/>
          <w:sz w:val="19"/>
          <w:szCs w:val="19"/>
          <w:color w:val="auto"/>
          <w:vertAlign w:val="superscript"/>
        </w:rPr>
        <w:t>®</w:t>
      </w:r>
      <w:r>
        <w:rPr>
          <w:rFonts w:ascii="Arial" w:cs="Arial" w:eastAsia="Arial" w:hAnsi="Arial"/>
          <w:sz w:val="15"/>
          <w:szCs w:val="15"/>
          <w:color w:val="auto"/>
        </w:rPr>
        <w:t>, Earthgro</w:t>
      </w:r>
      <w:r>
        <w:rPr>
          <w:rFonts w:ascii="Arial" w:cs="Arial" w:eastAsia="Arial" w:hAnsi="Arial"/>
          <w:sz w:val="19"/>
          <w:szCs w:val="19"/>
          <w:color w:val="auto"/>
          <w:vertAlign w:val="superscript"/>
        </w:rPr>
        <w:t>®</w:t>
      </w:r>
      <w:r>
        <w:rPr>
          <w:rFonts w:ascii="Arial" w:cs="Arial" w:eastAsia="Arial" w:hAnsi="Arial"/>
          <w:sz w:val="15"/>
          <w:szCs w:val="15"/>
          <w:color w:val="auto"/>
        </w:rPr>
        <w:t>, General Hydroponics</w:t>
      </w:r>
      <w:r>
        <w:rPr>
          <w:rFonts w:ascii="Arial" w:cs="Arial" w:eastAsia="Arial" w:hAnsi="Arial"/>
          <w:sz w:val="19"/>
          <w:szCs w:val="19"/>
          <w:color w:val="auto"/>
          <w:vertAlign w:val="superscript"/>
        </w:rPr>
        <w:t>®</w:t>
      </w:r>
      <w:r>
        <w:rPr>
          <w:rFonts w:ascii="Arial" w:cs="Arial" w:eastAsia="Arial" w:hAnsi="Arial"/>
          <w:sz w:val="15"/>
          <w:szCs w:val="15"/>
          <w:color w:val="auto"/>
        </w:rPr>
        <w:t>, Gavita</w:t>
      </w:r>
      <w:r>
        <w:rPr>
          <w:rFonts w:ascii="Arial" w:cs="Arial" w:eastAsia="Arial" w:hAnsi="Arial"/>
          <w:sz w:val="19"/>
          <w:szCs w:val="19"/>
          <w:color w:val="auto"/>
          <w:vertAlign w:val="superscript"/>
        </w:rPr>
        <w:t>®</w:t>
      </w:r>
      <w:r>
        <w:rPr>
          <w:rFonts w:ascii="Arial" w:cs="Arial" w:eastAsia="Arial" w:hAnsi="Arial"/>
          <w:sz w:val="15"/>
          <w:szCs w:val="15"/>
          <w:color w:val="auto"/>
        </w:rPr>
        <w:t>, Botanicare</w:t>
      </w:r>
      <w:r>
        <w:rPr>
          <w:rFonts w:ascii="Arial" w:cs="Arial" w:eastAsia="Arial" w:hAnsi="Arial"/>
          <w:sz w:val="19"/>
          <w:szCs w:val="19"/>
          <w:color w:val="auto"/>
          <w:vertAlign w:val="superscript"/>
        </w:rPr>
        <w:t>®</w:t>
      </w:r>
      <w:r>
        <w:rPr>
          <w:rFonts w:ascii="Arial" w:cs="Arial" w:eastAsia="Arial" w:hAnsi="Arial"/>
          <w:sz w:val="15"/>
          <w:szCs w:val="15"/>
          <w:color w:val="auto"/>
        </w:rPr>
        <w:t>, Agrolux</w:t>
      </w:r>
      <w:r>
        <w:rPr>
          <w:rFonts w:ascii="Arial" w:cs="Arial" w:eastAsia="Arial" w:hAnsi="Arial"/>
          <w:sz w:val="19"/>
          <w:szCs w:val="19"/>
          <w:color w:val="auto"/>
          <w:vertAlign w:val="superscript"/>
        </w:rPr>
        <w:t>®</w:t>
      </w:r>
      <w:r>
        <w:rPr>
          <w:rFonts w:ascii="Arial" w:cs="Arial" w:eastAsia="Arial" w:hAnsi="Arial"/>
          <w:sz w:val="15"/>
          <w:szCs w:val="15"/>
          <w:color w:val="auto"/>
        </w:rPr>
        <w:t>, Sun System</w:t>
      </w:r>
      <w:r>
        <w:rPr>
          <w:rFonts w:ascii="Arial" w:cs="Arial" w:eastAsia="Arial" w:hAnsi="Arial"/>
          <w:sz w:val="19"/>
          <w:szCs w:val="19"/>
          <w:color w:val="auto"/>
          <w:vertAlign w:val="superscript"/>
        </w:rPr>
        <w:t>®</w:t>
      </w:r>
      <w:r>
        <w:rPr>
          <w:rFonts w:ascii="Arial" w:cs="Arial" w:eastAsia="Arial" w:hAnsi="Arial"/>
          <w:sz w:val="15"/>
          <w:szCs w:val="15"/>
          <w:color w:val="auto"/>
        </w:rPr>
        <w:t>, Mother Earth</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and Can-Filters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 names and logos, as well as a number of product trademarks, including Turf Builder</w:t>
      </w:r>
      <w:r>
        <w:rPr>
          <w:rFonts w:ascii="Arial" w:cs="Arial" w:eastAsia="Arial" w:hAnsi="Arial"/>
          <w:sz w:val="19"/>
          <w:szCs w:val="19"/>
          <w:color w:val="auto"/>
          <w:vertAlign w:val="superscript"/>
        </w:rPr>
        <w:t>®</w:t>
      </w:r>
      <w:r>
        <w:rPr>
          <w:rFonts w:ascii="Arial" w:cs="Arial" w:eastAsia="Arial" w:hAnsi="Arial"/>
          <w:sz w:val="15"/>
          <w:szCs w:val="15"/>
          <w:color w:val="auto"/>
        </w:rPr>
        <w:t>, EZ Seed</w:t>
      </w:r>
      <w:r>
        <w:rPr>
          <w:rFonts w:ascii="Arial" w:cs="Arial" w:eastAsia="Arial" w:hAnsi="Arial"/>
          <w:sz w:val="19"/>
          <w:szCs w:val="19"/>
          <w:color w:val="auto"/>
          <w:vertAlign w:val="superscript"/>
        </w:rPr>
        <w:t>®</w:t>
      </w:r>
      <w:r>
        <w:rPr>
          <w:rFonts w:ascii="Arial" w:cs="Arial" w:eastAsia="Arial" w:hAnsi="Arial"/>
          <w:sz w:val="15"/>
          <w:szCs w:val="15"/>
          <w:color w:val="auto"/>
        </w:rPr>
        <w:t>, Organic Choice</w:t>
      </w:r>
      <w:r>
        <w:rPr>
          <w:rFonts w:ascii="Arial" w:cs="Arial" w:eastAsia="Arial" w:hAnsi="Arial"/>
          <w:sz w:val="19"/>
          <w:szCs w:val="19"/>
          <w:color w:val="auto"/>
          <w:vertAlign w:val="superscript"/>
        </w:rPr>
        <w:t>®</w:t>
      </w:r>
      <w:r>
        <w:rPr>
          <w:rFonts w:ascii="Arial" w:cs="Arial" w:eastAsia="Arial" w:hAnsi="Arial"/>
          <w:sz w:val="15"/>
          <w:szCs w:val="15"/>
          <w:color w:val="auto"/>
        </w:rPr>
        <w:t>, Home Defense Max</w:t>
      </w:r>
      <w:r>
        <w:rPr>
          <w:rFonts w:ascii="Arial" w:cs="Arial" w:eastAsia="Arial" w:hAnsi="Arial"/>
          <w:sz w:val="19"/>
          <w:szCs w:val="19"/>
          <w:color w:val="auto"/>
          <w:vertAlign w:val="superscript"/>
        </w:rPr>
        <w:t>®</w:t>
      </w:r>
      <w:r>
        <w:rPr>
          <w:rFonts w:ascii="Arial" w:cs="Arial" w:eastAsia="Arial" w:hAnsi="Arial"/>
          <w:sz w:val="15"/>
          <w:szCs w:val="15"/>
          <w:color w:val="auto"/>
        </w:rPr>
        <w:t>, Nature Scapes</w:t>
      </w:r>
      <w:r>
        <w:rPr>
          <w:rFonts w:ascii="Arial" w:cs="Arial" w:eastAsia="Arial" w:hAnsi="Arial"/>
          <w:sz w:val="19"/>
          <w:szCs w:val="19"/>
          <w:color w:val="auto"/>
          <w:vertAlign w:val="superscript"/>
        </w:rPr>
        <w:t>®</w:t>
      </w:r>
      <w:r>
        <w:rPr>
          <w:rFonts w:ascii="Arial" w:cs="Arial" w:eastAsia="Arial" w:hAnsi="Arial"/>
          <w:sz w:val="15"/>
          <w:szCs w:val="15"/>
          <w:color w:val="auto"/>
        </w:rPr>
        <w:t>, and Weed B Gon</w:t>
      </w:r>
      <w:r>
        <w:rPr>
          <w:rFonts w:ascii="Arial" w:cs="Arial" w:eastAsia="Arial" w:hAnsi="Arial"/>
          <w:sz w:val="19"/>
          <w:szCs w:val="19"/>
          <w:color w:val="auto"/>
          <w:vertAlign w:val="superscript"/>
        </w:rPr>
        <w:t>®</w:t>
      </w:r>
      <w:r>
        <w:rPr>
          <w:rFonts w:ascii="Arial" w:cs="Arial" w:eastAsia="Arial" w:hAnsi="Arial"/>
          <w:sz w:val="15"/>
          <w:szCs w:val="15"/>
          <w:color w:val="auto"/>
        </w:rPr>
        <w:t xml:space="preserve"> are registered in the United States and/or internationally and are considered material to our business.</w:t>
      </w:r>
    </w:p>
    <w:p>
      <w:pPr>
        <w:spacing w:after="0" w:line="3"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In addition, we actively develop and maintain an extensive portfolio of utility and design patents covering a variety of subject matters and technologies relevant to the business such as fertilizer, weed killer, chemical and growing media compositions and processes; grass seed varieties; mechanical dispensing devices such as applicators, spreaders and sprayers; lighting applications; and hydroponic growing systems.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electrical and mechanical devices. Although our portfolio of trade secrets, patents and patent licenses is important to our success, no single trade secret, patent or group of related patents, alone, is considered critical to the operation of any of our business segments or the business as a whole.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10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Our North America consumer lawn and garden business is highly seasonal, with more than 75% of our annual net sales occurring in our second and third fiscal quarters combined. Our annual sales for this business are further concentrated in our second and third fiscal quarters by retailers who rely on our ability to deliver products closer to when consumers buy our products, thereby reducing retailers’ pre-season inventories.</w:t>
      </w:r>
    </w:p>
    <w:p>
      <w:pPr>
        <w:spacing w:after="0" w:line="2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anticipate significant orders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101"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 xml:space="preserve">Home Depot and Lowe’s are our two largest customers and are the only customers that individually represent more than 10% of reported consolidated net sales during any of the three most recent fiscal years. For additional details regarding significant customers, see “ITEM 1A. RISK FACTORS — Risks Related to Our Business — </w:t>
      </w:r>
      <w:r>
        <w:rPr>
          <w:rFonts w:ascii="Arial" w:cs="Arial" w:eastAsia="Arial" w:hAnsi="Arial"/>
          <w:sz w:val="16"/>
          <w:szCs w:val="16"/>
          <w:i w:val="1"/>
          <w:iCs w:val="1"/>
          <w:color w:val="auto"/>
        </w:rPr>
        <w:t>Because of the concentration of our sales to a small number of retail customers, the loss of one or more of, or a significant reduction in</w:t>
      </w:r>
      <w:r>
        <w:rPr>
          <w:rFonts w:ascii="Arial" w:cs="Arial" w:eastAsia="Arial" w:hAnsi="Arial"/>
          <w:sz w:val="16"/>
          <w:szCs w:val="16"/>
          <w:color w:val="auto"/>
        </w:rPr>
        <w:t xml:space="preserve"> </w:t>
      </w:r>
      <w:r>
        <w:rPr>
          <w:rFonts w:ascii="Arial" w:cs="Arial" w:eastAsia="Arial" w:hAnsi="Arial"/>
          <w:sz w:val="16"/>
          <w:szCs w:val="16"/>
          <w:i w:val="1"/>
          <w:iCs w:val="1"/>
          <w:color w:val="auto"/>
        </w:rPr>
        <w:t>orders from, our top customers could adversely affect our financial results</w:t>
      </w:r>
      <w:r>
        <w:rPr>
          <w:rFonts w:ascii="Arial" w:cs="Arial" w:eastAsia="Arial" w:hAnsi="Arial"/>
          <w:sz w:val="16"/>
          <w:szCs w:val="16"/>
          <w:color w:val="auto"/>
        </w:rPr>
        <w:t>” of this Annual Report on Form 10-K and “NOTE 21. SEGMENT</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of the Notes to Consolidated Financial Statements included in this Annual Report on Form 10-K.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markets in which we sell our products are highly competitive. We compete primarily on the basis of brand strength, product innovation, product quality, product performance, advertising, value, supply chain competency, field sales support, in-store sales support and the strength of our relationships with major retailers and distributors.</w:t>
      </w:r>
    </w:p>
    <w:p>
      <w:pPr>
        <w:spacing w:after="0" w:line="58"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In the lawn and garden, pest control and indoor gardening and hydroponic markets, our products compete against private-label as well as branded products. Primary competitors include Spectrum Brands Holdings, Inc., Central Garden &amp; Pet Company, Enforcer Products, Inc., Kellogg Garden Products, Oldcastle Retail, Inc., Lebanon Seaboard Corporation, Reckitt Benckiser Group plc, FoxFarm Soil &amp; Fertilizer Company, Nanolux Technology, Inc., Sun Gro Horticulture, Inc., Advanced Nutrients, Ltd. and Hydrofarm Holdings Group, Inc. In addition, we face competition from smaller regional competitors that operate in many of the areas where we compete.</w:t>
      </w:r>
    </w:p>
    <w:p>
      <w:pPr>
        <w:spacing w:after="0" w:line="74" w:lineRule="exact"/>
        <w:rPr>
          <w:sz w:val="20"/>
          <w:szCs w:val="20"/>
          <w:color w:val="auto"/>
        </w:rPr>
      </w:pPr>
    </w:p>
    <w:p>
      <w:pPr>
        <w:ind w:right="220" w:firstLine="434"/>
        <w:spacing w:after="0" w:line="388" w:lineRule="auto"/>
        <w:rPr>
          <w:sz w:val="20"/>
          <w:szCs w:val="20"/>
          <w:color w:val="auto"/>
        </w:rPr>
      </w:pPr>
      <w:r>
        <w:rPr>
          <w:rFonts w:ascii="Arial" w:cs="Arial" w:eastAsia="Arial" w:hAnsi="Arial"/>
          <w:sz w:val="18"/>
          <w:szCs w:val="18"/>
          <w:color w:val="auto"/>
        </w:rPr>
        <w:t xml:space="preserve">In Canada, we face competition in the lawn and garden market from Premier Tech Ltd. and a variety of local companies including private label brands. </w:t>
      </w:r>
      <w:r>
        <w:rPr>
          <w:rFonts w:ascii="Arial" w:cs="Arial" w:eastAsia="Arial" w:hAnsi="Arial"/>
          <w:sz w:val="18"/>
          <w:szCs w:val="18"/>
          <w:b w:val="1"/>
          <w:bCs w:val="1"/>
          <w:color w:val="auto"/>
        </w:rPr>
        <w:t>Research and Development</w:t>
      </w:r>
    </w:p>
    <w:p>
      <w:pPr>
        <w:spacing w:after="0" w:line="1"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$45.4 million, $39.7 million and $39.6 million in fiscal 2021, fiscal 2020 and fiscal 2019, respectively, including product registration costs of $12.3 million, $11.0 million and $11.0 million, respectively. In addition to the benefits of our own research and development, we actively seek ways to leverage the research and development activities of our suppliers and other business partners.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88"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National, state and local laws and regulations affect the manufacture, sale, distribution, use and/or application of our products in several ways. For example, in the United States, all pesticide products must comply with the Federal Insecticide, Fungicide, and Rodenticide Act (“FIFRA”), and most pesticide products require registration with the U.S. Environmental Protection Agency (the “U.S. EPA”) and similar state agencies before they can be sold or distributed. In addition, the use of certain pesticide products is regulated by various local, state and federal environmental and/or public health agencies. These regulations may include requirements that only certified or professional users apply the product,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or categories of products altogether. Analogous regulatory regimes apply to certain pesticides that we sell or distribute in other countries.</w:t>
      </w:r>
    </w:p>
    <w:p>
      <w:pPr>
        <w:spacing w:after="0" w:line="5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Fertilizer and growing media products are also subject to state and foreign regulations, as well, some of which require registration, mandate labeling requirements, and/or govern the sale and distribution of the products. Our grass seed products are regulated in the U.S. by the Federal Seed Act and various state regulations. In addition, federal, state and foreign agencies regulate the disposal, transport, handling and storage of waste, the remediation of contaminated sites, air and water discharges from our facilities, and workplace health and safety.</w:t>
      </w:r>
    </w:p>
    <w:p>
      <w:pPr>
        <w:spacing w:after="0" w:line="7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relating to site-specific conditions and/or activities. For example, permits must be obtained in order to harvest peat and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61"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In addition, on October 18, 2021, the Biden Administration announced a multi-agency plan to address per- and polyfluoroalkyl substances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first term of the Biden Administration. It is possible that some of these actions may have an impact – direct or indirect – on our business.</w:t>
      </w:r>
    </w:p>
    <w:p>
      <w:pPr>
        <w:spacing w:after="0" w:line="4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growth and expansion of our business has expanded the regulatory oversight to which we are subject. As we enters new product categories and/or new jurisdictions, we expect there will be additional applicable federal, state and foreign regulatory considerations.</w:t>
      </w:r>
    </w:p>
    <w:p>
      <w:pPr>
        <w:spacing w:after="0" w:line="6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 xml:space="preserve">For more information regarding how compliance with local, state, federal and foreign laws and regulations may affect us, see “ITEM 1A. RISK FACTORS — Risks Related to Regulation of Our Company — </w:t>
      </w:r>
      <w:r>
        <w:rPr>
          <w:rFonts w:ascii="Arial" w:cs="Arial" w:eastAsia="Arial" w:hAnsi="Arial"/>
          <w:sz w:val="18"/>
          <w:szCs w:val="18"/>
          <w:i w:val="1"/>
          <w:iCs w:val="1"/>
          <w:color w:val="auto"/>
        </w:rPr>
        <w:t>Compliance with environmental and other public health regulations or changes in such</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regulations or regulatory enforcement priorities could increase our costs of doing business or limit our ability to market all of our products</w:t>
      </w:r>
      <w:r>
        <w:rPr>
          <w:rFonts w:ascii="Arial" w:cs="Arial" w:eastAsia="Arial" w:hAnsi="Arial"/>
          <w:sz w:val="18"/>
          <w:szCs w:val="18"/>
          <w:color w:val="auto"/>
        </w:rPr>
        <w:t>”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8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We are subject to various environmental proceedings, the majority of which are for site remediation. At September 30, 2021, $3.6 million was accrued for such environmental matters. During fiscal 2021, fiscal 2020 and fiscal 2019, we expensed $0.5 million, $0.5 million and $1.4 million, respectively, for such environmental matters. We had no material capital expenditures during the last three fiscal years related to environmental or regulatory matters.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believe our culture and commitment to our associates provides unique value to us and our shareholders. Every associate, and every job, is important to our success and helping us achieve our purpose. We seek to create an environment that values the health, safety and wellness of our teams, and we work to equip them with the knowledge and skills to serve our business and develop in their careers.</w:t>
      </w:r>
    </w:p>
    <w:p>
      <w:pPr>
        <w:spacing w:after="0" w:line="71"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This discussion includes information regarding human capital matters that we believe may be of interest to shareholders generally. We recognize that certain other stakeholders (such as customers, employees and non-governmental organizations), as well as certain of our shareholders, may be interested in more detailed information on these topics. We encourage you to review the “People” section of our 2021 Corporate Responsibility Report, located in the Investor Relations section of our website at www.scottsmiraclegro.com, for more detailed information regarding our human capital programs and initiatives.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Associates</w:t>
      </w:r>
    </w:p>
    <w:p>
      <w:pPr>
        <w:spacing w:after="0" w:line="8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As of September 30, 2021, we employed approximately 7,300 employees worldwide. During peak sales and production periods in fiscal 2021, our personnel (all approximate) numbered 8,800, comprised of 7,400 associates including seasonal associates, with the remaining 1,400 consisting of temporary labor. During fiscal 2021, we employed a total of 2,400 full-time and seasonal in-store associates within the United States to help our retail partners merchandise their lawn and garden departments directly to consumers of our products.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Engagement</w:t>
      </w:r>
    </w:p>
    <w:p>
      <w:pPr>
        <w:spacing w:after="0" w:line="9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utilize engagement surveys to develop action plans, invite external thought leaders to speak on topics of importance and provide forums for associates to dialogue with leadership and develop together. In addition, our leadership team also holds regular town hall meetings to share and receive information with our associates.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 Resource Groups</w:t>
      </w:r>
    </w:p>
    <w:p>
      <w:pPr>
        <w:spacing w:after="0" w:line="9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Our Employee Resource Groups (“ERGs”) are voluntary, associate-led groups usually formed by people with a common affinity such as gender, race, national origin, sexual orientation, military status or other attributes. Each ERG establishes a mission to positively impact the business. ERGs are open to any associate regardless of race, national origin or other demographics. Our ERGs consist of the Scotts Women’s Network, the Scotts Black Employees Network, the Scotts Veterans Network, the Scotts Young Professionals, Scotts GroPride, Scotts Associates for a Greener Earth and Scotts Family Tree.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Diversity</w:t>
      </w:r>
    </w:p>
    <w:p>
      <w:pPr>
        <w:spacing w:after="0" w:line="9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We foster a safe, healthy and inclusive workplace culture that permits all associates to thrive. This means cultivating a diverse and inclusive workplace that reflects the communities where we operate. We value our associates’ diversity from gender, race, national origin and sexual orientation to thoughts, interests, languages and beliefs. We encourage associates to leverage their varied life experiences to build a strong organization.</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Training and Professional Development</w:t>
      </w:r>
    </w:p>
    <w:p>
      <w:pPr>
        <w:spacing w:after="0" w:line="82"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Training is an integral part of developing and retaining our associates and creating a culture of leadership within the Company. As part of our standard onboarding program, associates take more than 10 hours of training covering our commitment to leadership, ethics and our values. We also train all of our associates on important environmental health and safety topics to help ensure we protect our people and our environment as we operate our business. Associates are encouraged to participate in a variety of Company provided learning resources including: online business skills courses; onsite classroom events; professional development events; external training programs based on individual needs; business-led enterprise leader learning events; and a tuition assistance program.</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95" w:lineRule="exact"/>
        <w:rPr>
          <w:sz w:val="20"/>
          <w:szCs w:val="20"/>
          <w:color w:val="auto"/>
        </w:rPr>
      </w:pPr>
    </w:p>
    <w:p>
      <w:pPr>
        <w:jc w:val="both"/>
        <w:ind w:firstLine="434"/>
        <w:spacing w:after="0" w:line="306" w:lineRule="auto"/>
        <w:rPr>
          <w:sz w:val="20"/>
          <w:szCs w:val="20"/>
          <w:color w:val="auto"/>
        </w:rPr>
      </w:pPr>
      <w:r>
        <w:rPr>
          <w:rFonts w:ascii="Arial" w:cs="Arial" w:eastAsia="Arial" w:hAnsi="Arial"/>
          <w:sz w:val="15"/>
          <w:szCs w:val="15"/>
          <w:color w:val="auto"/>
        </w:rPr>
        <w:t>Our commitment to our associates starts with benefit and compensation programs that value the contributions our associates make and offers physical, financial and personal health programs to associates and their families. We recognize financial stability is a critical component to our associates’ well-being. In addition to competitive pay, we offer a generous 401(k) match and other performance-based financial programs for our associates who are not incentive-eligible. Our physical health programs, like our medical and dental coverage, help our associates to feel their best on the job and at home. Associates and their families at our Marysville, Ohio location can utilize our wellness center and we reimburse fitness club memberships for associates at other locations. A newly launched cancer support program provides associates and their families access to resources to help them through the cancer experience as a patient or caregiver.</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Specific examples of our commitment to our associates include:</w:t>
      </w:r>
    </w:p>
    <w:p>
      <w:pPr>
        <w:spacing w:after="0" w:line="161" w:lineRule="exact"/>
        <w:rPr>
          <w:sz w:val="20"/>
          <w:szCs w:val="20"/>
          <w:color w:val="auto"/>
        </w:rPr>
      </w:pPr>
    </w:p>
    <w:p>
      <w:pPr>
        <w:ind w:left="1100" w:hanging="622"/>
        <w:spacing w:after="0" w:line="324" w:lineRule="auto"/>
        <w:tabs>
          <w:tab w:leader="none" w:pos="109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decision to allocate a percentage of the savings from the 2019 Tax Cuts and Jobs Act to associates by increasing our 401(k) company match. Our 401(k) participation rate at the end of fiscal 2021 was 91% for our full-time non-seasonal associates.</w:t>
      </w:r>
    </w:p>
    <w:p>
      <w:pPr>
        <w:spacing w:after="0" w:line="81" w:lineRule="exact"/>
        <w:rPr>
          <w:rFonts w:ascii="Arial" w:cs="Arial" w:eastAsia="Arial" w:hAnsi="Arial"/>
          <w:sz w:val="16"/>
          <w:szCs w:val="16"/>
          <w:color w:val="auto"/>
        </w:rPr>
      </w:pPr>
    </w:p>
    <w:p>
      <w:pPr>
        <w:ind w:left="1100" w:hanging="622"/>
        <w:spacing w:after="0" w:line="324" w:lineRule="auto"/>
        <w:tabs>
          <w:tab w:leader="none" w:pos="10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established an annual 401(k) profit-sharing matching program whereby if we reach or exceed profitability targets in a given year, certain U.S. associates not eligible for annual bonuses may receive a 401(k) profit-sharing matching contribution early the following year.</w:t>
      </w:r>
    </w:p>
    <w:p>
      <w:pPr>
        <w:spacing w:after="0" w:line="81" w:lineRule="exact"/>
        <w:rPr>
          <w:rFonts w:ascii="Arial" w:cs="Arial" w:eastAsia="Arial" w:hAnsi="Arial"/>
          <w:sz w:val="16"/>
          <w:szCs w:val="16"/>
          <w:color w:val="auto"/>
        </w:rPr>
      </w:pPr>
    </w:p>
    <w:p>
      <w:pPr>
        <w:ind w:left="1100" w:hanging="622"/>
        <w:spacing w:after="0" w:line="324" w:lineRule="auto"/>
        <w:tabs>
          <w:tab w:leader="none" w:pos="109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make ownership of Company stock a reality for as many of our associates as possible through our Discounted Stock Purchase Program (“DSPP”). The DSPP provides a unique opportunity for our associates to buy our Common Shares at a 15% discount.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9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We have several health and safety programs in place to help protect our associates. Our Environmental Health and Safety (“EHS”) management system is one tool that we use to promote the health and safety of our employees. We have a behavioral based safety program where our associates can submit concerns over unsafe conditions or share feedback when they observe unsafe work behaviors. We are focused on tracking and improving the industrial hygiene at our plants. This includes identifying opportunities to reduce workplace hazards and potential exposures in the work environment per Occupational Safety and Health Administration (“OSHA”) standards.</w:t>
      </w:r>
    </w:p>
    <w:p>
      <w:pPr>
        <w:spacing w:after="0" w:line="6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For example, our Centennial plant in Vancouver, Washington, which opened in 2018, provides a cool, well-ventilated working environment filled with natural light that associates report contributes positively to their well-being. We are embarking on a multi-year capital improvement project at our largest manufacturing facility in Marysville, Ohio, where the upgrades will support our growth while also enhancing the health and safety of our frontline associates.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Systems</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understand the critical nature of measurable data and insights from a human capital perspective. We leverage a cloud-based human capital management software solution that unifies our wide range of human relations functionality onto one single platform. This allows support for the entire enterprise with qualitative and quantitative analytics specific to associate transactions, processes and programs, thereby creating a culture where data and analytics are the norm.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All of our stakeholders are essential to our business – shareholders, customers, suppliers, employees, communities as well as the environment and society. We are working to make our workforce more inclusive, our business more sustainable, and our communities more engaged by maintaining strong environmental, social and governance (“ESG”) practices.</w:t>
      </w:r>
    </w:p>
    <w:p>
      <w:pPr>
        <w:spacing w:after="0" w:line="58"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In fiscal 2021, we demonstrated our ongoing ESG commitment by publishing our 10th Corporate Responsibility Report, prepared in accordance with the Global Reporting Initiative (“GRI”) Standards: Core option. This report provides detailed information regarding our ESG strategy, focus areas and governance structure. The Company’s ESG focus areas are Product Stewardship and Safety, Operations and Supply Chain, Associate Engagement and Wellness, Community Engagement and Governance and Transparency. The Company is developing a regime for benchmarking, goal setting and continuous improvement around these focus areas.</w:t>
      </w:r>
    </w:p>
    <w:p>
      <w:pPr>
        <w:spacing w:after="0" w:line="74"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In addition, we published several ESG-related policies and statements on our corporate website, which can be found at https://scottsmiraclegro.com/environmental-social-and-governance. These policies and statements address environmental, health and safety and human rights concerns. Further ESG initiatives in fiscal 2021 included responding to the Carbon Disclosure Project’s climate questionnaire, completing the S&amp;P Corporate Sustainability Assessment and participation in the Human Rights Campaign’s Corporate Equality Index annual benchmarking survey.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and General Information</w:t>
      </w:r>
    </w:p>
    <w:p>
      <w:pPr>
        <w:spacing w:after="0" w:line="88"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We maintain a website at http://investor.scotts.com. Information on our websites will not be deemed incorporated by reference into, and do not form any part of, this Form 10-K or any other report or document that we file with or furnish to the SEC. We file reports with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8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1"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2021 Annual Report to Shareholders (our “2021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43"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Forward-looking statements contained in this Annual Report on Form 10-K and our 2021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7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forward-looking statements that we make in this Annual Report on Form 10-K and our 2021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167" w:lineRule="exact"/>
        <w:rPr>
          <w:sz w:val="20"/>
          <w:szCs w:val="20"/>
          <w:color w:val="auto"/>
        </w:rPr>
      </w:pPr>
    </w:p>
    <w:p>
      <w:pPr>
        <w:jc w:val="both"/>
        <w:ind w:firstLine="197"/>
        <w:spacing w:after="0" w:line="356" w:lineRule="auto"/>
        <w:rPr>
          <w:sz w:val="20"/>
          <w:szCs w:val="20"/>
          <w:color w:val="auto"/>
        </w:rPr>
      </w:pPr>
      <w:r>
        <w:rPr>
          <w:rFonts w:ascii="Arial" w:cs="Arial" w:eastAsia="Arial" w:hAnsi="Arial"/>
          <w:sz w:val="15"/>
          <w:szCs w:val="15"/>
          <w:b w:val="1"/>
          <w:bCs w:val="1"/>
          <w:i w:val="1"/>
          <w:iCs w:val="1"/>
          <w:color w:val="auto"/>
        </w:rPr>
        <w:t>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p>
    <w:p>
      <w:pPr>
        <w:spacing w:after="0" w:line="1"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8"/>
          <w:szCs w:val="18"/>
          <w:color w:val="auto"/>
        </w:rPr>
        <w:t>The World Health Organization recognized COVID-19 as a public health emergency of international concern on January 30, 2020 and as a global pandemic on March 11, 2020. Public health responses have included national pandemic preparedness and response plans, travel restrictions, quarantines, curfews, event postponements and cancellations and closures of facilities including local schools and businesses. There have been increases in COVID-19 cases in many areas caused by a combination of the potentially more contagious “Delta” variant of the virus, as well as vaccine hesitancy and low vaccination rates in many areas of the U.S. This development increases the possibility of further shutdowns, production delays, staffing and resource challenges which could materially harm our financial condition and results of operations. The global pandemic and actions taken to contain COVID-19 have disrupted the global economy and financial markets.</w:t>
      </w:r>
    </w:p>
    <w:p>
      <w:pPr>
        <w:spacing w:after="0" w:line="66"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While we believe that these efforts should enable us to maintain our operations during the COVID-19 pandemic, we can provide no assurance that we will be able to do so as a result of the unpredictability of the ultimate impact of the COVID-19 pandemic, including the responses of local, state, federal and foreign governmental authorities to the pandemic.</w:t>
      </w:r>
    </w:p>
    <w:p>
      <w:pPr>
        <w:spacing w:after="0" w:line="53"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extent to which the COVID-19 pandemic will ultimately impact our business, results of operations, financial condition and cash flows depends on future developments that are highly uncertain, rapidly evolving and difficult to predict at this time, including:</w:t>
      </w:r>
    </w:p>
    <w:p>
      <w:pPr>
        <w:spacing w:after="0" w:line="62" w:lineRule="exact"/>
        <w:rPr>
          <w:sz w:val="20"/>
          <w:szCs w:val="20"/>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spread and intensity of the pandemic;</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usage and effectiveness of vaccines or alternative treatments;</w:t>
      </w:r>
    </w:p>
    <w:p>
      <w:pPr>
        <w:spacing w:after="0" w:line="95" w:lineRule="exact"/>
        <w:rPr>
          <w:rFonts w:ascii="Arial" w:cs="Arial" w:eastAsia="Arial" w:hAnsi="Arial"/>
          <w:sz w:val="18"/>
          <w:szCs w:val="18"/>
          <w:color w:val="auto"/>
        </w:rPr>
      </w:pPr>
    </w:p>
    <w:p>
      <w:pPr>
        <w:jc w:val="both"/>
        <w:ind w:left="640" w:hanging="319"/>
        <w:spacing w:after="0" w:line="299"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of our suppliers, contract manufacturers, contractors and third-party logistics providers to meet their obligations to us (including supplying us with essential raw materials, components and finished products, or shipping finished goods to customers) on a timely basis and at previously anticipated costs without significant disruption, and our ability to identify alternative sources of materials and services, if necessary;</w:t>
      </w:r>
    </w:p>
    <w:p>
      <w:pPr>
        <w:spacing w:after="0" w:line="35" w:lineRule="exact"/>
        <w:rPr>
          <w:rFonts w:ascii="Arial" w:cs="Arial" w:eastAsia="Arial" w:hAnsi="Arial"/>
          <w:sz w:val="16"/>
          <w:szCs w:val="16"/>
          <w:color w:val="auto"/>
        </w:rPr>
      </w:pPr>
    </w:p>
    <w:p>
      <w:pPr>
        <w:jc w:val="both"/>
        <w:ind w:left="640" w:hanging="319"/>
        <w:spacing w:after="0" w:line="252"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continue to meet our customers’ needs in the event of the suspension or interruption of essential elements of our manufacturing and supply arrangements and activities such as the continued availability of raw materials, transportation, labor and production capacity and at previously anticipated costs;</w:t>
      </w:r>
    </w:p>
    <w:p>
      <w:pPr>
        <w:spacing w:after="0" w:line="57" w:lineRule="exact"/>
        <w:rPr>
          <w:rFonts w:ascii="Arial" w:cs="Arial" w:eastAsia="Arial" w:hAnsi="Arial"/>
          <w:sz w:val="18"/>
          <w:szCs w:val="18"/>
          <w:color w:val="auto"/>
        </w:rPr>
      </w:pPr>
    </w:p>
    <w:p>
      <w:pPr>
        <w:ind w:left="640" w:hanging="319"/>
        <w:spacing w:after="0" w:line="324"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effect of the COVID-19 pandemic on our customers (including retailers and distributors), including their ability to remain open, continue to sell our products, pay for the products purchased from us on a timely basis or at all and collect payment from their customers;</w:t>
      </w:r>
    </w:p>
    <w:p>
      <w:pPr>
        <w:spacing w:after="0" w:line="15" w:lineRule="exact"/>
        <w:rPr>
          <w:rFonts w:ascii="Arial" w:cs="Arial" w:eastAsia="Arial" w:hAnsi="Arial"/>
          <w:sz w:val="16"/>
          <w:szCs w:val="16"/>
          <w:color w:val="auto"/>
        </w:rPr>
      </w:pPr>
    </w:p>
    <w:p>
      <w:pPr>
        <w:ind w:left="640" w:hanging="319"/>
        <w:spacing w:after="0" w:line="324" w:lineRule="auto"/>
        <w:tabs>
          <w:tab w:leader="none" w:pos="63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impact of the COVID-19 pandemic on the financial and credit markets and economic activity generally, including our ability to maintain compliance with financial covenants, access lending, capital markets, and other sources of liquidity when needed on reasonable terms or at all;</w:t>
      </w:r>
    </w:p>
    <w:p>
      <w:pPr>
        <w:spacing w:after="0" w:line="15" w:lineRule="exact"/>
        <w:rPr>
          <w:rFonts w:ascii="Arial" w:cs="Arial" w:eastAsia="Arial" w:hAnsi="Arial"/>
          <w:sz w:val="16"/>
          <w:szCs w:val="16"/>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higher costs of labor, commodities, components, parts and accessories and/or transportation related costs;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 attrition resulting from vaccine mandates; and</w:t>
      </w:r>
    </w:p>
    <w:p>
      <w:pPr>
        <w:spacing w:after="0" w:line="95" w:lineRule="exact"/>
        <w:rPr>
          <w:rFonts w:ascii="Arial" w:cs="Arial" w:eastAsia="Arial" w:hAnsi="Arial"/>
          <w:sz w:val="18"/>
          <w:szCs w:val="18"/>
          <w:color w:val="auto"/>
        </w:rPr>
      </w:pPr>
    </w:p>
    <w:p>
      <w:pPr>
        <w:jc w:val="both"/>
        <w:ind w:left="640" w:hanging="319"/>
        <w:spacing w:after="0" w:line="249"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demand for our products, which may be impacted by, among other things, the temporary inability of consumers to purchase our products due to illness, quarantine, travel restrictions or financial hardship, shifts in short- or long-term consumer behavior including moving from one or more of our more discretionary and profitable products to less profitable products, or stockpiling and similar pantry-loading activity that could negatively impact future demand.</w:t>
      </w:r>
    </w:p>
    <w:p>
      <w:pPr>
        <w:spacing w:after="0" w:line="74"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Negative developments with respect to any of these items could have a material adverse effect on our business, results of operations, financial condition and/or cash flows.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62"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If we overestimate or underestimate both channel and retail demand for any of our products during a given season, we may not maintain appropriate inventory levels, which could negatively impact our net sales, profit margins, net earnings, and/or working capital, hinder our ability to meet customer demand, result in loss of customers, or cause us to incur excess and obsolete inventory charges.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effectively execute our e-commerce business, our reputation and operating results may be harmed.</w:t>
      </w:r>
    </w:p>
    <w:p>
      <w:pPr>
        <w:spacing w:after="0" w:line="8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We sell certain of our products over the Internet through our online store and other e-commerce retail platforms, which represents a growing percentage of our overall net sales. The success of our e-commerce business depends on our investment in these platforms, consumer preferences and buying trends relating to e-commerce, and our ability to both maintain the continuous operation of our online store and our fulfillment operations that support both our own and retail e-commerce platforms. It is essential that these platforms provide a shopping experience that will generate orders and return visits to the respective platforms.</w:t>
      </w:r>
    </w:p>
    <w:p>
      <w:pPr>
        <w:spacing w:after="0" w:line="74"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51"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8"/>
          <w:szCs w:val="18"/>
          <w:color w:val="auto"/>
        </w:rPr>
        <w:t>Additionally, the success of our e-commerce business and the satisfaction of our consumers depend on their timely receipt of our products.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fire or other natural disaster, we could face shortages of inventory, resulting in out of stock conditions in our online store, and we could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successfully develop new product lines and products or improve existing product lines and products.</w:t>
      </w:r>
    </w:p>
    <w:p>
      <w:pPr>
        <w:spacing w:after="0" w:line="82"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Our future success depends on creating and successfully competing in markets for our products including our ability to improve our existing product lines and products and to develop and manufacture new product lines and products to meet evolving consumer needs. We cannot provide any assurance that we will be successful in developing and manufacturing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5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We invest substantial resources in advertising, consumer promotions and other marketing activities to maintain, extend and expand our brand image. There can be no assurances that our marketing strategies will be effective or that the amount we invest in advertising activities will result in a corresponding increase in sales of our products. If our marketing initiatives are not successful, including our ability to leverage new media such as digital media and social networks to reach existing and potential customers, we will have incurred significant expenses without the benefit of higher revenues.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 Our inability to continue to develop and grow brands with leading market positions, maintain our relationships with key retailers and deliver high quality products on a reliable basis at competitive prices could have a material adverse effect on our business.</w:t>
      </w:r>
    </w:p>
    <w:p>
      <w:pPr>
        <w:spacing w:after="0" w:line="117"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a significant reduction in orders from, our top customers could adversely affect our financial results.</w:t>
      </w:r>
    </w:p>
    <w:p>
      <w:pPr>
        <w:spacing w:after="0" w:line="49" w:lineRule="exact"/>
        <w:rPr>
          <w:sz w:val="20"/>
          <w:szCs w:val="20"/>
          <w:color w:val="auto"/>
        </w:rPr>
      </w:pPr>
    </w:p>
    <w:p>
      <w:pPr>
        <w:jc w:val="both"/>
        <w:ind w:firstLine="434"/>
        <w:spacing w:after="0" w:line="304" w:lineRule="auto"/>
        <w:rPr>
          <w:sz w:val="20"/>
          <w:szCs w:val="20"/>
          <w:color w:val="auto"/>
        </w:rPr>
      </w:pPr>
      <w:r>
        <w:rPr>
          <w:rFonts w:ascii="Arial" w:cs="Arial" w:eastAsia="Arial" w:hAnsi="Arial"/>
          <w:sz w:val="15"/>
          <w:szCs w:val="15"/>
          <w:color w:val="auto"/>
        </w:rPr>
        <w:t>Our top two retail customers together accounted for 39% of our fiscal 2021 net sales and 42% of our outstanding accounts receivable as of September 30, 2021. The loss of, or reduction in orders from, our top two retail customers, Home Depot and Lowe’s, or any other major customer for any reason (including, for example, changes in a retailer’s strategy, claims or allegations that our products or products we market on behalf of third parties are unsafe, a decline in consumer demand, regulatory, legal or other external pressures or a change in marketing strategy) could have a material adverse effect on our business, financial condition, results of operations and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3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destocking, limitations on access to shelf space, price demands and other conditions.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manufacturing operations, including our reliance on third-party manufacturers, could harm our business.</w:t>
      </w:r>
    </w:p>
    <w:p>
      <w:pPr>
        <w:spacing w:after="0" w:line="9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We may not be able to maintain or develop efficient, low-cost manufacturing capability and processes that will enable us to meet the quality, price, design and product standards or production volumes required to successfully manufacture our products. Even if we are successful in maintaining and developing our manufacturing capabilities and processes, we may not be able to do so in time to satisfy the requirements of our customers.</w:t>
      </w:r>
    </w:p>
    <w:p>
      <w:pPr>
        <w:spacing w:after="0" w:line="2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 to our customers.</w:t>
      </w:r>
    </w:p>
    <w:p>
      <w:pPr>
        <w:spacing w:after="0" w:line="74"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business is subject to risks associated with sourcing and manufacturing outside of the U.S. and risks from tariffs and/or international trade wars.</w:t>
      </w:r>
    </w:p>
    <w:p>
      <w:pPr>
        <w:spacing w:after="0" w:line="130"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We import many of our raw materials and finished goods from countries outside of the United States, including but not limited to China. Our import operations are subject to complex customs laws, regulations, tax requirements, and trade regulations, such as tariffs set by governments, either through mutual agreements or bilateral actions. Tariffs on goods imported into the U.S., particularly goods from China, have increased the cost of the goods we purchase. Additional tariffs could be imposed by the U.S. with relatively short notice to us. These governmental actions could have, and any similar future actions may have, a material adverse effect on our business, financial condition and results of operations. The overall effect of</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risks is that our costs may increase, which in turn may result in lower profitability if we are unable to offset such increases through higher prices, and/or that we may suffer a decline in sales if our customers do not accept price increases.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8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40"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6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including as a result of COVID-19, could significantly impact our capacity to produce products and service our customers in a timely manner, which could have a material adverse effect on our revenues, earnings and financial position. This is especially true for those products that we manufacture at a limited number of facilities, such as our fertilizer and liquid products.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Disruptions to transportation channels that we use to distribute our products may adversely affect our margins and profitability.</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may experience disruptions to the transportation channels used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 For example, the COVID-19 pandemic and resulting shifts in demand or changes in our extended supply chain has resulted in several disruptions and delays, as well as quantity limits and price increases, in our transportation channels.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negatively impacted by corporate citizenship and ESG matters and/or our reporting of such matters.</w:t>
      </w:r>
    </w:p>
    <w:p>
      <w:pPr>
        <w:spacing w:after="0" w:line="82"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There is an increasing focus from certain investors, customers, consumers, employees, and other stakeholders concerning corporate citizenship and sustainability matters. From time to time, we communicate certain initiatives, including goals, regarding environmental matters, responsible sourcing and social investments, including pursuant to our Corporate Responsibility Report.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13" w:lineRule="exact"/>
        <w:rPr>
          <w:sz w:val="20"/>
          <w:szCs w:val="20"/>
          <w:color w:val="auto"/>
        </w:rPr>
      </w:pPr>
    </w:p>
    <w:p>
      <w:pPr>
        <w:jc w:val="both"/>
        <w:ind w:firstLine="197"/>
        <w:spacing w:after="0" w:line="324" w:lineRule="auto"/>
        <w:rPr>
          <w:sz w:val="20"/>
          <w:szCs w:val="20"/>
          <w:color w:val="auto"/>
        </w:rPr>
      </w:pPr>
      <w:r>
        <w:rPr>
          <w:rFonts w:ascii="Arial" w:cs="Arial" w:eastAsia="Arial" w:hAnsi="Arial"/>
          <w:sz w:val="16"/>
          <w:szCs w:val="16"/>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16"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w:t>
      </w:r>
    </w:p>
    <w:p>
      <w:pPr>
        <w:spacing w:after="0" w:line="71"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36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3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gardening products, including our hydroponic gardening products, are multi-purpose products designed and intended for growing a wide range of plants and are generally purchased from retailers by end users who may grow any variety of plants, including cannabis. Although the demand for our products may be negatively impacted depending on how laws, regulations,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administrative practices, enforcement approaches, judicial interpretations, and consumer perceptions develop, we cannot reasonably predict the nature of such developments or the effect, if any, that such developments could have on our business.</w:t>
      </w:r>
    </w:p>
    <w:p>
      <w:pPr>
        <w:spacing w:after="0" w:line="128"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Our operations may be impaired if our information technology systems fail to perform adequately or if we are the subject of a data breach or cyber attack.</w:t>
      </w:r>
    </w:p>
    <w:p>
      <w:pPr>
        <w:spacing w:after="0" w:line="49"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rely on information technology systems in order to conduct business, including communicating with employees and our key retail customers, ordering and managing materials from suppliers, shipping products to retail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47"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consumers, which may result in regulatory or other legal proceedings, and have a material adverse effect on our business and reputation. We also may not have the resources or technical sophistication to anticipate or prevent rapidly-evolving types of cyber 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Climate change and unfavorable weather conditions could adversely impact financial results.</w:t>
      </w:r>
    </w:p>
    <w:p>
      <w:pPr>
        <w:spacing w:after="0" w:line="95"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Climate change continues to receive increasing global attention. The possible effects of climate change could include changes in rainfall patterns, water shortages, changing storm patterns and intensities, changing temperature levels and changes in legislation, regulation and international accords all of which could adversely impact our costs and business operations and the supply and demand for weather sensitive products such as fertilizer, garden soils and pesticide products. In addition, fluctuating climatic conditions may result in unpredictable modifications in the manner in which consumers garden or their attitudes towards gardening, making it more difficult for us to provide appropriate products to appropriate markets in time to meet consumer demand.</w:t>
      </w:r>
    </w:p>
    <w:p>
      <w:pPr>
        <w:spacing w:after="0" w:line="3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Because of the uncertainty of weather volatility related to climate change and any resulting unfavorable weather conditions, we cannot predict its potential impact on our financial condition, results of operations and cash flows.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or fuel could adversely affect our results of operations.</w:t>
      </w:r>
    </w:p>
    <w:p>
      <w:pPr>
        <w:spacing w:after="0" w:line="9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w:t>
      </w:r>
    </w:p>
    <w:p>
      <w:pPr>
        <w:spacing w:after="0" w:line="71"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6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utilize hedge agreements periodically to fix the prices of a portion of our urea, resin and fuel needs. The hedge agreements are designed to mitigate the earnings and cash flow fluctuations associated with the costs of urea, resin and fuel. In periods of declining prices, utilizing these hedge agreements may effectively increase our expenditures for these raw materials.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We operate manufacturing, sales and service facilities outside of the United States, particularly in Canada, the Netherlands and China. Accordingly, we are subject to risks associated with operating in foreign countries, including:</w:t>
      </w:r>
    </w:p>
    <w:p>
      <w:pPr>
        <w:spacing w:after="0" w:line="62" w:lineRule="exact"/>
        <w:rPr>
          <w:sz w:val="20"/>
          <w:szCs w:val="20"/>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9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94" w:lineRule="exact"/>
        <w:rPr>
          <w:sz w:val="20"/>
          <w:szCs w:val="20"/>
          <w:color w:val="auto"/>
        </w:rPr>
      </w:pPr>
    </w:p>
    <w:p>
      <w:pPr>
        <w:jc w:val="both"/>
        <w:ind w:firstLine="197"/>
        <w:spacing w:after="0" w:line="208" w:lineRule="auto"/>
        <w:rPr>
          <w:sz w:val="20"/>
          <w:szCs w:val="20"/>
          <w:color w:val="auto"/>
        </w:rPr>
      </w:pPr>
      <w:r>
        <w:rPr>
          <w:rFonts w:ascii="Arial" w:cs="Arial" w:eastAsia="Arial" w:hAnsi="Arial"/>
          <w:sz w:val="18"/>
          <w:szCs w:val="18"/>
          <w:b w:val="1"/>
          <w:bCs w:val="1"/>
          <w:i w:val="1"/>
          <w:iCs w:val="1"/>
          <w:color w:val="auto"/>
        </w:rPr>
        <w:t>In the event the Third Restated Agreement for Monsanto’s consumer Roundup</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products terminates or Monsanto’s consumer Roundup</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business materially declines, we would lose a substantial source of future earnings and overhead expense absorption.</w:t>
      </w:r>
    </w:p>
    <w:p>
      <w:pPr>
        <w:spacing w:after="0" w:line="6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If we (i) become insolvent, (ii) commit a material breach, material fraud or material willful misconduct under the Third Restated Agreement, (iii) experience a change of control of the Company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in the applicable agreements. In addition, if Program EBIT (as defined in the Third Restated Agreement) falls below $50 million in any program year, Monsanto may terminate the Third Restated Agreement without paying a termination fee to the Company, subject to certain terms and conditions as set forth in the applicable agreements.</w:t>
      </w:r>
    </w:p>
    <w:p>
      <w:pPr>
        <w:spacing w:after="0" w:line="40" w:lineRule="exact"/>
        <w:rPr>
          <w:sz w:val="20"/>
          <w:szCs w:val="20"/>
          <w:color w:val="auto"/>
        </w:rPr>
      </w:pPr>
    </w:p>
    <w:p>
      <w:pPr>
        <w:jc w:val="both"/>
        <w:ind w:firstLine="434"/>
        <w:spacing w:after="0" w:line="227" w:lineRule="auto"/>
        <w:rPr>
          <w:sz w:val="20"/>
          <w:szCs w:val="20"/>
          <w:color w:val="auto"/>
        </w:rPr>
      </w:pPr>
      <w:r>
        <w:rPr>
          <w:rFonts w:ascii="Arial" w:cs="Arial" w:eastAsia="Arial" w:hAnsi="Arial"/>
          <w:sz w:val="18"/>
          <w:szCs w:val="18"/>
          <w:color w:val="auto"/>
        </w:rPr>
        <w:t>Monsanto may also terminate the Third Restated Agreement in the event of (a) a change of control of Monsanto or a sale of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in the lawn and garden market (a “Brand Decommissioning Event”), but, in each case, Monsanto would have to pay a termination fee to the Company.</w:t>
      </w:r>
    </w:p>
    <w:p>
      <w:pPr>
        <w:spacing w:after="0" w:line="7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5"/>
          <w:szCs w:val="15"/>
          <w:color w:val="auto"/>
        </w:rPr>
        <w:t>If circumstances exist or otherwise develop that result in a material decline in Monsanto’s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would not have a material adverse effect on our business, financial condition or results of operations.</w:t>
      </w:r>
    </w:p>
    <w:p>
      <w:pPr>
        <w:spacing w:after="0" w:line="3" w:lineRule="exact"/>
        <w:rPr>
          <w:sz w:val="20"/>
          <w:szCs w:val="20"/>
          <w:color w:val="auto"/>
        </w:rPr>
      </w:pPr>
    </w:p>
    <w:p>
      <w:pPr>
        <w:jc w:val="both"/>
        <w:ind w:firstLine="434"/>
        <w:spacing w:after="0" w:line="236" w:lineRule="auto"/>
        <w:rPr>
          <w:sz w:val="20"/>
          <w:szCs w:val="20"/>
          <w:color w:val="auto"/>
        </w:rPr>
      </w:pPr>
      <w:r>
        <w:rPr>
          <w:rFonts w:ascii="Arial" w:cs="Arial" w:eastAsia="Arial" w:hAnsi="Arial"/>
          <w:sz w:val="17"/>
          <w:szCs w:val="17"/>
          <w:color w:val="auto"/>
        </w:rPr>
        <w:t>In the event that the Third Restated Agreement terminates or Monsanto’s consumer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materially declines, we would lose all, or a substantial portion, of the significant source of earnings and overhead expense absorption the Third Restated Agreement provides.</w:t>
      </w:r>
    </w:p>
    <w:p>
      <w:pPr>
        <w:spacing w:after="0" w:line="82"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For additional information regarding the Third Restated Agreement including certain of our rights and remedies under the Third Restated Agreement, see “NOTE 7. MARKETING AGREEMENT” of the Notes to Consolidated Financial Statements included in this Annual Report on Form 10-K.</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Our ability to compete effectively depends in part on our rights to service marks, trademarks, tradenames and other intellectual property rights we own or license, particularly our registered brand names and issued patents. We have not sought to register every one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34"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840"/>
        <w:spacing w:after="0"/>
        <w:rPr>
          <w:sz w:val="20"/>
          <w:szCs w:val="20"/>
          <w:color w:val="auto"/>
        </w:rPr>
      </w:pPr>
      <w:r>
        <w:rPr>
          <w:rFonts w:ascii="Arial" w:cs="Arial" w:eastAsia="Arial" w:hAnsi="Arial"/>
          <w:sz w:val="15"/>
          <w:szCs w:val="15"/>
          <w:color w:val="auto"/>
        </w:rPr>
        <w:t>our recognized brand names, which could have a material adverse effect on our business, financial condition and results of operations.</w:t>
      </w:r>
    </w:p>
    <w:p>
      <w:pPr>
        <w:spacing w:after="0" w:line="196" w:lineRule="exact"/>
        <w:rPr>
          <w:sz w:val="20"/>
          <w:szCs w:val="20"/>
          <w:color w:val="auto"/>
        </w:rPr>
      </w:pPr>
    </w:p>
    <w:p>
      <w:pPr>
        <w:jc w:val="center"/>
        <w:ind w:right="1840"/>
        <w:spacing w:after="0"/>
        <w:rPr>
          <w:sz w:val="20"/>
          <w:szCs w:val="20"/>
          <w:color w:val="auto"/>
        </w:rPr>
      </w:pPr>
      <w:r>
        <w:rPr>
          <w:rFonts w:ascii="Arial" w:cs="Arial" w:eastAsia="Arial" w:hAnsi="Arial"/>
          <w:sz w:val="15"/>
          <w:szCs w:val="15"/>
          <w:b w:val="1"/>
          <w:bCs w:val="1"/>
          <w:i w:val="1"/>
          <w:iCs w:val="1"/>
          <w:color w:val="auto"/>
        </w:rPr>
        <w:t>Our success depends upon the retention and availability of key personnel and the effective succession of senior management.</w:t>
      </w:r>
    </w:p>
    <w:p>
      <w:pPr>
        <w:spacing w:after="0" w:line="117"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addition, if we are unable to effectively provide for the succession of senior management, including our chief executive officer, our business, prospects, results of operations, financial condition and cash flows may be materially adversely affected.</w:t>
      </w:r>
    </w:p>
    <w:p>
      <w:pPr>
        <w:spacing w:after="0" w:line="140" w:lineRule="exact"/>
        <w:rPr>
          <w:sz w:val="20"/>
          <w:szCs w:val="20"/>
          <w:color w:val="auto"/>
        </w:rPr>
      </w:pPr>
    </w:p>
    <w:p>
      <w:pPr>
        <w:jc w:val="both"/>
        <w:ind w:firstLine="197"/>
        <w:spacing w:after="0" w:line="324" w:lineRule="auto"/>
        <w:rPr>
          <w:sz w:val="20"/>
          <w:szCs w:val="20"/>
          <w:color w:val="auto"/>
        </w:rPr>
      </w:pPr>
      <w:r>
        <w:rPr>
          <w:rFonts w:ascii="Arial" w:cs="Arial" w:eastAsia="Arial" w:hAnsi="Arial"/>
          <w:sz w:val="16"/>
          <w:szCs w:val="16"/>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16"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are involved in legal proceedings and are subject to investigations, inspections, audits, inquiries and similar actions by governmental authorities, arising in the course of our business (see the discussion in “ITEM 3. LEGAL PROCEEDINGS” of this Annual Report on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47"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From time to time, we are also involved in legal proceedings as a plaintiff involving contract, intellectual property and other matters.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M&amp;A, Lending and Financing Activities</w:t>
      </w:r>
    </w:p>
    <w:p>
      <w:pPr>
        <w:spacing w:after="0" w:line="167"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49"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Acquisitions are an important element of our overall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74"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business or product lines.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9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Integration of the acquired company’s accounting, human resources and other administrative systems, and coordination of product, engineering and sales and marketing functions.</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Transition of operations, users and customers onto our existing platforms.</w:t>
      </w:r>
    </w:p>
    <w:p>
      <w:pPr>
        <w:spacing w:after="0" w:line="8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Reliance on the expertise of our strategic partners with respect to market development, sales, local regulatory compliance and other operational matters.</w:t>
      </w:r>
    </w:p>
    <w:p>
      <w:pPr>
        <w:spacing w:after="0" w:line="62" w:lineRule="exact"/>
        <w:rPr>
          <w:rFonts w:ascii="Arial" w:cs="Arial" w:eastAsia="Arial" w:hAnsi="Arial"/>
          <w:sz w:val="18"/>
          <w:szCs w:val="18"/>
          <w:color w:val="auto"/>
        </w:rPr>
      </w:pPr>
    </w:p>
    <w:p>
      <w:pPr>
        <w:jc w:val="both"/>
        <w:ind w:left="640" w:hanging="319"/>
        <w:spacing w:after="0" w:line="252"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70"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 and retention of employees from the businesses we acquire.</w:t>
      </w:r>
    </w:p>
    <w:p>
      <w:pPr>
        <w:spacing w:after="0" w:line="49" w:lineRule="exact"/>
        <w:rPr>
          <w:rFonts w:ascii="Arial" w:cs="Arial" w:eastAsia="Arial" w:hAnsi="Arial"/>
          <w:sz w:val="18"/>
          <w:szCs w:val="18"/>
          <w:color w:val="auto"/>
        </w:rPr>
      </w:pPr>
    </w:p>
    <w:p>
      <w:pPr>
        <w:ind w:left="640" w:hanging="319"/>
        <w:spacing w:after="0" w:line="324" w:lineRule="auto"/>
        <w:tabs>
          <w:tab w:leader="none" w:pos="6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15"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shareholders or other third parties.</w:t>
      </w:r>
    </w:p>
    <w:p>
      <w:pPr>
        <w:spacing w:after="0" w:line="6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5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acquisitions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failure to dispose of assets or businesses in a timely manner may cause the results of the Company to suffer.</w:t>
      </w:r>
    </w:p>
    <w:p>
      <w:pPr>
        <w:spacing w:after="0" w:line="9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accomplishment of our strategic objectives. Alternatively, we may dispose of a business at a price or on terms that are less than we had anticipated. After reaching an agreement with a buyer for the disposition of a business, we are subject to the satisfaction of pre-closing conditions,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future financial results.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lending activities may adversely impact our business and results of operations.</w:t>
      </w:r>
    </w:p>
    <w:p>
      <w:pPr>
        <w:spacing w:after="0" w:line="95"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As part of our strategic initiatives, we have provided financing to buyers of certain business assets we have sold and to certain strategic partners. Our exposure to credit losses on these financing balances and strategic investments will depend on the financial condition of these counterparties as well as legal, regulatory and macroeconomic factors beyond our control, such as deteriorating conditions in the world economy or in the industries served by the borrowers and federal legalization of the U.S. cannabis market. While we monitor our exposure, there can be no guarantee we will be able to successfully mitigate all of these risks. Credit losses, if significant, could have a material adverse effect on our business, financial condition, results of operations and cash flows.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8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As of September 30, 2021, we had $2,315.3 million of debt and $1,480.2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spacing w:after="0" w:line="71"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us more vulnerable to general adverse economic and industry conditions;</w:t>
      </w:r>
    </w:p>
    <w:p>
      <w:pPr>
        <w:spacing w:after="0" w:line="82" w:lineRule="exact"/>
        <w:rPr>
          <w:rFonts w:ascii="Arial" w:cs="Arial" w:eastAsia="Arial" w:hAnsi="Arial"/>
          <w:sz w:val="18"/>
          <w:szCs w:val="18"/>
          <w:color w:val="auto"/>
        </w:rPr>
      </w:pPr>
    </w:p>
    <w:p>
      <w:pPr>
        <w:ind w:left="640" w:hanging="319"/>
        <w:spacing w:after="0" w:line="324" w:lineRule="auto"/>
        <w:tabs>
          <w:tab w:leader="none" w:pos="6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cash flows from operating activities to payments on our indebtedness, which would reduce the cash flows available to fund working capital, capital expenditures, advertising, research and development efforts and other general corporate requirements;</w:t>
      </w:r>
    </w:p>
    <w:p>
      <w:pPr>
        <w:spacing w:after="0" w:line="15" w:lineRule="exact"/>
        <w:rPr>
          <w:rFonts w:ascii="Arial" w:cs="Arial" w:eastAsia="Arial" w:hAnsi="Arial"/>
          <w:sz w:val="16"/>
          <w:szCs w:val="16"/>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8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Our ability to make payments on or to refinance our indebtedness, fund planned capital expenditures and acquisitions, pay dividends and make repurchases of our Common Shares will depend on our ability to generate cash in the future which, to some extent, is subject to general economic, financial, competitive, legislative, regulatory and other factors that are beyond our control. We cannot provide any assurance that our business will generate sufficient cash flow from operating activities or that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future borrowings will be available to us under our credit facility in amounts sufficient to enable us to pay our indebtedness or to fund our other liquidity needs.</w:t>
      </w:r>
    </w:p>
    <w:p>
      <w:pPr>
        <w:spacing w:after="0" w:line="10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In addition, our credit facility and the indentures governing our 5.250% Senior Notes due 2026 (the “5.250% Senior Notes”), our 4.500% Senior Notes due 2029 (the “4.500% Senior Notes”), our 4.000% Senior Notes due 2031 (the “4.000% Senior Notes”) and our 4.375% Senior Notes due 2032 (the “4.375% Senior Notes”) contain restrictive covenants and cross-default provisions. Our credit facility also requires us to maintain specified financial ratios. Our ability to comply with those covenants and satisfy those financial ratios can be affected by events beyond our control including prevailing economic, financial and industry conditions. A breach of any of those financial ratio covenants or other covenants could result in a default.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could pay the indebtedness in full if it were accelerated.</w:t>
      </w:r>
    </w:p>
    <w:p>
      <w:pPr>
        <w:spacing w:after="0" w:line="5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the 5.250% Senior Notes, the 4.500% Senior Notes, the 4.000% Senior Notes and the 4.375% Senior Notes, we may incur additional debt in the future. If we incur additional debt, the risks described above could intensify.</w:t>
      </w:r>
    </w:p>
    <w:p>
      <w:pPr>
        <w:spacing w:after="0" w:line="137" w:lineRule="exact"/>
        <w:rPr>
          <w:sz w:val="20"/>
          <w:szCs w:val="20"/>
          <w:color w:val="auto"/>
        </w:rPr>
      </w:pPr>
    </w:p>
    <w:p>
      <w:pPr>
        <w:jc w:val="both"/>
        <w:ind w:firstLine="197"/>
        <w:spacing w:after="0" w:line="324" w:lineRule="auto"/>
        <w:rPr>
          <w:sz w:val="20"/>
          <w:szCs w:val="20"/>
          <w:color w:val="auto"/>
        </w:rPr>
      </w:pPr>
      <w:r>
        <w:rPr>
          <w:rFonts w:ascii="Arial" w:cs="Arial" w:eastAsia="Arial" w:hAnsi="Arial"/>
          <w:sz w:val="16"/>
          <w:szCs w:val="16"/>
          <w:b w:val="1"/>
          <w:bCs w:val="1"/>
          <w:i w:val="1"/>
          <w:iCs w:val="1"/>
          <w:color w:val="auto"/>
        </w:rPr>
        <w:t>Changes in credit ratings issued by nationally recognized statistical rating organizations (NRSROs) could adversely affect our cost of financing and the market price of our 5.250% Senior Notes, 4.500% Senior Notes, 4.000% Senior Notes and 4.375% Senior Notes.</w:t>
      </w:r>
    </w:p>
    <w:p>
      <w:pPr>
        <w:spacing w:after="0" w:line="16"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NRSROs rate the 5.250% Senior Notes, the 4.500% Senior Notes, the 4.000% Senior Notes, the 4.375%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5.250% Senior Notes, the 4.500% Senior Notes, the 4.000% Senior Notes or the 4.375% Senior Notes or placing us on a watch list for possible future downgrading could increase our cost of financing, limit our access to the capital markets and have an adverse effect on the market price of the 5.250% Senior Notes, the 4.500% Senior Notes, the 4.000% Senior Notes and the 4.375% Senior Notes.</w:t>
      </w:r>
    </w:p>
    <w:p>
      <w:pPr>
        <w:spacing w:after="0" w:line="113"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Uncertainty regarding the LIBOR replacement process and expected discontinuance of LIBOR may adversely impact our current or future debt obligations, including under our credit facility and certain hedging arrangements.</w:t>
      </w:r>
    </w:p>
    <w:p>
      <w:pPr>
        <w:spacing w:after="0" w:line="49"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Certain of our debt obligations and instruments, including our credit facility and certain hedging arrangements, use the London Interbank Offered Rate (“LIBOR”) as a reference rate for establishing the variable interest rate applicable to such debt obligations and instruments. On July 27, 2017, the United Kingdom’s Financial Conduct Authority, which regulates LIBOR, announced that it intends to phase out LIBOR by the end of 2021. However, for U.S. dollar LIBOR, the cessation date has been deferred to June 30, 2023 for the most commonly used tenors (overnight and one, three and six months). This extension to 2023 means that many legacy U.S. dollar LIBOR contracts would terminate before related LIBOR rates cease to be published. The Federal Reserve System, in conjunction with the Alternative Reference Rates Committee, has recommended the replacement of LIBOR with a new index, calculated by short-term repurchase agreements collateralized by U.S. Treasury securities, called the Secured Overnight Financing Rate (“SOFR”). At this time, it is not certain that SOFR will prevail as the primary LIBOR replacement.</w:t>
      </w:r>
    </w:p>
    <w:p>
      <w:pPr>
        <w:spacing w:after="0" w:line="51"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If LIBOR ceases to exist, we may need to renegotiate our credit facility since it utilizes LIBOR as a reference rate in determining the applicable interest rate. Our credit facility specifies that if it is not possible to ascertain LIBOR or certain other circumstances exist, we will endeavor to establish with the agent an alternative rate of interest that gives due consideration to the then prevailing market convention for determining a rate of interest for syndicated credit facilities in the United States at such time, which alternative rate shall not be objected to by a majority of lenders under our credit facility within a specified period of time. If we are not able to agree on an alternative rate of interest under our credit facility, then our indebtedness under the credit facility will bear interest with reference to the alternate base rate.</w:t>
      </w:r>
    </w:p>
    <w:p>
      <w:pPr>
        <w:spacing w:after="0" w:line="76"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have also entered into LIBOR based interest rate swap agreements to manage our exposure to interest rate movements under certain of our variable-rate debt obligations Any replacement of LIBOR as the basis on which interest on our variable-rate debt and/or under our interest rate swaps is calculated may result in interest rates and/or payments that do not directly correlate over time with the interest rates and/or payments that would have been made on our obligations if LIBOR was available in its current form.</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potential effect of the replacement of LIBOR on our cost of capital cannot yet be determined.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5"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113"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49"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47"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Regulation of Our Company</w:t>
      </w:r>
    </w:p>
    <w:p>
      <w:pPr>
        <w:spacing w:after="0" w:line="167"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62"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Local, state, federal and foreign 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addition, in Canada, regulations have been adopted by several provinces that substantially restrict our ability to market and sell certain of our consumer pesticide products.</w:t>
      </w:r>
    </w:p>
    <w:p>
      <w:pPr>
        <w:spacing w:after="0" w:line="3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47"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In addition, the use of certain fertilizer and pesticide products (including pesticide products that contain glyphosate) is regulated by various local, state, federal and foreign environmental and public health agencies. These regulations may, among other things,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5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required to create water retention ponds to control the sediment content of discharged water. In Canada, our peat extraction efforts are also the subject of regulation.</w:t>
      </w:r>
    </w:p>
    <w:p>
      <w:pPr>
        <w:spacing w:after="0" w:line="49"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the remediation of contaminated sites, air and water discharges from our facilities, and workplace health and safety. Under certain environmental laws, we may be liable for the costs of investigation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77"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47"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In addition, on October 18, 2021, the Biden Administration announced a multi-agency plan to address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first term of the Biden Administration. It is possible that some of these actions may have an impact – direct or indirect – on our business. Until further detail is provided, we cannot predict the outcome or the severity of the impact of these proposed actions.</w:t>
      </w:r>
    </w:p>
    <w:p>
      <w:pPr>
        <w:spacing w:after="0" w:line="117"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49"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47"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11"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Risks Related to Our Common Shares</w:t>
      </w:r>
    </w:p>
    <w:p>
      <w:pPr>
        <w:spacing w:after="0" w:line="167" w:lineRule="exact"/>
        <w:rPr>
          <w:sz w:val="20"/>
          <w:szCs w:val="20"/>
          <w:color w:val="auto"/>
        </w:rPr>
      </w:pPr>
    </w:p>
    <w:p>
      <w:pPr>
        <w:jc w:val="both"/>
        <w:ind w:firstLine="197"/>
        <w:spacing w:after="0" w:line="261" w:lineRule="auto"/>
        <w:rPr>
          <w:sz w:val="20"/>
          <w:szCs w:val="20"/>
          <w:color w:val="auto"/>
        </w:rPr>
      </w:pPr>
      <w:r>
        <w:rPr>
          <w:rFonts w:ascii="Arial" w:cs="Arial" w:eastAsia="Arial" w:hAnsi="Arial"/>
          <w:sz w:val="18"/>
          <w:szCs w:val="18"/>
          <w:b w:val="1"/>
          <w:bCs w:val="1"/>
          <w:i w:val="1"/>
          <w:iCs w:val="1"/>
          <w:color w:val="auto"/>
        </w:rPr>
        <w:t>Hagedorn Partnership, L.P. beneficially owns approximately 26% of our Common Shares and can significantly influence decisions that require the approval of shareholders.</w:t>
      </w:r>
    </w:p>
    <w:p>
      <w:pPr>
        <w:spacing w:after="0" w:line="62"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Hagedorn Partnership, L.P. beneficially owned approximately 26% of our outstanding Common Shares on a fully diluted basis as of November 19, 2021.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spacing w:after="0" w:line="59" w:lineRule="exact"/>
        <w:rPr>
          <w:sz w:val="20"/>
          <w:szCs w:val="20"/>
          <w:color w:val="auto"/>
        </w:rPr>
      </w:pPr>
    </w:p>
    <w:p>
      <w:pPr>
        <w:jc w:val="both"/>
        <w:ind w:firstLine="197"/>
        <w:spacing w:after="0" w:line="299" w:lineRule="auto"/>
        <w:rPr>
          <w:sz w:val="20"/>
          <w:szCs w:val="20"/>
          <w:color w:val="auto"/>
        </w:rPr>
      </w:pPr>
      <w:r>
        <w:rPr>
          <w:rFonts w:ascii="Arial" w:cs="Arial" w:eastAsia="Arial" w:hAnsi="Arial"/>
          <w:sz w:val="16"/>
          <w:szCs w:val="16"/>
          <w:b w:val="1"/>
          <w:bCs w:val="1"/>
          <w:i w:val="1"/>
          <w:iCs w:val="1"/>
          <w:color w:val="auto"/>
        </w:rPr>
        <w:t>While we have, over the past few years, increased the rate of cash dividends on, and engaged in repurchases of, our Common Shares, any future decisions to reduce or discontinue paying cash dividends to our shareholders or repurchasing our Common Shares pursuant to our previously announced repurchase program could cause the market price for our Common Shares to decline.</w:t>
      </w:r>
    </w:p>
    <w:p>
      <w:pPr>
        <w:spacing w:after="0" w:line="22"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Our payment of quarterly cash dividends on and repurchase of our Common Shares pursuant to our stock repurchase program are subject to, among other things, our financial position and results of operations, available cash and cash flow, capital requirements, credit facility provisions and other factors. We have, over the past few years, increased the rate of cash dividends on, and repurchases of, our Common Shares. In the fourth quarter of fiscal 2021, we increased the amount of our quarterly cash dividend by 6% to $0.66 per Common Share. On February 6, 2020, the Scotts Miracle-Gro Board of Directors authorized a new share repurchase program allowing for repurchases of up to $750.0 million of Common Shares from April 30, 2020 through March 25, 2023. The total remaining share repurchase authorization as of September 30, 2021 is $636.9 million.</w:t>
      </w:r>
    </w:p>
    <w:p>
      <w:pPr>
        <w:spacing w:after="0" w:line="47"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We may further increase or decrease the rate of cash dividends on, and the amount of repurchases of, our Common Shares in the future. Any reduction or discontinuance by us of the payment of quarterly cash dividends or repurchases of our Common Shares pursuant to our current share repurchase authorization program could cause the market price of our Common Shares to decline. Moreover, in the event our payment of quarterly cash dividends on or repurchases of our Common Shares are reduced or discontinued, our failure or inability to resume paying cash dividends or repurchasing Common Shares at historical levels could result in a lower market valuation of our Common Shares.</w:t>
      </w:r>
    </w:p>
    <w:p>
      <w:pPr>
        <w:spacing w:after="0" w:line="18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i w:val="1"/>
          <w:iCs w:val="1"/>
          <w:u w:val="single" w:color="auto"/>
          <w:color w:val="auto"/>
        </w:rPr>
        <w:t>UNRESOLVED STAFF COMMENTS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i w:val="1"/>
          <w:iCs w:val="1"/>
          <w:u w:val="single" w:color="auto"/>
          <w:color w:val="auto"/>
        </w:rPr>
        <w:t>PROPERTIES</w:t>
      </w:r>
    </w:p>
    <w:p>
      <w:pPr>
        <w:spacing w:after="0" w:line="8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Our corporate headquarters is located in Marysville, Ohio, where we own approximately 729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The following is a summary of owned and leased properties by country: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2"/>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Owned</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Leased</w:t>
            </w:r>
          </w:p>
        </w:tc>
      </w:tr>
      <w:tr>
        <w:trPr>
          <w:trHeight w:val="217"/>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w:t>
            </w: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2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r>
      <w:tr>
        <w:trPr>
          <w:trHeight w:val="223"/>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The Netherlands</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7"/>
        </w:trPr>
        <w:tc>
          <w:tcPr>
            <w:tcW w:w="8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103</w:t>
            </w:r>
          </w:p>
        </w:tc>
      </w:tr>
    </w:tbl>
    <w:p>
      <w:pPr>
        <w:spacing w:after="0" w:line="15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own or lease 72 manufacturing properties, 27 distribution properties and 4 research and development properties in the United States. We own or lease 20 manufacturing and 1 distribution property in Canada, 1 manufacturing property in the Netherlands and 1 manufacturing property in China. Most of the manufacturing properties, which include growing media properties and peat harvesting properties, have production lines, warehouses, offices and field processing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i w:val="1"/>
          <w:iCs w:val="1"/>
          <w:u w:val="single" w:color="auto"/>
          <w:color w:val="auto"/>
        </w:rPr>
        <w:t>LEGAL PROCEEDINGS</w:t>
      </w:r>
    </w:p>
    <w:p>
      <w:pPr>
        <w:spacing w:after="0" w:line="10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 xml:space="preserve">As noted in the discussion in “ITEM 1. BUSINESS — Regulatory Considerations — </w:t>
      </w:r>
      <w:r>
        <w:rPr>
          <w:rFonts w:ascii="Arial" w:cs="Arial" w:eastAsia="Arial" w:hAnsi="Arial"/>
          <w:sz w:val="18"/>
          <w:szCs w:val="18"/>
          <w:i w:val="1"/>
          <w:iCs w:val="1"/>
          <w:color w:val="auto"/>
        </w:rPr>
        <w:t>Regulatory Matters</w:t>
      </w:r>
      <w:r>
        <w:rPr>
          <w:rFonts w:ascii="Arial" w:cs="Arial" w:eastAsia="Arial" w:hAnsi="Arial"/>
          <w:sz w:val="18"/>
          <w:szCs w:val="18"/>
          <w:color w:val="auto"/>
        </w:rPr>
        <w:t>” of this Annual Report on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61"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53"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i w:val="1"/>
          <w:iCs w:val="1"/>
          <w:u w:val="single" w:color="auto"/>
          <w:color w:val="auto"/>
        </w:rPr>
        <w:t>MINE SAFETY DISCLOSURE</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SUPPLEMENTAL ITEM. </w:t>
      </w:r>
      <w:r>
        <w:rPr>
          <w:rFonts w:ascii="Arial" w:cs="Arial" w:eastAsia="Arial" w:hAnsi="Arial"/>
          <w:sz w:val="18"/>
          <w:szCs w:val="18"/>
          <w:b w:val="1"/>
          <w:bCs w:val="1"/>
          <w:i w:val="1"/>
          <w:iCs w:val="1"/>
          <w:u w:val="single" w:color="auto"/>
          <w:color w:val="auto"/>
        </w:rPr>
        <w:t>EXECUTIVE OFFICERS OF THE REGISTRANT</w:t>
      </w:r>
    </w:p>
    <w:p>
      <w:pPr>
        <w:spacing w:after="0" w:line="8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executive officers of Scotts Miracle-Gro, their positions and, as of November 19, 2021, their ages and years with Scotts Miracle-Gro (and its predecessors) are set forth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5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Age</w:t>
            </w:r>
          </w:p>
        </w:tc>
        <w:tc>
          <w:tcPr>
            <w:tcW w:w="100" w:type="dxa"/>
            <w:vAlign w:val="bottom"/>
            <w:vMerge w:val="restart"/>
          </w:tcPr>
          <w:p>
            <w:pPr>
              <w:spacing w:after="0"/>
              <w:rPr>
                <w:sz w:val="14"/>
                <w:szCs w:val="14"/>
                <w:color w:val="auto"/>
              </w:rPr>
            </w:pPr>
          </w:p>
        </w:tc>
        <w:tc>
          <w:tcPr>
            <w:tcW w:w="6540" w:type="dxa"/>
            <w:vAlign w:val="bottom"/>
            <w:vMerge w:val="restart"/>
          </w:tcPr>
          <w:p>
            <w:pPr>
              <w:ind w:left="2800"/>
              <w:spacing w:after="0"/>
              <w:rPr>
                <w:sz w:val="20"/>
                <w:szCs w:val="20"/>
                <w:color w:val="auto"/>
              </w:rPr>
            </w:pPr>
            <w:r>
              <w:rPr>
                <w:rFonts w:ascii="Arial" w:cs="Arial" w:eastAsia="Arial" w:hAnsi="Arial"/>
                <w:sz w:val="14"/>
                <w:szCs w:val="14"/>
                <w:b w:val="1"/>
                <w:bCs w:val="1"/>
                <w:color w:val="auto"/>
              </w:rPr>
              <w:t>Position(s) Held</w:t>
            </w:r>
          </w:p>
        </w:tc>
        <w:tc>
          <w:tcPr>
            <w:tcW w:w="100" w:type="dxa"/>
            <w:vAlign w:val="bottom"/>
            <w:vMerge w:val="restart"/>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Arial" w:cs="Arial" w:eastAsia="Arial" w:hAnsi="Arial"/>
                <w:sz w:val="14"/>
                <w:szCs w:val="14"/>
                <w:b w:val="1"/>
                <w:bCs w:val="1"/>
                <w:color w:val="auto"/>
              </w:rPr>
              <w:t>Years with</w:t>
            </w:r>
          </w:p>
        </w:tc>
        <w:tc>
          <w:tcPr>
            <w:tcW w:w="0" w:type="dxa"/>
            <w:vAlign w:val="bottom"/>
          </w:tcPr>
          <w:p>
            <w:pPr>
              <w:spacing w:after="0"/>
              <w:rPr>
                <w:sz w:val="1"/>
                <w:szCs w:val="1"/>
                <w:color w:val="auto"/>
              </w:rPr>
            </w:pPr>
          </w:p>
        </w:tc>
      </w:tr>
      <w:tr>
        <w:trPr>
          <w:trHeight w:val="183"/>
        </w:trPr>
        <w:tc>
          <w:tcPr>
            <w:tcW w:w="2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6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17"/>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Hagedorn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 of the Board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Michael C. Lukemire</w:t>
            </w: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President and Chief Operating Officer</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Christopher J. Hagedorn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Division President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Arial" w:cs="Arial" w:eastAsia="Arial" w:hAnsi="Arial"/>
                <w:sz w:val="18"/>
                <w:szCs w:val="18"/>
                <w:color w:val="auto"/>
              </w:rPr>
              <w:t>James D. King</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Communications Officer</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Cory J. Miller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72"/>
        </w:trPr>
        <w:tc>
          <w:tcPr>
            <w:tcW w:w="292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Ivan C. Smith</w:t>
            </w:r>
          </w:p>
        </w:tc>
        <w:tc>
          <w:tcPr>
            <w:tcW w:w="540" w:type="dxa"/>
            <w:vAlign w:val="bottom"/>
          </w:tcPr>
          <w:p>
            <w:pPr>
              <w:jc w:val="right"/>
              <w:spacing w:after="0" w:line="172" w:lineRule="exact"/>
              <w:rPr>
                <w:sz w:val="20"/>
                <w:szCs w:val="20"/>
                <w:color w:val="auto"/>
              </w:rPr>
            </w:pPr>
            <w:r>
              <w:rPr>
                <w:rFonts w:ascii="Arial" w:cs="Arial" w:eastAsia="Arial" w:hAnsi="Arial"/>
                <w:sz w:val="18"/>
                <w:szCs w:val="18"/>
                <w:color w:val="auto"/>
              </w:rPr>
              <w:t>52</w:t>
            </w:r>
          </w:p>
        </w:tc>
        <w:tc>
          <w:tcPr>
            <w:tcW w:w="100" w:type="dxa"/>
            <w:vAlign w:val="bottom"/>
          </w:tcPr>
          <w:p>
            <w:pPr>
              <w:spacing w:after="0"/>
              <w:rPr>
                <w:sz w:val="14"/>
                <w:szCs w:val="14"/>
                <w:color w:val="auto"/>
              </w:rPr>
            </w:pPr>
          </w:p>
        </w:tc>
        <w:tc>
          <w:tcPr>
            <w:tcW w:w="6640" w:type="dxa"/>
            <w:vAlign w:val="bottom"/>
            <w:gridSpan w:val="2"/>
          </w:tcPr>
          <w:p>
            <w:pPr>
              <w:ind w:left="20"/>
              <w:spacing w:after="0" w:line="172" w:lineRule="exact"/>
              <w:rPr>
                <w:sz w:val="20"/>
                <w:szCs w:val="20"/>
                <w:color w:val="auto"/>
              </w:rPr>
            </w:pPr>
            <w:r>
              <w:rPr>
                <w:rFonts w:ascii="Arial" w:cs="Arial" w:eastAsia="Arial" w:hAnsi="Arial"/>
                <w:sz w:val="18"/>
                <w:szCs w:val="18"/>
                <w:color w:val="auto"/>
                <w:w w:val="94"/>
              </w:rPr>
              <w:t>Executive Vice President, General Counsel, Corporate Secretary and Chief Compliance</w:t>
            </w:r>
          </w:p>
        </w:tc>
        <w:tc>
          <w:tcPr>
            <w:tcW w:w="1000" w:type="dxa"/>
            <w:vAlign w:val="bottom"/>
          </w:tcPr>
          <w:p>
            <w:pPr>
              <w:jc w:val="right"/>
              <w:spacing w:after="0" w:line="17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Arial" w:cs="Arial" w:eastAsia="Arial" w:hAnsi="Arial"/>
                <w:sz w:val="18"/>
                <w:szCs w:val="18"/>
                <w:color w:val="auto"/>
              </w:rPr>
              <w:t>Officer</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Denise S. Stump</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Executive Vice President, Global Human Resources and Chief Ethics Officer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82" w:lineRule="exact"/>
        <w:rPr>
          <w:sz w:val="20"/>
          <w:szCs w:val="20"/>
          <w:color w:val="auto"/>
        </w:rPr>
      </w:pPr>
    </w:p>
    <w:p>
      <w:pPr>
        <w:jc w:val="both"/>
        <w:ind w:firstLine="867"/>
        <w:spacing w:after="0" w:line="248" w:lineRule="auto"/>
        <w:rPr>
          <w:sz w:val="20"/>
          <w:szCs w:val="20"/>
          <w:color w:val="auto"/>
        </w:rPr>
      </w:pPr>
      <w:r>
        <w:rPr>
          <w:rFonts w:ascii="Arial" w:cs="Arial" w:eastAsia="Arial" w:hAnsi="Arial"/>
          <w:sz w:val="18"/>
          <w:szCs w:val="18"/>
          <w:i w:val="1"/>
          <w:iCs w:val="1"/>
          <w:color w:val="auto"/>
        </w:rPr>
        <w:t xml:space="preserve">Mr. Hagedorn </w:t>
      </w:r>
      <w:r>
        <w:rPr>
          <w:rFonts w:ascii="Arial" w:cs="Arial" w:eastAsia="Arial" w:hAnsi="Arial"/>
          <w:sz w:val="18"/>
          <w:szCs w:val="18"/>
          <w:color w:val="auto"/>
        </w:rPr>
        <w:t>was named Chairman of the Board of Scotts Miracle-Gro’s predecessor in January 2003 and Chief Executive Officer of Scotts</w:t>
      </w:r>
      <w:r>
        <w:rPr>
          <w:rFonts w:ascii="Arial" w:cs="Arial" w:eastAsia="Arial" w:hAnsi="Arial"/>
          <w:sz w:val="18"/>
          <w:szCs w:val="18"/>
          <w:i w:val="1"/>
          <w:iCs w:val="1"/>
          <w:color w:val="auto"/>
        </w:rPr>
        <w:t xml:space="preserve"> </w:t>
      </w:r>
      <w:r>
        <w:rPr>
          <w:rFonts w:ascii="Arial" w:cs="Arial" w:eastAsia="Arial" w:hAnsi="Arial"/>
          <w:sz w:val="18"/>
          <w:szCs w:val="18"/>
          <w:color w:val="auto"/>
        </w:rPr>
        <w:t>Miracle-Gro’s predecessor in May 2001. He also served as President of Scotts Miracle-Gro (or its predecessor) from October 2015 until February 2016. Mr. Hagedorn serves on Scotts Miracle-Gro’s Board of Directors, a position he has held with Scotts Miracle-Gro (or its predecessor) since 1995. Mr. Hagedorn is the brother of Katherine Hagedorn Littlefield, a director of Scotts Miracle-Gro, and is the father of Christopher J. Hagedorn, an executive officer of the Company.</w:t>
      </w:r>
    </w:p>
    <w:p>
      <w:pPr>
        <w:spacing w:after="0" w:line="140" w:lineRule="exact"/>
        <w:rPr>
          <w:sz w:val="20"/>
          <w:szCs w:val="20"/>
          <w:color w:val="auto"/>
        </w:rPr>
      </w:pPr>
    </w:p>
    <w:p>
      <w:pPr>
        <w:jc w:val="both"/>
        <w:ind w:firstLine="867"/>
        <w:spacing w:after="0" w:line="261" w:lineRule="auto"/>
        <w:rPr>
          <w:sz w:val="20"/>
          <w:szCs w:val="20"/>
          <w:color w:val="auto"/>
        </w:rPr>
      </w:pPr>
      <w:r>
        <w:rPr>
          <w:rFonts w:ascii="Arial" w:cs="Arial" w:eastAsia="Arial" w:hAnsi="Arial"/>
          <w:sz w:val="18"/>
          <w:szCs w:val="18"/>
          <w:i w:val="1"/>
          <w:iCs w:val="1"/>
          <w:color w:val="auto"/>
        </w:rPr>
        <w:t xml:space="preserve">Mr. Lukemire </w:t>
      </w:r>
      <w:r>
        <w:rPr>
          <w:rFonts w:ascii="Arial" w:cs="Arial" w:eastAsia="Arial" w:hAnsi="Arial"/>
          <w:sz w:val="18"/>
          <w:szCs w:val="18"/>
          <w:color w:val="auto"/>
        </w:rPr>
        <w:t>was named President and Chief Operating Officer of Scotts Miracle-Gro in February 2016. Prior to this appointment, Mr. Lukemire</w:t>
      </w:r>
      <w:r>
        <w:rPr>
          <w:rFonts w:ascii="Arial" w:cs="Arial" w:eastAsia="Arial" w:hAnsi="Arial"/>
          <w:sz w:val="18"/>
          <w:szCs w:val="18"/>
          <w:i w:val="1"/>
          <w:iCs w:val="1"/>
          <w:color w:val="auto"/>
        </w:rPr>
        <w:t xml:space="preserve"> </w:t>
      </w:r>
      <w:r>
        <w:rPr>
          <w:rFonts w:ascii="Arial" w:cs="Arial" w:eastAsia="Arial" w:hAnsi="Arial"/>
          <w:sz w:val="18"/>
          <w:szCs w:val="18"/>
          <w:color w:val="auto"/>
        </w:rPr>
        <w:t>held several senior leadership positions at the Company.</w:t>
      </w:r>
    </w:p>
    <w:p>
      <w:pPr>
        <w:spacing w:after="0" w:line="128" w:lineRule="exact"/>
        <w:rPr>
          <w:sz w:val="20"/>
          <w:szCs w:val="20"/>
          <w:color w:val="auto"/>
        </w:rPr>
      </w:pPr>
    </w:p>
    <w:p>
      <w:pPr>
        <w:jc w:val="both"/>
        <w:ind w:firstLine="867"/>
        <w:spacing w:after="0" w:line="252" w:lineRule="auto"/>
        <w:rPr>
          <w:sz w:val="20"/>
          <w:szCs w:val="20"/>
          <w:color w:val="auto"/>
        </w:rPr>
      </w:pPr>
      <w:r>
        <w:rPr>
          <w:rFonts w:ascii="Arial" w:cs="Arial" w:eastAsia="Arial" w:hAnsi="Arial"/>
          <w:sz w:val="18"/>
          <w:szCs w:val="18"/>
          <w:i w:val="1"/>
          <w:iCs w:val="1"/>
          <w:color w:val="auto"/>
        </w:rPr>
        <w:t xml:space="preserve">Mr. C. Hagedorn </w:t>
      </w:r>
      <w:r>
        <w:rPr>
          <w:rFonts w:ascii="Arial" w:cs="Arial" w:eastAsia="Arial" w:hAnsi="Arial"/>
          <w:sz w:val="18"/>
          <w:szCs w:val="18"/>
          <w:color w:val="auto"/>
        </w:rPr>
        <w:t>was named Division President of Scotts Miracle-Gro in January 2021. Prior to this appointment, Mr. C. Hagedorn was named</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The Hawthorne Gardening Company, a position he has held since May 2014. Mr. C. Hagedorn is the son of James Hagedorn, the Chairman and CEO of Scotts Miracle-Gro.</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Mr. King </w:t>
      </w:r>
      <w:r>
        <w:rPr>
          <w:rFonts w:ascii="Arial" w:cs="Arial" w:eastAsia="Arial" w:hAnsi="Arial"/>
          <w:sz w:val="16"/>
          <w:szCs w:val="16"/>
          <w:color w:val="auto"/>
        </w:rPr>
        <w:t>was named Executive Vice President, Chief Communications Officer of Scotts Miracle-Gro in April 2019. Prior to this appointment, Mr.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King had served as Senior Vice President, Chief Communications Officer.</w:t>
      </w:r>
    </w:p>
    <w:p>
      <w:pPr>
        <w:spacing w:after="0" w:line="149" w:lineRule="exact"/>
        <w:rPr>
          <w:sz w:val="20"/>
          <w:szCs w:val="20"/>
          <w:color w:val="auto"/>
        </w:rPr>
      </w:pPr>
    </w:p>
    <w:p>
      <w:pPr>
        <w:jc w:val="both"/>
        <w:ind w:firstLine="867"/>
        <w:spacing w:after="0" w:line="252" w:lineRule="auto"/>
        <w:rPr>
          <w:sz w:val="20"/>
          <w:szCs w:val="20"/>
          <w:color w:val="auto"/>
        </w:rPr>
      </w:pPr>
      <w:r>
        <w:rPr>
          <w:rFonts w:ascii="Arial" w:cs="Arial" w:eastAsia="Arial" w:hAnsi="Arial"/>
          <w:sz w:val="18"/>
          <w:szCs w:val="18"/>
          <w:i w:val="1"/>
          <w:iCs w:val="1"/>
          <w:color w:val="auto"/>
        </w:rPr>
        <w:t xml:space="preserve">Mr. Miller </w:t>
      </w:r>
      <w:r>
        <w:rPr>
          <w:rFonts w:ascii="Arial" w:cs="Arial" w:eastAsia="Arial" w:hAnsi="Arial"/>
          <w:sz w:val="18"/>
          <w:szCs w:val="18"/>
          <w:color w:val="auto"/>
        </w:rPr>
        <w:t>was named Executive Vice President and Chief Financial Officer of Scotts Miracle-Gro in August 2021. He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Interim Chief Financial Officer from January 2021 until August 2021. Prior to this appointment, he served as Vice President of Finance of The Hawthorne Gardening Company.</w:t>
      </w:r>
    </w:p>
    <w:p>
      <w:pPr>
        <w:spacing w:after="0" w:line="137" w:lineRule="exact"/>
        <w:rPr>
          <w:sz w:val="20"/>
          <w:szCs w:val="20"/>
          <w:color w:val="auto"/>
        </w:rPr>
      </w:pPr>
    </w:p>
    <w:p>
      <w:pPr>
        <w:jc w:val="both"/>
        <w:ind w:firstLine="867"/>
        <w:spacing w:after="0" w:line="324" w:lineRule="auto"/>
        <w:rPr>
          <w:sz w:val="20"/>
          <w:szCs w:val="20"/>
          <w:color w:val="auto"/>
        </w:rPr>
      </w:pPr>
      <w:r>
        <w:rPr>
          <w:rFonts w:ascii="Arial" w:cs="Arial" w:eastAsia="Arial" w:hAnsi="Arial"/>
          <w:sz w:val="16"/>
          <w:szCs w:val="16"/>
          <w:i w:val="1"/>
          <w:iCs w:val="1"/>
          <w:color w:val="auto"/>
        </w:rPr>
        <w:t xml:space="preserve">Mr. Smith </w:t>
      </w:r>
      <w:r>
        <w:rPr>
          <w:rFonts w:ascii="Arial" w:cs="Arial" w:eastAsia="Arial" w:hAnsi="Arial"/>
          <w:sz w:val="16"/>
          <w:szCs w:val="16"/>
          <w:color w:val="auto"/>
        </w:rPr>
        <w:t>was named Executive Vice President, General Counsel and Corporate Secretary of Scotts Miracle-Gro in July 2013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Officer of Scotts Miracle-Gro in October 2013. Prior to this appointment, Mr. Smith held several senior leadership positions at the Company.</w:t>
      </w:r>
    </w:p>
    <w:p>
      <w:pPr>
        <w:spacing w:after="0" w:line="82" w:lineRule="exact"/>
        <w:rPr>
          <w:sz w:val="20"/>
          <w:szCs w:val="20"/>
          <w:color w:val="auto"/>
        </w:rPr>
      </w:pPr>
    </w:p>
    <w:p>
      <w:pPr>
        <w:jc w:val="both"/>
        <w:ind w:firstLine="867"/>
        <w:spacing w:after="0" w:line="324" w:lineRule="auto"/>
        <w:rPr>
          <w:sz w:val="20"/>
          <w:szCs w:val="20"/>
          <w:color w:val="auto"/>
        </w:rPr>
      </w:pPr>
      <w:r>
        <w:rPr>
          <w:rFonts w:ascii="Arial" w:cs="Arial" w:eastAsia="Arial" w:hAnsi="Arial"/>
          <w:sz w:val="16"/>
          <w:szCs w:val="16"/>
          <w:i w:val="1"/>
          <w:iCs w:val="1"/>
          <w:color w:val="auto"/>
        </w:rPr>
        <w:t xml:space="preserve">Ms. Stump </w:t>
      </w:r>
      <w:r>
        <w:rPr>
          <w:rFonts w:ascii="Arial" w:cs="Arial" w:eastAsia="Arial" w:hAnsi="Arial"/>
          <w:sz w:val="16"/>
          <w:szCs w:val="16"/>
          <w:color w:val="auto"/>
        </w:rPr>
        <w:t>was named Executive Vice President, Global Human Resources of Scotts Miracle-Gro (or its predecessor) in February 2003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Ethics Officer of Scotts Miracle-Gro in October 2013. Prior to this appointment, Ms. Stump held several senior leadership positions at the Company.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40" w:lineRule="exact"/>
        <w:rPr>
          <w:sz w:val="20"/>
          <w:szCs w:val="20"/>
          <w:color w:val="auto"/>
        </w:rPr>
      </w:pPr>
    </w:p>
    <w:p>
      <w:pPr>
        <w:jc w:val="both"/>
        <w:ind w:left="880" w:hanging="945"/>
        <w:spacing w:after="0" w:line="261" w:lineRule="auto"/>
        <w:tabs>
          <w:tab w:leader="none" w:pos="8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8"/>
          <w:szCs w:val="18"/>
          <w:b w:val="1"/>
          <w:bCs w:val="1"/>
          <w:i w:val="1"/>
          <w:iCs w:val="1"/>
          <w:u w:val="single" w:color="auto"/>
          <w:color w:val="auto"/>
        </w:rPr>
        <w:t>MARKET FOR REGISTRANT’S COMMON EQUITY, RELATED STOCKHOLDER MATTERS AND ISSUER PURCHASES OF EQUITY SECURITIES</w:t>
      </w:r>
    </w:p>
    <w:p>
      <w:pPr>
        <w:spacing w:after="0" w:line="226"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amended and restated credit agreement (the “Fifth A&amp;R Credit Agreement”) allows the Company to make unlimited restricted payments (as defined in the Fifth A&amp;R Credit Agreement), including dividend payments on, and repurchases of, the Company’s Common Shares, as long as the leverage ratio resulting from the making of such restricted payments is 4.00 or less. Otherwise, the Company may make further restricted payments in an aggregate amount for each fiscal year not to exceed $225.0 million. The Company’s leverage ratio was 2.70 at September 30, 2021 and restricted payments for fiscal 2021 were within the amounts allowed by the Fifth A&amp;R Credit Agreement. See “NOTE 12. DEBT” of the Notes to Consolidated Financial Statements included in this Annual Report on Form 10-K for further discussion regarding the restrictions on dividend payments.</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November 19, 2021, there were approximately 282,000 shareholders, including holders of record and our estimate of beneficial holders.</w:t>
      </w:r>
    </w:p>
    <w:p>
      <w:pPr>
        <w:spacing w:after="0" w:line="11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25"/>
              <w:spacing w:after="0"/>
              <w:rPr>
                <w:sz w:val="20"/>
                <w:szCs w:val="20"/>
                <w:color w:val="auto"/>
              </w:rPr>
            </w:pPr>
            <w:r>
              <w:rPr>
                <w:rFonts w:ascii="Arial" w:cs="Arial" w:eastAsia="Arial" w:hAnsi="Arial"/>
                <w:sz w:val="14"/>
                <w:szCs w:val="14"/>
                <w:b w:val="1"/>
                <w:bCs w:val="1"/>
                <w:color w:val="auto"/>
                <w:w w:val="93"/>
              </w:rPr>
              <w:t>Approximate</w:t>
            </w: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5"/>
              <w:spacing w:after="0"/>
              <w:rPr>
                <w:sz w:val="20"/>
                <w:szCs w:val="20"/>
                <w:color w:val="auto"/>
              </w:rPr>
            </w:pPr>
            <w:r>
              <w:rPr>
                <w:rFonts w:ascii="Arial" w:cs="Arial" w:eastAsia="Arial" w:hAnsi="Arial"/>
                <w:sz w:val="14"/>
                <w:szCs w:val="14"/>
                <w:b w:val="1"/>
                <w:bCs w:val="1"/>
                <w:color w:val="auto"/>
                <w:w w:val="91"/>
              </w:rPr>
              <w:t>Dollar Value of</w:t>
            </w:r>
          </w:p>
        </w:tc>
      </w:tr>
      <w:tr>
        <w:trPr>
          <w:trHeight w:val="158"/>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of Common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center"/>
              <w:ind w:right="125"/>
              <w:spacing w:after="0" w:line="158" w:lineRule="exact"/>
              <w:rPr>
                <w:sz w:val="20"/>
                <w:szCs w:val="20"/>
                <w:color w:val="auto"/>
              </w:rPr>
            </w:pPr>
            <w:r>
              <w:rPr>
                <w:rFonts w:ascii="Arial" w:cs="Arial" w:eastAsia="Arial" w:hAnsi="Arial"/>
                <w:sz w:val="14"/>
                <w:szCs w:val="14"/>
                <w:b w:val="1"/>
                <w:bCs w:val="1"/>
                <w:color w:val="auto"/>
                <w:w w:val="89"/>
              </w:rPr>
              <w:t>Common Shares</w:t>
            </w: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Average Price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6"/>
              </w:rPr>
              <w:t>Shares Purchased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45"/>
              <w:spacing w:after="0"/>
              <w:rPr>
                <w:sz w:val="20"/>
                <w:szCs w:val="20"/>
                <w:color w:val="auto"/>
              </w:rPr>
            </w:pPr>
            <w:r>
              <w:rPr>
                <w:rFonts w:ascii="Arial" w:cs="Arial" w:eastAsia="Arial" w:hAnsi="Arial"/>
                <w:sz w:val="14"/>
                <w:szCs w:val="14"/>
                <w:b w:val="1"/>
                <w:bCs w:val="1"/>
                <w:color w:val="auto"/>
                <w:w w:val="94"/>
              </w:rPr>
              <w:t>That May Yet</w:t>
            </w: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of Common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Paid per</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0"/>
              </w:rPr>
              <w:t>as Part of Publicly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125"/>
              <w:spacing w:after="0"/>
              <w:rPr>
                <w:sz w:val="20"/>
                <w:szCs w:val="20"/>
                <w:color w:val="auto"/>
              </w:rPr>
            </w:pPr>
            <w:r>
              <w:rPr>
                <w:rFonts w:ascii="Arial" w:cs="Arial" w:eastAsia="Arial" w:hAnsi="Arial"/>
                <w:sz w:val="14"/>
                <w:szCs w:val="14"/>
                <w:b w:val="1"/>
                <w:bCs w:val="1"/>
                <w:color w:val="auto"/>
                <w:w w:val="87"/>
              </w:rPr>
              <w:t>be Purchased</w:t>
            </w:r>
          </w:p>
        </w:tc>
      </w:tr>
      <w:tr>
        <w:trPr>
          <w:trHeight w:val="141"/>
        </w:trPr>
        <w:tc>
          <w:tcPr>
            <w:tcW w:w="4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92"/>
              </w:rPr>
              <w:t>Common</w:t>
            </w:r>
          </w:p>
        </w:tc>
        <w:tc>
          <w:tcPr>
            <w:tcW w:w="1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Announced Plans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25"/>
              <w:spacing w:after="0" w:line="141" w:lineRule="exact"/>
              <w:rPr>
                <w:sz w:val="20"/>
                <w:szCs w:val="20"/>
                <w:color w:val="auto"/>
              </w:rPr>
            </w:pPr>
            <w:r>
              <w:rPr>
                <w:rFonts w:ascii="Arial" w:cs="Arial" w:eastAsia="Arial" w:hAnsi="Arial"/>
                <w:sz w:val="14"/>
                <w:szCs w:val="14"/>
                <w:b w:val="1"/>
                <w:bCs w:val="1"/>
                <w:color w:val="auto"/>
                <w:w w:val="90"/>
              </w:rPr>
              <w:t>Under the Plans</w:t>
            </w: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4"/>
                <w:szCs w:val="14"/>
                <w:b w:val="1"/>
                <w:bCs w:val="1"/>
                <w:color w:val="auto"/>
                <w:w w:val="84"/>
              </w:rPr>
              <w:t>Purchased</w:t>
            </w:r>
            <w:r>
              <w:rPr>
                <w:rFonts w:ascii="Arial" w:cs="Arial" w:eastAsia="Arial" w:hAnsi="Arial"/>
                <w:sz w:val="22"/>
                <w:szCs w:val="22"/>
                <w:b w:val="1"/>
                <w:bCs w:val="1"/>
                <w:color w:val="auto"/>
                <w:w w:val="84"/>
                <w:vertAlign w:val="superscript"/>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81"/>
              <w:spacing w:after="0" w:line="223" w:lineRule="exact"/>
              <w:rPr>
                <w:sz w:val="20"/>
                <w:szCs w:val="20"/>
                <w:color w:val="auto"/>
              </w:rPr>
            </w:pPr>
            <w:r>
              <w:rPr>
                <w:rFonts w:ascii="Arial" w:cs="Arial" w:eastAsia="Arial" w:hAnsi="Arial"/>
                <w:sz w:val="14"/>
                <w:szCs w:val="14"/>
                <w:b w:val="1"/>
                <w:bCs w:val="1"/>
                <w:color w:val="auto"/>
                <w:w w:val="84"/>
              </w:rPr>
              <w:t>Share</w:t>
            </w:r>
            <w:r>
              <w:rPr>
                <w:rFonts w:ascii="Arial" w:cs="Arial" w:eastAsia="Arial" w:hAnsi="Arial"/>
                <w:sz w:val="22"/>
                <w:szCs w:val="22"/>
                <w:b w:val="1"/>
                <w:bCs w:val="1"/>
                <w:color w:val="auto"/>
                <w:w w:val="84"/>
                <w:vertAlign w:val="superscript"/>
              </w:rPr>
              <w:t>(2)</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4"/>
                <w:szCs w:val="14"/>
                <w:b w:val="1"/>
                <w:bCs w:val="1"/>
                <w:color w:val="auto"/>
                <w:w w:val="86"/>
              </w:rPr>
              <w:t>or Programs</w:t>
            </w:r>
            <w:r>
              <w:rPr>
                <w:rFonts w:ascii="Arial" w:cs="Arial" w:eastAsia="Arial" w:hAnsi="Arial"/>
                <w:sz w:val="22"/>
                <w:szCs w:val="22"/>
                <w:b w:val="1"/>
                <w:bCs w:val="1"/>
                <w:color w:val="auto"/>
                <w:w w:val="86"/>
                <w:vertAlign w:val="superscript"/>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25"/>
              <w:spacing w:after="0" w:line="223" w:lineRule="exact"/>
              <w:rPr>
                <w:sz w:val="20"/>
                <w:szCs w:val="20"/>
                <w:color w:val="auto"/>
              </w:rPr>
            </w:pPr>
            <w:r>
              <w:rPr>
                <w:rFonts w:ascii="Arial" w:cs="Arial" w:eastAsia="Arial" w:hAnsi="Arial"/>
                <w:sz w:val="14"/>
                <w:szCs w:val="14"/>
                <w:b w:val="1"/>
                <w:bCs w:val="1"/>
                <w:color w:val="auto"/>
                <w:w w:val="86"/>
              </w:rPr>
              <w:t>or Programs</w:t>
            </w:r>
            <w:r>
              <w:rPr>
                <w:rFonts w:ascii="Arial" w:cs="Arial" w:eastAsia="Arial" w:hAnsi="Arial"/>
                <w:sz w:val="22"/>
                <w:szCs w:val="22"/>
                <w:b w:val="1"/>
                <w:bCs w:val="1"/>
                <w:color w:val="auto"/>
                <w:w w:val="86"/>
                <w:vertAlign w:val="superscript"/>
              </w:rPr>
              <w:t>(3)</w:t>
            </w:r>
          </w:p>
        </w:tc>
      </w:tr>
      <w:tr>
        <w:trPr>
          <w:trHeight w:val="217"/>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4, 2021 through July 31, 2021</w:t>
            </w:r>
          </w:p>
        </w:tc>
        <w:tc>
          <w:tcPr>
            <w:tcW w:w="16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674,449,356</w:t>
            </w: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August 1, 2021 through August 28, 2021</w:t>
            </w:r>
          </w:p>
        </w:tc>
        <w:tc>
          <w:tcPr>
            <w:tcW w:w="1640" w:type="dxa"/>
            <w:vAlign w:val="bottom"/>
          </w:tcPr>
          <w:p>
            <w:pPr>
              <w:jc w:val="right"/>
              <w:ind w:right="1"/>
              <w:spacing w:after="0"/>
              <w:rPr>
                <w:sz w:val="20"/>
                <w:szCs w:val="20"/>
                <w:color w:val="auto"/>
              </w:rPr>
            </w:pPr>
            <w:r>
              <w:rPr>
                <w:rFonts w:ascii="Arial" w:cs="Arial" w:eastAsia="Arial" w:hAnsi="Arial"/>
                <w:sz w:val="18"/>
                <w:szCs w:val="18"/>
                <w:color w:val="auto"/>
              </w:rPr>
              <w:t>127,579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157.64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126,892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654,447,706</w:t>
            </w:r>
          </w:p>
        </w:tc>
      </w:tr>
      <w:tr>
        <w:trPr>
          <w:trHeight w:val="224"/>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29, 2021 through September 30, 2021</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112,218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636,945,942</w:t>
            </w:r>
          </w:p>
        </w:tc>
      </w:tr>
      <w:tr>
        <w:trPr>
          <w:trHeight w:val="217"/>
        </w:trPr>
        <w:tc>
          <w:tcPr>
            <w:tcW w:w="42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240,426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157.88</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640" w:hanging="319"/>
        <w:spacing w:after="0" w:line="252"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the Common Shares purchased during the fourth quarter of fiscal 2021 were purchased in open market transactions. The total number of Common Shares purchased during the quarter includes 2,835 Common Shares purchased by the trustee of the rabbi trust established by the Company as permitted pursuant to the terms of The Scotts Company LLC Executive Retirement Plan (the “ERP”).</w:t>
      </w:r>
    </w:p>
    <w:p>
      <w:pPr>
        <w:spacing w:after="0" w:line="136" w:lineRule="exact"/>
        <w:rPr>
          <w:rFonts w:ascii="Arial" w:cs="Arial" w:eastAsia="Arial" w:hAnsi="Arial"/>
          <w:sz w:val="18"/>
          <w:szCs w:val="18"/>
          <w:color w:val="auto"/>
        </w:rPr>
      </w:pPr>
    </w:p>
    <w:p>
      <w:pPr>
        <w:ind w:left="620" w:hanging="299"/>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161" w:lineRule="exact"/>
        <w:rPr>
          <w:rFonts w:ascii="Arial" w:cs="Arial" w:eastAsia="Arial" w:hAnsi="Arial"/>
          <w:sz w:val="18"/>
          <w:szCs w:val="18"/>
          <w:color w:val="auto"/>
        </w:rPr>
      </w:pPr>
    </w:p>
    <w:p>
      <w:pPr>
        <w:ind w:left="640" w:hanging="319"/>
        <w:spacing w:after="0" w:line="261"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February 6, 2020, the Company announced a new repurchase program allowing for repurchases of up to $750.0 million of Common Shares from April 30, 2020 through March 25, 2023.</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Cumulative Five-Year Total Return*</w:t>
      </w:r>
    </w:p>
    <w:p>
      <w:pPr>
        <w:spacing w:after="0" w:line="161"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following graph compares the yearly change in the cumulative total stockholder return on our Common Stock for the past five fiscal years with the cumulative total return of the Russell 2000 Index and the S&amp;P 500 Household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88900</wp:posOffset>
            </wp:positionV>
            <wp:extent cx="5708650" cy="3154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865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i w:val="1"/>
          <w:iCs w:val="1"/>
          <w:u w:val="single" w:color="auto"/>
          <w:color w:val="auto"/>
        </w:rPr>
        <w:t>SELECTED FINANCIAL DATA</w:t>
      </w:r>
    </w:p>
    <w:p>
      <w:pPr>
        <w:spacing w:after="0" w:line="2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39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6"/>
          <w:szCs w:val="16"/>
          <w:b w:val="1"/>
          <w:bCs w:val="1"/>
          <w:i w:val="1"/>
          <w:iCs w:val="1"/>
          <w:u w:val="single" w:color="auto"/>
          <w:color w:val="auto"/>
        </w:rPr>
        <w:t>MANAGEMENT’S DISCUSSION AND ANALYSIS OF FINANCIAL CONDITION AND RESULTS OF OPERATIONS</w:t>
      </w:r>
    </w:p>
    <w:p>
      <w:pPr>
        <w:spacing w:after="0" w:line="259"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is divided into the following sections:</w:t>
      </w:r>
    </w:p>
    <w:p>
      <w:pPr>
        <w:spacing w:after="0" w:line="128" w:lineRule="exact"/>
        <w:rPr>
          <w:sz w:val="20"/>
          <w:szCs w:val="20"/>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61" w:lineRule="exact"/>
        <w:rPr>
          <w:rFonts w:ascii="Arial" w:cs="Arial" w:eastAsia="Arial" w:hAnsi="Arial"/>
          <w:sz w:val="18"/>
          <w:szCs w:val="18"/>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61" w:lineRule="exact"/>
        <w:rPr>
          <w:rFonts w:ascii="Arial" w:cs="Arial" w:eastAsia="Arial" w:hAnsi="Arial"/>
          <w:sz w:val="18"/>
          <w:szCs w:val="18"/>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61" w:lineRule="exact"/>
        <w:rPr>
          <w:rFonts w:ascii="Arial" w:cs="Arial" w:eastAsia="Arial" w:hAnsi="Arial"/>
          <w:sz w:val="18"/>
          <w:szCs w:val="18"/>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61" w:lineRule="exact"/>
        <w:rPr>
          <w:rFonts w:ascii="Arial" w:cs="Arial" w:eastAsia="Arial" w:hAnsi="Arial"/>
          <w:sz w:val="18"/>
          <w:szCs w:val="18"/>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Non-GAAP measures</w:t>
      </w:r>
    </w:p>
    <w:p>
      <w:pPr>
        <w:spacing w:after="0" w:line="161" w:lineRule="exact"/>
        <w:rPr>
          <w:rFonts w:ascii="Arial" w:cs="Arial" w:eastAsia="Arial" w:hAnsi="Arial"/>
          <w:sz w:val="18"/>
          <w:szCs w:val="18"/>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61" w:lineRule="exact"/>
        <w:rPr>
          <w:rFonts w:ascii="Arial" w:cs="Arial" w:eastAsia="Arial" w:hAnsi="Arial"/>
          <w:sz w:val="18"/>
          <w:szCs w:val="18"/>
          <w:color w:val="auto"/>
        </w:rPr>
      </w:pPr>
    </w:p>
    <w:p>
      <w:pPr>
        <w:ind w:left="1260" w:hanging="624"/>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1" w:lineRule="exact"/>
        <w:rPr>
          <w:sz w:val="20"/>
          <w:szCs w:val="20"/>
          <w:color w:val="auto"/>
        </w:rPr>
      </w:pPr>
    </w:p>
    <w:p>
      <w:pPr>
        <w:jc w:val="both"/>
        <w:ind w:firstLine="434"/>
        <w:spacing w:after="0" w:line="238" w:lineRule="auto"/>
        <w:rPr>
          <w:sz w:val="20"/>
          <w:szCs w:val="20"/>
          <w:color w:val="auto"/>
        </w:rPr>
      </w:pPr>
      <w:r>
        <w:rPr>
          <w:rFonts w:ascii="Arial" w:cs="Arial" w:eastAsia="Arial" w:hAnsi="Arial"/>
          <w:sz w:val="17"/>
          <w:szCs w:val="17"/>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lawn and grass seed products; Miracle-Gro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soil, plant food and insecticide, LiquaFeed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plant food and Osmocote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gardening and landscape products; and Ortho</w:t>
      </w:r>
      <w:r>
        <w:rPr>
          <w:rFonts w:ascii="Arial" w:cs="Arial" w:eastAsia="Arial" w:hAnsi="Arial"/>
          <w:sz w:val="21"/>
          <w:szCs w:val="21"/>
          <w:color w:val="auto"/>
          <w:vertAlign w:val="superscript"/>
        </w:rPr>
        <w:t>®</w:t>
      </w:r>
      <w:r>
        <w:rPr>
          <w:rFonts w:ascii="Arial" w:cs="Arial" w:eastAsia="Arial" w:hAnsi="Arial"/>
          <w:sz w:val="17"/>
          <w:szCs w:val="17"/>
          <w:color w:val="auto"/>
        </w:rPr>
        <w:t>, Home Defense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Tomcat</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insect control, weed control and rodent control products. We are the exclusive agent of Monsanto for the marketing and distribution of certain of Monsanto’s consumer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branded products within the United States and certain other specified countries. We also have a presence in similar branded consumer products in China. In addition, we own a 50% equity interest in Bonnie Plants, LLC, a joint venture with AFC, focused on planting, growing, developing, manufacturing, distributing, marketing, and selling live plants, plant food, fertilizer and potting soil.</w:t>
      </w:r>
    </w:p>
    <w:p>
      <w:pPr>
        <w:spacing w:after="0" w:line="87" w:lineRule="exact"/>
        <w:rPr>
          <w:sz w:val="20"/>
          <w:szCs w:val="20"/>
          <w:color w:val="auto"/>
        </w:rPr>
      </w:pPr>
    </w:p>
    <w:p>
      <w:pPr>
        <w:jc w:val="both"/>
        <w:ind w:firstLine="434"/>
        <w:spacing w:after="0" w:line="251" w:lineRule="auto"/>
        <w:rPr>
          <w:sz w:val="20"/>
          <w:szCs w:val="20"/>
          <w:color w:val="auto"/>
        </w:rPr>
      </w:pPr>
      <w:r>
        <w:rPr>
          <w:rFonts w:ascii="Arial" w:cs="Arial" w:eastAsia="Arial" w:hAnsi="Arial"/>
          <w:sz w:val="17"/>
          <w:szCs w:val="17"/>
          <w:color w:val="auto"/>
        </w:rPr>
        <w:t>Through our Hawthorne segment, we are the leading manufacturer, marketer and distributor of lighting, nutrients, growing media, growing environments and hardware products for indoor and hydroponic gardening in North America. Our key brands include General Hydroponics</w:t>
      </w:r>
      <w:r>
        <w:rPr>
          <w:rFonts w:ascii="Arial" w:cs="Arial" w:eastAsia="Arial" w:hAnsi="Arial"/>
          <w:sz w:val="21"/>
          <w:szCs w:val="21"/>
          <w:color w:val="auto"/>
          <w:vertAlign w:val="superscript"/>
        </w:rPr>
        <w:t>®</w:t>
      </w:r>
      <w:r>
        <w:rPr>
          <w:rFonts w:ascii="Arial" w:cs="Arial" w:eastAsia="Arial" w:hAnsi="Arial"/>
          <w:sz w:val="17"/>
          <w:szCs w:val="17"/>
          <w:color w:val="auto"/>
        </w:rPr>
        <w:t>, Gavita</w:t>
      </w:r>
      <w:r>
        <w:rPr>
          <w:rFonts w:ascii="Arial" w:cs="Arial" w:eastAsia="Arial" w:hAnsi="Arial"/>
          <w:sz w:val="21"/>
          <w:szCs w:val="21"/>
          <w:color w:val="auto"/>
          <w:vertAlign w:val="superscript"/>
        </w:rPr>
        <w:t>®</w:t>
      </w:r>
      <w:r>
        <w:rPr>
          <w:rFonts w:ascii="Arial" w:cs="Arial" w:eastAsia="Arial" w:hAnsi="Arial"/>
          <w:sz w:val="17"/>
          <w:szCs w:val="17"/>
          <w:color w:val="auto"/>
        </w:rPr>
        <w:t>, Botanicare</w:t>
      </w:r>
      <w:r>
        <w:rPr>
          <w:rFonts w:ascii="Arial" w:cs="Arial" w:eastAsia="Arial" w:hAnsi="Arial"/>
          <w:sz w:val="21"/>
          <w:szCs w:val="21"/>
          <w:color w:val="auto"/>
          <w:vertAlign w:val="superscript"/>
        </w:rPr>
        <w:t>®</w:t>
      </w:r>
      <w:r>
        <w:rPr>
          <w:rFonts w:ascii="Arial" w:cs="Arial" w:eastAsia="Arial" w:hAnsi="Arial"/>
          <w:sz w:val="17"/>
          <w:szCs w:val="17"/>
          <w:color w:val="auto"/>
        </w:rPr>
        <w:t>, Agrolux</w:t>
      </w:r>
      <w:r>
        <w:rPr>
          <w:rFonts w:ascii="Arial" w:cs="Arial" w:eastAsia="Arial" w:hAnsi="Arial"/>
          <w:sz w:val="21"/>
          <w:szCs w:val="21"/>
          <w:color w:val="auto"/>
          <w:vertAlign w:val="superscript"/>
        </w:rPr>
        <w:t>®</w:t>
      </w:r>
      <w:r>
        <w:rPr>
          <w:rFonts w:ascii="Arial" w:cs="Arial" w:eastAsia="Arial" w:hAnsi="Arial"/>
          <w:sz w:val="17"/>
          <w:szCs w:val="17"/>
          <w:color w:val="auto"/>
        </w:rPr>
        <w:t>, Can-Filters</w:t>
      </w:r>
      <w:r>
        <w:rPr>
          <w:rFonts w:ascii="Arial" w:cs="Arial" w:eastAsia="Arial" w:hAnsi="Arial"/>
          <w:sz w:val="21"/>
          <w:szCs w:val="21"/>
          <w:color w:val="auto"/>
          <w:vertAlign w:val="superscript"/>
        </w:rPr>
        <w:t>®</w:t>
      </w:r>
      <w:r>
        <w:rPr>
          <w:rFonts w:ascii="Arial" w:cs="Arial" w:eastAsia="Arial" w:hAnsi="Arial"/>
          <w:sz w:val="17"/>
          <w:szCs w:val="17"/>
          <w:color w:val="auto"/>
        </w:rPr>
        <w:t>, Sun System</w:t>
      </w:r>
      <w:r>
        <w:rPr>
          <w:rFonts w:ascii="Arial" w:cs="Arial" w:eastAsia="Arial" w:hAnsi="Arial"/>
          <w:sz w:val="21"/>
          <w:szCs w:val="21"/>
          <w:color w:val="auto"/>
          <w:vertAlign w:val="superscript"/>
        </w:rPr>
        <w:t>®</w:t>
      </w:r>
      <w:r>
        <w:rPr>
          <w:rFonts w:ascii="Arial" w:cs="Arial" w:eastAsia="Arial" w:hAnsi="Arial"/>
          <w:sz w:val="17"/>
          <w:szCs w:val="17"/>
          <w:color w:val="auto"/>
        </w:rPr>
        <w:t>, Gro Pro</w:t>
      </w:r>
      <w:r>
        <w:rPr>
          <w:rFonts w:ascii="Arial" w:cs="Arial" w:eastAsia="Arial" w:hAnsi="Arial"/>
          <w:sz w:val="21"/>
          <w:szCs w:val="21"/>
          <w:color w:val="auto"/>
          <w:vertAlign w:val="superscript"/>
        </w:rPr>
        <w:t>®</w:t>
      </w:r>
      <w:r>
        <w:rPr>
          <w:rFonts w:ascii="Arial" w:cs="Arial" w:eastAsia="Arial" w:hAnsi="Arial"/>
          <w:sz w:val="17"/>
          <w:szCs w:val="17"/>
          <w:color w:val="auto"/>
        </w:rPr>
        <w:t>, Mother Earth</w:t>
      </w:r>
      <w:r>
        <w:rPr>
          <w:rFonts w:ascii="Arial" w:cs="Arial" w:eastAsia="Arial" w:hAnsi="Arial"/>
          <w:sz w:val="21"/>
          <w:szCs w:val="21"/>
          <w:color w:val="auto"/>
          <w:vertAlign w:val="superscript"/>
        </w:rPr>
        <w:t>®</w:t>
      </w:r>
      <w:r>
        <w:rPr>
          <w:rFonts w:ascii="Arial" w:cs="Arial" w:eastAsia="Arial" w:hAnsi="Arial"/>
          <w:sz w:val="17"/>
          <w:szCs w:val="17"/>
          <w:color w:val="auto"/>
        </w:rPr>
        <w:t>, Hurricane</w:t>
      </w:r>
      <w:r>
        <w:rPr>
          <w:rFonts w:ascii="Arial" w:cs="Arial" w:eastAsia="Arial" w:hAnsi="Arial"/>
          <w:sz w:val="21"/>
          <w:szCs w:val="21"/>
          <w:color w:val="auto"/>
          <w:vertAlign w:val="superscript"/>
        </w:rPr>
        <w:t>®</w:t>
      </w:r>
      <w:r>
        <w:rPr>
          <w:rFonts w:ascii="Arial" w:cs="Arial" w:eastAsia="Arial" w:hAnsi="Arial"/>
          <w:sz w:val="17"/>
          <w:szCs w:val="17"/>
          <w:color w:val="auto"/>
        </w:rPr>
        <w:t>, Grower’s Edge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Hydro-Logic</w:t>
      </w:r>
      <w:r>
        <w:rPr>
          <w:rFonts w:ascii="Arial" w:cs="Arial" w:eastAsia="Arial" w:hAnsi="Arial"/>
          <w:sz w:val="21"/>
          <w:szCs w:val="21"/>
          <w:color w:val="auto"/>
          <w:vertAlign w:val="superscript"/>
        </w:rPr>
        <w:t>®</w:t>
      </w:r>
      <w:r>
        <w:rPr>
          <w:rFonts w:ascii="Arial" w:cs="Arial" w:eastAsia="Arial" w:hAnsi="Arial"/>
          <w:sz w:val="17"/>
          <w:szCs w:val="17"/>
          <w:color w:val="auto"/>
        </w:rPr>
        <w:t>.</w:t>
      </w:r>
    </w:p>
    <w:p>
      <w:pPr>
        <w:spacing w:after="0" w:line="2"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During fiscal 2021, we announced the creation of a newly formed subsidiary, The Hawthorne Collective, Inc., which will focus on strategic minority non-equity investments in areas of the cannabis industry not currently pursued by our Hawthorne segment. This initiative is designed to allow us, in the future, to participate directly in a larger marketplace as the legal environment changes over time. On August 24, 2021, we made our initial investment under this initiative in the form of a $150.0 six-year convertible note issued to us by Toronto-based RIV Capital (CSE: RIV) (OTC: CNPOF), a cannabis investment and acquisition firm listed on the Canadian Securities Exchange. During the fourth quarter of fiscal 2021, we made additional minority non-equity investments of $43.1 million in other entities focused on branded cannabis and high quality genetics. These investments include conversion features that would provide us with minority ownership interests in these entities if we exercise the conversion features.</w:t>
      </w:r>
    </w:p>
    <w:p>
      <w:pPr>
        <w:spacing w:after="0" w:line="49"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4-5% of our U.S. Consumer segment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increasing market share.</w:t>
      </w:r>
    </w:p>
    <w:p>
      <w:pPr>
        <w:spacing w:after="0" w:line="34"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Our consumer lawn and garden net sales in any one year are susceptible to weather conditions in the markets in which our products are sold and our services are offered. For instance, periods of abnormally wet or dry weather can adversely impact the sale of certain products, while increasing demand for other products.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47"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Due to the seasonal nature of the consumer lawn and garden business, significant portions of our products ship to our retail customers during our second and third fiscal quarters, as noted in the table below. Our annual net sales are further concentrated in the second and third fiscal quarters by retailers who rely on our ability to deliver products closer to when consumers buy our products, thereby reducing retailers’ pre-season inventories.</w:t>
      </w:r>
    </w:p>
    <w:p>
      <w:pPr>
        <w:spacing w:after="0" w:line="51"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Percent of Net Sales from Continuing</w:t>
      </w:r>
    </w:p>
    <w:p>
      <w:pPr>
        <w:jc w:val="center"/>
        <w:ind w:left="5940"/>
        <w:spacing w:after="0"/>
        <w:rPr>
          <w:sz w:val="20"/>
          <w:szCs w:val="20"/>
          <w:color w:val="auto"/>
        </w:rPr>
      </w:pPr>
      <w:r>
        <w:rPr>
          <w:rFonts w:ascii="Arial" w:cs="Arial" w:eastAsia="Arial" w:hAnsi="Arial"/>
          <w:sz w:val="14"/>
          <w:szCs w:val="14"/>
          <w:b w:val="1"/>
          <w:bCs w:val="1"/>
          <w:color w:val="auto"/>
        </w:rPr>
        <w:t>Operations by Quarter</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94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17"/>
        </w:trPr>
        <w:tc>
          <w:tcPr>
            <w:tcW w:w="5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First Quarter</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20" w:type="dxa"/>
            <w:vAlign w:val="bottom"/>
          </w:tcPr>
          <w:p>
            <w:pPr>
              <w:jc w:val="right"/>
              <w:spacing w:after="0"/>
              <w:rPr>
                <w:sz w:val="20"/>
                <w:szCs w:val="20"/>
                <w:color w:val="auto"/>
              </w:rPr>
            </w:pPr>
            <w:r>
              <w:rPr>
                <w:rFonts w:ascii="Arial" w:cs="Arial" w:eastAsia="Arial" w:hAnsi="Arial"/>
                <w:sz w:val="18"/>
                <w:szCs w:val="18"/>
                <w:color w:val="auto"/>
              </w:rPr>
              <w:t>37.1 %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37.7 %</w:t>
            </w:r>
          </w:p>
        </w:tc>
      </w:tr>
      <w:tr>
        <w:trPr>
          <w:trHeight w:val="22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2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15.8 %</w:t>
            </w:r>
          </w:p>
        </w:tc>
      </w:tr>
    </w:tbl>
    <w:p>
      <w:pPr>
        <w:spacing w:after="0" w:line="396"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follow a 13-week quarterly accounting cycle pursuant to which the first three fiscal quarters end on a Saturday and the fiscal year always ends on September 30. This fiscal calendar convention requires us to cycle forward the first three fiscal quarter ends every six years. Fiscal 2021 was impacted by this process and, as a result, our first quarter of fiscal 2021 had five additional days and our fourth quarter of fiscal 2021 had six fewer days compared to the respective quarters of fiscal 2020.</w:t>
      </w:r>
    </w:p>
    <w:p>
      <w:pPr>
        <w:spacing w:after="0" w:line="74"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and foreign exchange movements), gross profit margins, advertising to net sales ratios, income from operations, income from continuing operations, net income and earnings per share. To the extent applicable, these metrics are evaluated with and without impairment, restructuring and other charges that do not occur in or reflect the ordinary course of our ongoing business operations. Metrics that exclude impairment, restructuring and other nonrecurring items are used by management to evaluate our performance, engage in financial and operational planning and determine incentive compensation because we believe that these measures provide additional perspective on the performance of our underlying, ongoing business. Refer to the “Non-GAAP Measures” section of the MD&amp;A for further discussion of non-GAAP measures. We also focus on measures to optimize cash flow and return on invested capital, including the management of working capital and capital expenditures.</w:t>
      </w:r>
    </w:p>
    <w:p>
      <w:pPr>
        <w:spacing w:after="0" w:line="40"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this share repurchase authorization for $48.2. There were no share repurchases under this share repurchase authorization during fiscal 2019. From the effective date of this share repurchase authorization in the fourth quarter of fiscal 2014 through March 28, 2020, Scotts Miracle-Gro repurchased approximately 8.7 million Common Shares for $762.8.</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On February 6, 2020, Scotts Miracle-Gro announced that its Board of Directors authorized the repurchase of up to $750.0 of Common Shares from April 30, 2020 through March 25, 2023. There were no share repurchases under this share repurchase authorization during fiscal 2020. During fiscal 2021, Scotts Miracle-Gro repurchased 0.6 million Common Shares under this share repurchase authorization for $113.1.</w:t>
      </w:r>
    </w:p>
    <w:p>
      <w:pPr>
        <w:spacing w:after="0" w:line="2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On July 27, 2020, the Scotts Miracle-Gro Board of Directors approved a special cash dividend of $5.00 per Common Share, which was paid on September 10, 2020 to all shareholders of record at the close of business on August 27, 2020. In addition, on July 27, 2020, the Scotts Miracle-Gro Board of Directors approved an increase in our quarterly cash dividend from $0.58 to $0.62 per Common Share, which was first paid in the fourth quarter of fiscal 2020. On July 30, 2021, the Scotts Miracle-Gro Board of Directors approved an increase in our quarterly cash dividend from $0.62 to $0.66 per Common Share, which was first paid in the fourth quarter of fiscal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Response and Impacts</w:t>
      </w:r>
    </w:p>
    <w:p>
      <w:pPr>
        <w:spacing w:after="0" w:line="135" w:lineRule="exact"/>
        <w:rPr>
          <w:sz w:val="20"/>
          <w:szCs w:val="20"/>
          <w:color w:val="auto"/>
        </w:rPr>
      </w:pPr>
    </w:p>
    <w:p>
      <w:pPr>
        <w:jc w:val="both"/>
        <w:ind w:firstLine="394"/>
        <w:spacing w:after="0" w:line="281"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our business and industry. We have actively addressed the pandemic’s ongoing impact on our employees, operations, customers, consumers, and communities, by, among other things, implementing contingency plans, making operational adjustments where necessary, and providing assistance to organizations that support front-line workers. The first priority of our pandemic response has been and remains the health, safety and well-being of our employees. Many of our employees continue to work from home. In those instances where our employees cannot perform their work at home, we have implemented additional health and safety measures and social distancing protocols, consistent with government recommendations and/or requirements, to help to ensure their safety. In addition, we implemented an interim premium pay allowance for certain associates in our field sales force and our manufacturing or distribution centers, which has paid out nearly $50.0 since the inception of the COVID-19 pandemic.</w:t>
      </w:r>
    </w:p>
    <w:p>
      <w:pPr>
        <w:spacing w:after="0" w:line="90"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auto"/>
        </w:rPr>
        <w:t>During fiscal 2021, we continued to experience increased demand for many of our products compared to periods before the pandemic. The extent to which the COVID-19 pandemic will impact our business, results of operations, financial condition and cash flows in the future will depend on future developments, including the duration, spread and intensity of the pandemic, our continued ability to manufacture and distribute our products, as well as any future government actions affecting consumers and the economy generally, all of which are uncertain and difficult to predict considering the rapidly evolving landscape. We are not able to predict the impact, if any, that the COVID-19 pandemic may have on the seasonality of our business.</w:t>
      </w:r>
    </w:p>
    <w:p>
      <w:pPr>
        <w:spacing w:after="0" w:line="100" w:lineRule="exact"/>
        <w:rPr>
          <w:sz w:val="20"/>
          <w:szCs w:val="20"/>
          <w:color w:val="auto"/>
        </w:rPr>
      </w:pPr>
    </w:p>
    <w:p>
      <w:pPr>
        <w:jc w:val="both"/>
        <w:ind w:firstLine="394"/>
        <w:spacing w:after="0" w:line="299" w:lineRule="auto"/>
        <w:rPr>
          <w:sz w:val="20"/>
          <w:szCs w:val="20"/>
          <w:color w:val="auto"/>
        </w:rPr>
      </w:pPr>
      <w:r>
        <w:rPr>
          <w:rFonts w:ascii="Arial" w:cs="Arial" w:eastAsia="Arial" w:hAnsi="Arial"/>
          <w:sz w:val="16"/>
          <w:szCs w:val="16"/>
          <w:color w:val="auto"/>
        </w:rPr>
        <w:t>Although we currently expect to be able to continue operating our business as described above and we intend to continue to work with government authorities and to follow the necessary protocols to maintain the health and safety of our employees, uncertainty resulting from COVID-19 could result in an unforeseen additional disruption to our business, including our global supply chain and retailer network, and/or require us to incur additional operational costs.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earnings as a percentage of net sales: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2"/>
        </w:trPr>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Net Sales</w:t>
            </w:r>
          </w:p>
        </w:tc>
        <w:tc>
          <w:tcPr>
            <w:tcW w:w="180" w:type="dxa"/>
            <w:vAlign w:val="bottom"/>
          </w:tcPr>
          <w:p>
            <w:pPr>
              <w:spacing w:after="0"/>
              <w:rPr>
                <w:sz w:val="15"/>
                <w:szCs w:val="15"/>
                <w:color w:val="auto"/>
              </w:rPr>
            </w:pPr>
          </w:p>
        </w:tc>
        <w:tc>
          <w:tcPr>
            <w:tcW w:w="86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 of Net Sales</w:t>
            </w:r>
          </w:p>
        </w:tc>
        <w:tc>
          <w:tcPr>
            <w:tcW w:w="240" w:type="dxa"/>
            <w:vAlign w:val="bottom"/>
          </w:tcPr>
          <w:p>
            <w:pPr>
              <w:spacing w:after="0"/>
              <w:rPr>
                <w:sz w:val="15"/>
                <w:szCs w:val="15"/>
                <w:color w:val="auto"/>
              </w:rPr>
            </w:pPr>
          </w:p>
        </w:tc>
        <w:tc>
          <w:tcPr>
            <w:tcW w:w="800" w:type="dxa"/>
            <w:vAlign w:val="bottom"/>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8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 of Net Sales</w:t>
            </w:r>
          </w:p>
        </w:tc>
      </w:tr>
      <w:tr>
        <w:trPr>
          <w:trHeight w:val="217"/>
        </w:trPr>
        <w:tc>
          <w:tcPr>
            <w:tcW w:w="468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4,925.0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4,131.6</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3,156.0</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3,431.3</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2,768.6</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2,130.5</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67.5</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16.0</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r>
      <w:tr>
        <w:trPr>
          <w:trHeight w:val="216"/>
        </w:trPr>
        <w:tc>
          <w:tcPr>
            <w:tcW w:w="4680" w:type="dxa"/>
            <w:vAlign w:val="bottom"/>
          </w:tcPr>
          <w:p>
            <w:pPr>
              <w:ind w:left="220"/>
              <w:spacing w:after="0" w:line="203" w:lineRule="exact"/>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1,469.0</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1,347.0</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1,019.6</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32.3</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743.5</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757.8</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601.3</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19.1</w:t>
            </w:r>
          </w:p>
        </w:tc>
      </w:tr>
      <w:tr>
        <w:trPr>
          <w:trHeight w:val="224"/>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0.2</w:t>
            </w:r>
          </w:p>
        </w:tc>
      </w:tr>
      <w:tr>
        <w:trPr>
          <w:trHeight w:val="223"/>
        </w:trPr>
        <w:tc>
          <w:tcPr>
            <w:tcW w:w="46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3.2</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17"/>
        </w:trPr>
        <w:tc>
          <w:tcPr>
            <w:tcW w:w="4680" w:type="dxa"/>
            <w:vAlign w:val="bottom"/>
            <w:tcBorders>
              <w:top w:val="single" w:sz="8" w:color="CCEEFF"/>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723.0</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585.2</w:t>
            </w:r>
          </w:p>
        </w:tc>
        <w:tc>
          <w:tcPr>
            <w:tcW w:w="106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409.6</w:t>
            </w:r>
          </w:p>
        </w:tc>
        <w:tc>
          <w:tcPr>
            <w:tcW w:w="10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13.0</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(0.1)</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79.6</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101.8</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3.2</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(8.6)</w:t>
            </w:r>
          </w:p>
        </w:tc>
      </w:tr>
      <w:tr>
        <w:trPr>
          <w:trHeight w:val="216"/>
        </w:trPr>
        <w:tc>
          <w:tcPr>
            <w:tcW w:w="4680" w:type="dxa"/>
            <w:vAlign w:val="bottom"/>
          </w:tcPr>
          <w:p>
            <w:pPr>
              <w:ind w:left="220"/>
              <w:spacing w:after="0" w:line="203" w:lineRule="exact"/>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677.1</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510.6</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581.6</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18.4</w:t>
            </w:r>
          </w:p>
        </w:tc>
      </w:tr>
      <w:tr>
        <w:trPr>
          <w:trHeight w:val="22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159.8</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123.7</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144.9</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4.6</w:t>
            </w:r>
          </w:p>
        </w:tc>
      </w:tr>
      <w:tr>
        <w:trPr>
          <w:trHeight w:val="216"/>
        </w:trPr>
        <w:tc>
          <w:tcPr>
            <w:tcW w:w="4680" w:type="dxa"/>
            <w:vAlign w:val="bottom"/>
          </w:tcPr>
          <w:p>
            <w:pPr>
              <w:ind w:left="220"/>
              <w:spacing w:after="0" w:line="203" w:lineRule="exact"/>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517.3</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386.9</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436.7</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13.8</w:t>
            </w:r>
          </w:p>
        </w:tc>
      </w:tr>
      <w:tr>
        <w:trPr>
          <w:trHeight w:val="224"/>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23.5</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0.7</w:t>
            </w:r>
          </w:p>
        </w:tc>
      </w:tr>
      <w:tr>
        <w:trPr>
          <w:trHeight w:val="216"/>
        </w:trPr>
        <w:tc>
          <w:tcPr>
            <w:tcW w:w="4680" w:type="dxa"/>
            <w:vAlign w:val="bottom"/>
          </w:tcPr>
          <w:p>
            <w:pPr>
              <w:ind w:left="220"/>
              <w:spacing w:after="0" w:line="203" w:lineRule="exact"/>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513.4</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388.6</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460.2</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14.6 %</w:t>
            </w: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5" w:lineRule="exact"/>
        <w:rPr>
          <w:sz w:val="20"/>
          <w:szCs w:val="20"/>
          <w:color w:val="auto"/>
        </w:rPr>
      </w:pPr>
    </w:p>
    <w:p>
      <w:pPr>
        <w:ind w:firstLine="434"/>
        <w:spacing w:after="0" w:line="260" w:lineRule="auto"/>
        <w:rPr>
          <w:sz w:val="20"/>
          <w:szCs w:val="20"/>
          <w:color w:val="auto"/>
        </w:rPr>
      </w:pPr>
      <w:r>
        <w:rPr>
          <w:rFonts w:ascii="Arial" w:cs="Arial" w:eastAsia="Arial" w:hAnsi="Arial"/>
          <w:sz w:val="18"/>
          <w:szCs w:val="18"/>
          <w:color w:val="auto"/>
        </w:rPr>
        <w:t>Net sales for fiscal 2021 were $4,925.0, an increase of 19.2% from net sales of $4,131.6 for fiscal 2020. Net sales for fiscal 2020 increased 30.9% from net sales of $3,156.0 for fiscal 2019. These changes in net sales were attributable to the following:</w:t>
      </w:r>
    </w:p>
    <w:p>
      <w:pPr>
        <w:spacing w:after="0" w:line="1"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Year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217"/>
        </w:trPr>
        <w:tc>
          <w:tcPr>
            <w:tcW w:w="76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Volume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r>
      <w:tr>
        <w:trPr>
          <w:trHeight w:val="223"/>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Pricing</w:t>
            </w: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740" w:type="dxa"/>
            <w:vAlign w:val="bottom"/>
          </w:tcPr>
          <w:p>
            <w:pPr>
              <w:jc w:val="right"/>
              <w:ind w:right="136"/>
              <w:spacing w:after="0"/>
              <w:rPr>
                <w:sz w:val="20"/>
                <w:szCs w:val="20"/>
                <w:color w:val="auto"/>
              </w:rPr>
            </w:pPr>
            <w:r>
              <w:rPr>
                <w:rFonts w:ascii="Arial" w:cs="Arial" w:eastAsia="Arial" w:hAnsi="Arial"/>
                <w:sz w:val="18"/>
                <w:szCs w:val="18"/>
                <w:color w:val="auto"/>
              </w:rPr>
              <w:t>1.9</w:t>
            </w:r>
          </w:p>
        </w:tc>
      </w:tr>
      <w:tr>
        <w:trPr>
          <w:trHeight w:val="224"/>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6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r>
      <w:tr>
        <w:trPr>
          <w:trHeight w:val="216"/>
        </w:trPr>
        <w:tc>
          <w:tcPr>
            <w:tcW w:w="7660" w:type="dxa"/>
            <w:vAlign w:val="bottom"/>
          </w:tcPr>
          <w:p>
            <w:pPr>
              <w:ind w:left="20"/>
              <w:spacing w:after="0" w:line="203" w:lineRule="exact"/>
              <w:rPr>
                <w:sz w:val="20"/>
                <w:szCs w:val="20"/>
                <w:color w:val="auto"/>
              </w:rPr>
            </w:pPr>
            <w:r>
              <w:rPr>
                <w:rFonts w:ascii="Arial" w:cs="Arial" w:eastAsia="Arial" w:hAnsi="Arial"/>
                <w:sz w:val="18"/>
                <w:szCs w:val="18"/>
                <w:color w:val="auto"/>
              </w:rPr>
              <w:t>Change in net sales</w:t>
            </w:r>
          </w:p>
        </w:tc>
        <w:tc>
          <w:tcPr>
            <w:tcW w:w="1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2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30.9 %</w:t>
            </w:r>
          </w:p>
        </w:tc>
      </w:tr>
      <w:tr>
        <w:trPr>
          <w:trHeight w:val="20"/>
        </w:trPr>
        <w:tc>
          <w:tcPr>
            <w:tcW w:w="7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2021 as compared to fiscal 2020 was primarily driven by:</w:t>
      </w:r>
    </w:p>
    <w:p>
      <w:pPr>
        <w:spacing w:after="0" w:line="95" w:lineRule="exact"/>
        <w:rPr>
          <w:sz w:val="20"/>
          <w:szCs w:val="20"/>
          <w:color w:val="auto"/>
        </w:rPr>
      </w:pPr>
    </w:p>
    <w:p>
      <w:pPr>
        <w:jc w:val="both"/>
        <w:ind w:left="640" w:hanging="319"/>
        <w:spacing w:after="0" w:line="252" w:lineRule="auto"/>
        <w:tabs>
          <w:tab w:leader="none" w:pos="636" w:val="left"/>
        </w:tabs>
        <w:numPr>
          <w:ilvl w:val="0"/>
          <w:numId w:val="15"/>
        </w:numPr>
        <w:rPr>
          <w:rFonts w:ascii="Arial" w:cs="Arial" w:eastAsia="Arial" w:hAnsi="Arial"/>
          <w:sz w:val="18"/>
          <w:szCs w:val="18"/>
          <w:color w:val="333333"/>
        </w:rPr>
      </w:pPr>
      <w:r>
        <w:rPr>
          <w:rFonts w:ascii="Arial" w:cs="Arial" w:eastAsia="Arial" w:hAnsi="Arial"/>
          <w:sz w:val="18"/>
          <w:szCs w:val="18"/>
          <w:color w:val="auto"/>
        </w:rPr>
        <w:t>increased sales volume driven by soils, fertilizer, grass seed, mulch, controls, plant food and direct to consumer products in our U.S. Consumer segment; lighting, nutrients, growing media, hardware and growing environment products in our Hawthorne segment; and increased sales in our Other segment;</w:t>
      </w:r>
    </w:p>
    <w:p>
      <w:pPr>
        <w:spacing w:after="0" w:line="70" w:lineRule="exact"/>
        <w:rPr>
          <w:rFonts w:ascii="Arial" w:cs="Arial" w:eastAsia="Arial" w:hAnsi="Arial"/>
          <w:sz w:val="18"/>
          <w:szCs w:val="18"/>
          <w:color w:val="333333"/>
        </w:rPr>
      </w:pPr>
    </w:p>
    <w:p>
      <w:pPr>
        <w:ind w:left="640" w:hanging="319"/>
        <w:spacing w:after="0"/>
        <w:tabs>
          <w:tab w:leader="none" w:pos="640" w:val="left"/>
        </w:tabs>
        <w:numPr>
          <w:ilvl w:val="0"/>
          <w:numId w:val="15"/>
        </w:numPr>
        <w:rPr>
          <w:rFonts w:ascii="Arial" w:cs="Arial" w:eastAsia="Arial" w:hAnsi="Arial"/>
          <w:sz w:val="18"/>
          <w:szCs w:val="18"/>
          <w:color w:val="333333"/>
        </w:rPr>
      </w:pPr>
      <w:r>
        <w:rPr>
          <w:rFonts w:ascii="Arial" w:cs="Arial" w:eastAsia="Arial" w:hAnsi="Arial"/>
          <w:sz w:val="18"/>
          <w:szCs w:val="18"/>
          <w:color w:val="auto"/>
        </w:rPr>
        <w:t>increased pricing in our U.S. Consumer, Hawthorne and Other segments;</w:t>
      </w:r>
    </w:p>
    <w:p>
      <w:pPr>
        <w:spacing w:after="0" w:line="82" w:lineRule="exact"/>
        <w:rPr>
          <w:rFonts w:ascii="Arial" w:cs="Arial" w:eastAsia="Arial" w:hAnsi="Arial"/>
          <w:sz w:val="18"/>
          <w:szCs w:val="18"/>
          <w:color w:val="333333"/>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 and</w:t>
      </w:r>
    </w:p>
    <w:p>
      <w:pPr>
        <w:spacing w:after="0" w:line="50"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favorable impact of foreign exchange rates as a result of the weakening of the U.S. dollar relative to the euro and the Canadian dollar.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sales for fiscal 2020 as compared to fiscal 2019 was primarily driven by:</w:t>
      </w:r>
    </w:p>
    <w:p>
      <w:pPr>
        <w:spacing w:after="0" w:line="82" w:lineRule="exact"/>
        <w:rPr>
          <w:sz w:val="20"/>
          <w:szCs w:val="20"/>
          <w:color w:val="auto"/>
        </w:rPr>
      </w:pPr>
    </w:p>
    <w:p>
      <w:pPr>
        <w:jc w:val="both"/>
        <w:ind w:left="640" w:hanging="319"/>
        <w:spacing w:after="0" w:line="286" w:lineRule="auto"/>
        <w:tabs>
          <w:tab w:leader="none" w:pos="6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increased sales volume due to increased consumer demand including impacts of the COVID-19 pandemic and driven by soils, fertilizer, grass seed, controls and plant food products in our U.S. Consumer segment; lighting, nutrients, hardware and growing environments products in our Hawthorne segment; and increased sales in our Other segment; partially offset by decreased sales of mulch products in our U.S. Consumer segment and a decrease of approximately $29.7 due to the loss in sales from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extension products that were sold to Monsanto during fiscal 2019;</w:t>
      </w:r>
    </w:p>
    <w:p>
      <w:pPr>
        <w:spacing w:after="0" w:line="2" w:lineRule="exact"/>
        <w:rPr>
          <w:rFonts w:ascii="Arial" w:cs="Arial" w:eastAsia="Arial" w:hAnsi="Arial"/>
          <w:sz w:val="16"/>
          <w:szCs w:val="16"/>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pricing in our U.S. Consumer and Hawthorne segments; and</w:t>
      </w:r>
    </w:p>
    <w:p>
      <w:pPr>
        <w:spacing w:after="0" w:line="86"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 and the Bonnie Services Agreement;</w:t>
      </w:r>
    </w:p>
    <w:p>
      <w:pPr>
        <w:spacing w:after="0" w:line="44"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partially offset by the unfavorable impact of foreign exchange rates as a result of the strengthening of the U.S. dollar relative to the Canadian dollar.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3"/>
              </w:rPr>
              <w:t>Year Ended September 30,</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2"/>
        </w:trPr>
        <w:tc>
          <w:tcPr>
            <w:tcW w:w="6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7"/>
        </w:trPr>
        <w:tc>
          <w:tcPr>
            <w:tcW w:w="62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Materials</w:t>
            </w:r>
          </w:p>
        </w:tc>
        <w:tc>
          <w:tcPr>
            <w:tcW w:w="9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1,962.5</w:t>
            </w:r>
          </w:p>
        </w:tc>
        <w:tc>
          <w:tcPr>
            <w:tcW w:w="88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Manufacturing labor and overhead</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485.8</w:t>
            </w: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and warehousing</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23"/>
        </w:trPr>
        <w:tc>
          <w:tcPr>
            <w:tcW w:w="62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17"/>
        </w:trPr>
        <w:tc>
          <w:tcPr>
            <w:tcW w:w="62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3,431.3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2,130.5</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6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3,456.0</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2,136.4</w:t>
            </w:r>
          </w:p>
        </w:tc>
      </w:tr>
      <w:tr>
        <w:trPr>
          <w:trHeight w:val="20"/>
        </w:trPr>
        <w:tc>
          <w:tcPr>
            <w:tcW w:w="6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11"/>
        </w:trPr>
        <w:tc>
          <w:tcPr>
            <w:tcW w:w="7220" w:type="dxa"/>
            <w:vAlign w:val="bottom"/>
            <w:gridSpan w:val="3"/>
          </w:tcPr>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6"/>
        </w:trPr>
        <w:tc>
          <w:tcPr>
            <w:tcW w:w="6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September 30,</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82"/>
        </w:trPr>
        <w:tc>
          <w:tcPr>
            <w:tcW w:w="62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2020</w:t>
            </w:r>
          </w:p>
        </w:tc>
      </w:tr>
      <w:tr>
        <w:trPr>
          <w:trHeight w:val="217"/>
        </w:trPr>
        <w:tc>
          <w:tcPr>
            <w:tcW w:w="62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Volume, product mix and other</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545.9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Material cost changes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2"/>
          </w:tcPr>
          <w:p>
            <w:pPr>
              <w:jc w:val="right"/>
              <w:ind w:right="4"/>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2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17"/>
        </w:trPr>
        <w:tc>
          <w:tcPr>
            <w:tcW w:w="6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662.7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62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Change in cost of sales</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671.4</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cost of sales for fiscal 2021 as compared to fiscal 2020 was primarily driven by:</w:t>
      </w:r>
    </w:p>
    <w:p>
      <w:pPr>
        <w:spacing w:after="0" w:line="95"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sales volume in our U.S. Consumer, Hawthorne and Other segments;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material prices in our U.S. Consumer, Hawthorne and Other segments;</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higher transportation prices and warehousing costs included within “volume, product mix and other” in our U.S. Consumer and Hawthorne segments;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weakening of the U.S. dollar relative to the euro and the Canadian dollar;</w:t>
      </w:r>
    </w:p>
    <w:p>
      <w:pPr>
        <w:spacing w:after="0" w:line="124" w:lineRule="exact"/>
        <w:rPr>
          <w:rFonts w:ascii="Arial" w:cs="Arial" w:eastAsia="Arial" w:hAnsi="Arial"/>
          <w:sz w:val="16"/>
          <w:szCs w:val="16"/>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 and</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384" w:lineRule="exact"/>
        <w:rPr>
          <w:sz w:val="20"/>
          <w:szCs w:val="20"/>
          <w:color w:val="auto"/>
        </w:rPr>
      </w:pPr>
    </w:p>
    <w:p>
      <w:pPr>
        <w:ind w:left="5540" w:right="5280" w:hanging="5219"/>
        <w:spacing w:after="0" w:line="675" w:lineRule="auto"/>
        <w:tabs>
          <w:tab w:leader="none" w:pos="635" w:val="left"/>
        </w:tabs>
        <w:numPr>
          <w:ilvl w:val="0"/>
          <w:numId w:val="18"/>
        </w:numPr>
        <w:rPr>
          <w:rFonts w:ascii="Arial" w:cs="Arial" w:eastAsia="Arial" w:hAnsi="Arial"/>
          <w:sz w:val="15"/>
          <w:szCs w:val="15"/>
          <w:color w:val="auto"/>
        </w:rPr>
      </w:pPr>
      <w:r>
        <w:rPr>
          <w:rFonts w:ascii="Arial" w:cs="Arial" w:eastAsia="Arial" w:hAnsi="Arial"/>
          <w:sz w:val="15"/>
          <w:szCs w:val="15"/>
          <w:color w:val="auto"/>
        </w:rPr>
        <w:t>higher sales volume in our U.S. Consumer, Hawthorne and Other segments;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363220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jc w:val="center"/>
        <w:ind w:right="-19"/>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ind w:left="640" w:hanging="319"/>
        <w:spacing w:after="0" w:line="261" w:lineRule="auto"/>
        <w:tabs>
          <w:tab w:leader="none" w:pos="6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segment;</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costs associated with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 and</w:t>
      </w:r>
    </w:p>
    <w:p>
      <w:pPr>
        <w:spacing w:after="0" w:line="50"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93"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partially offset by the favorable impact of foreign exchange rates as a result of the strengthening of the U.S. dollar relative to the Canadian dollar;</w:t>
      </w:r>
    </w:p>
    <w:p>
      <w:pPr>
        <w:spacing w:after="0" w:line="105" w:lineRule="exact"/>
        <w:rPr>
          <w:rFonts w:ascii="Arial" w:cs="Arial" w:eastAsia="Arial" w:hAnsi="Arial"/>
          <w:sz w:val="16"/>
          <w:szCs w:val="16"/>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material prices in our U.S. Consumer, Hawthorne and Other segments;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transportation prices included within “volume, product mix and other” in our U.S. Consumer segment.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82"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As a percentage of net sales, our gross profit rate was 29.8%, 32.6% and 32.3% for fiscal 2021, fiscal 2020 and fiscal 2019, respectively. Factors contributing to the change in gross profit rate are outlined in the following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3540" w:type="dxa"/>
            <w:vAlign w:val="bottom"/>
            <w:tcBorders>
              <w:bottom w:val="single" w:sz="8" w:color="auto"/>
            </w:tcBorders>
            <w:gridSpan w:val="3"/>
          </w:tcPr>
          <w:p>
            <w:pPr>
              <w:ind w:left="1740"/>
              <w:spacing w:after="0"/>
              <w:rPr>
                <w:sz w:val="20"/>
                <w:szCs w:val="20"/>
                <w:color w:val="auto"/>
              </w:rPr>
            </w:pPr>
            <w:r>
              <w:rPr>
                <w:rFonts w:ascii="Arial" w:cs="Arial" w:eastAsia="Arial" w:hAnsi="Arial"/>
                <w:sz w:val="14"/>
                <w:szCs w:val="14"/>
                <w:b w:val="1"/>
                <w:bCs w:val="1"/>
                <w:color w:val="auto"/>
              </w:rPr>
              <w:t>Year Ended September 30,</w:t>
            </w:r>
          </w:p>
        </w:tc>
        <w:tc>
          <w:tcPr>
            <w:tcW w:w="1560" w:type="dxa"/>
            <w:vAlign w:val="bottom"/>
            <w:tcBorders>
              <w:bottom w:val="single" w:sz="8" w:color="auto"/>
            </w:tcBorders>
          </w:tcPr>
          <w:p>
            <w:pPr>
              <w:spacing w:after="0"/>
              <w:rPr>
                <w:sz w:val="16"/>
                <w:szCs w:val="16"/>
                <w:color w:val="auto"/>
              </w:rPr>
            </w:pPr>
          </w:p>
        </w:tc>
      </w:tr>
      <w:tr>
        <w:trPr>
          <w:trHeight w:val="182"/>
        </w:trPr>
        <w:tc>
          <w:tcPr>
            <w:tcW w:w="6120" w:type="dxa"/>
            <w:vAlign w:val="bottom"/>
            <w:tcBorders>
              <w:bottom w:val="single" w:sz="8" w:color="CCEEFF"/>
            </w:tcBorders>
          </w:tcPr>
          <w:p>
            <w:pPr>
              <w:spacing w:after="0"/>
              <w:rPr>
                <w:sz w:val="15"/>
                <w:szCs w:val="15"/>
                <w:color w:val="auto"/>
              </w:rPr>
            </w:pPr>
          </w:p>
        </w:tc>
        <w:tc>
          <w:tcPr>
            <w:tcW w:w="2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r>
      <w:tr>
        <w:trPr>
          <w:trHeight w:val="217"/>
        </w:trPr>
        <w:tc>
          <w:tcPr>
            <w:tcW w:w="61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Volume, product mix and other</w:t>
            </w:r>
          </w:p>
        </w:tc>
        <w:tc>
          <w:tcPr>
            <w:tcW w:w="250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4"/>
              </w:rPr>
              <w:t>(1.8)%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6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0"/>
              </w:rPr>
              <w:t>(0.6)%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500" w:type="dxa"/>
            <w:vAlign w:val="bottom"/>
          </w:tcPr>
          <w:p>
            <w:pPr>
              <w:ind w:left="19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ind w:left="1120"/>
              <w:spacing w:after="0"/>
              <w:rPr>
                <w:sz w:val="20"/>
                <w:szCs w:val="20"/>
                <w:color w:val="auto"/>
              </w:rPr>
            </w:pPr>
            <w:r>
              <w:rPr>
                <w:rFonts w:ascii="Arial" w:cs="Arial" w:eastAsia="Arial" w:hAnsi="Arial"/>
                <w:sz w:val="18"/>
                <w:szCs w:val="18"/>
                <w:color w:val="auto"/>
              </w:rPr>
              <w:t>0.2</w:t>
            </w:r>
          </w:p>
        </w:tc>
      </w:tr>
      <w:tr>
        <w:trPr>
          <w:trHeight w:val="224"/>
        </w:trPr>
        <w:tc>
          <w:tcPr>
            <w:tcW w:w="61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commissions and reimbursements</w:t>
            </w:r>
          </w:p>
        </w:tc>
        <w:tc>
          <w:tcPr>
            <w:tcW w:w="354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0.1</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Pricing</w:t>
            </w:r>
          </w:p>
        </w:tc>
        <w:tc>
          <w:tcPr>
            <w:tcW w:w="25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0.8</w:t>
            </w:r>
          </w:p>
        </w:tc>
      </w:tr>
      <w:tr>
        <w:trPr>
          <w:trHeight w:val="217"/>
        </w:trPr>
        <w:tc>
          <w:tcPr>
            <w:tcW w:w="6120" w:type="dxa"/>
            <w:vAlign w:val="bottom"/>
            <w:shd w:val="clear" w:color="auto" w:fill="CCEEFF"/>
          </w:tcPr>
          <w:p>
            <w:pPr>
              <w:spacing w:after="0"/>
              <w:rPr>
                <w:sz w:val="18"/>
                <w:szCs w:val="18"/>
                <w:color w:val="auto"/>
              </w:rPr>
            </w:pPr>
          </w:p>
        </w:tc>
        <w:tc>
          <w:tcPr>
            <w:tcW w:w="25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5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0.5</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250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(0.2)</w:t>
            </w:r>
          </w:p>
        </w:tc>
      </w:tr>
      <w:tr>
        <w:trPr>
          <w:trHeight w:val="242"/>
        </w:trPr>
        <w:tc>
          <w:tcPr>
            <w:tcW w:w="61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Change in gross profit rate</w:t>
            </w:r>
          </w:p>
        </w:tc>
        <w:tc>
          <w:tcPr>
            <w:tcW w:w="2500" w:type="dxa"/>
            <w:vAlign w:val="bottom"/>
            <w:tcBorders>
              <w:bottom w:val="single" w:sz="8" w:color="auto"/>
            </w:tcBorders>
            <w:shd w:val="clear" w:color="auto" w:fill="CCEEFF"/>
          </w:tcPr>
          <w:p>
            <w:pPr>
              <w:ind w:left="1980"/>
              <w:spacing w:after="0"/>
              <w:rPr>
                <w:sz w:val="20"/>
                <w:szCs w:val="20"/>
                <w:color w:val="auto"/>
              </w:rPr>
            </w:pPr>
            <w:r>
              <w:rPr>
                <w:rFonts w:ascii="Arial" w:cs="Arial" w:eastAsia="Arial" w:hAnsi="Arial"/>
                <w:sz w:val="18"/>
                <w:szCs w:val="18"/>
                <w:color w:val="auto"/>
                <w:w w:val="94"/>
              </w:rPr>
              <w:t>(2.8)%</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1"/>
              </w:rPr>
              <w:t>0.3 %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gross profit rate for fiscal 2021 as compared to fiscal 2020 was primarily driven by:</w:t>
      </w:r>
    </w:p>
    <w:p>
      <w:pPr>
        <w:spacing w:after="0" w:line="95" w:lineRule="exact"/>
        <w:rPr>
          <w:sz w:val="20"/>
          <w:szCs w:val="20"/>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higher transportation prices and warehousing costs included within “volume, product mix and other” in our U.S. Consumer and Hawthorne segments;</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material prices in our U.S. Consumer, Hawthorne and Other segments; and</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mix driven by higher sales growth in our Hawthorne segment relative to our U.S. Consumer segment;</w:t>
      </w:r>
    </w:p>
    <w:p>
      <w:pPr>
        <w:spacing w:after="0" w:line="108"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partially offset by favorable leverage of fixed costs driven by higher sales volume in our U.S. Consumer, Hawthorne and Other segments; and</w:t>
      </w:r>
    </w:p>
    <w:p>
      <w:pPr>
        <w:spacing w:after="0" w:line="131" w:lineRule="exact"/>
        <w:rPr>
          <w:rFonts w:ascii="Arial" w:cs="Arial" w:eastAsia="Arial" w:hAnsi="Arial"/>
          <w:sz w:val="16"/>
          <w:szCs w:val="16"/>
          <w:color w:val="auto"/>
        </w:rPr>
      </w:pPr>
    </w:p>
    <w:p>
      <w:pPr>
        <w:ind w:left="640" w:hanging="319"/>
        <w:spacing w:after="0"/>
        <w:tabs>
          <w:tab w:leader="none" w:pos="640" w:val="left"/>
        </w:tabs>
        <w:numPr>
          <w:ilvl w:val="0"/>
          <w:numId w:val="20"/>
        </w:numPr>
        <w:rPr>
          <w:rFonts w:ascii="Arial" w:cs="Arial" w:eastAsia="Arial" w:hAnsi="Arial"/>
          <w:sz w:val="18"/>
          <w:szCs w:val="18"/>
          <w:color w:val="333333"/>
        </w:rPr>
      </w:pPr>
      <w:r>
        <w:rPr>
          <w:rFonts w:ascii="Arial" w:cs="Arial" w:eastAsia="Arial" w:hAnsi="Arial"/>
          <w:sz w:val="18"/>
          <w:szCs w:val="18"/>
          <w:color w:val="auto"/>
        </w:rPr>
        <w:t>increased pricing in our U.S. Consumer, Hawthorne and Other segments.</w:t>
      </w:r>
    </w:p>
    <w:p>
      <w:pPr>
        <w:spacing w:after="0" w:line="384" w:lineRule="exact"/>
        <w:rPr>
          <w:sz w:val="20"/>
          <w:szCs w:val="20"/>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pricing in our U.S. Consumer and Hawthorne segments;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material prices in our U.S. Consumer, Hawthorne and Other segments;</w:t>
      </w:r>
    </w:p>
    <w:p>
      <w:pPr>
        <w:spacing w:after="0" w:line="88"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net sales associated with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w:t>
      </w:r>
    </w:p>
    <w:p>
      <w:pPr>
        <w:spacing w:after="0" w:line="44"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net sales associated with the Bonnie Services Agreement included within “volume, product mix and other” in our U.S. Consumer segment;</w:t>
      </w:r>
    </w:p>
    <w:p>
      <w:pPr>
        <w:spacing w:after="0" w:line="116" w:lineRule="exact"/>
        <w:rPr>
          <w:rFonts w:ascii="Arial" w:cs="Arial" w:eastAsia="Arial" w:hAnsi="Arial"/>
          <w:sz w:val="16"/>
          <w:szCs w:val="16"/>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transportation prices included within “volume, product mix and other” in our U.S. Consumer segment;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favorable leverage of fixed costs driven by higher sales volume in our U.S. Consumer, Hawthorne and Other segments;</w:t>
      </w:r>
    </w:p>
    <w:p>
      <w:pPr>
        <w:spacing w:after="0" w:line="95"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partially offset by unfavorable mix driven by higher sales growth in our Hawthorne segment relative to our U.S. Consumer segment and increased sales of lower tier and commodity soils products within our U.S. Consumer segment;</w:t>
      </w:r>
    </w:p>
    <w:p>
      <w:pPr>
        <w:spacing w:after="0" w:line="6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warehousing costs and inventory adjustments to net realizable value included within “volume, product mix and other” associated with our U.S. Consumer segment; and</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as a result of costs associated with the COVID-19 pandemic.</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September 30,</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2"/>
        </w:trPr>
        <w:tc>
          <w:tcPr>
            <w:tcW w:w="54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2019</w:t>
            </w:r>
          </w:p>
        </w:tc>
      </w:tr>
      <w:tr>
        <w:trPr>
          <w:trHeight w:val="217"/>
        </w:trPr>
        <w:tc>
          <w:tcPr>
            <w:tcW w:w="54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Advertising</w:t>
            </w:r>
          </w:p>
        </w:tc>
        <w:tc>
          <w:tcPr>
            <w:tcW w:w="116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120.3</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Advertising as a percentage of net sales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39.6</w:t>
            </w: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spacing w:after="0"/>
              <w:rPr>
                <w:sz w:val="19"/>
                <w:szCs w:val="19"/>
                <w:color w:val="auto"/>
              </w:rPr>
            </w:pP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36"/>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38.4</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32.9</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370.1</w:t>
            </w:r>
          </w:p>
        </w:tc>
      </w:tr>
      <w:tr>
        <w:trPr>
          <w:trHeight w:val="242"/>
        </w:trPr>
        <w:tc>
          <w:tcPr>
            <w:tcW w:w="5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8"/>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743.5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757.8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601.3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SG&amp;A decreased $14.3, or 1.9%, during fiscal 2021 compared to fiscal 2020. Share-based compensation expense decreased $17.3, or 29.9%, in fiscal 2021 due to a more significant increase in the expected payout percentage on long-term performance-based awards during fiscal 2020 as compared to fiscal 2021. Advertising expense increased $18.3, or 12.4%, in fiscal 2021 driven by increased media spending in our U.S. Consumer, Hawthorne and Other segments. Other SG&amp;A decreased $18.6, or 3.9%, in fiscal 2021 driven by lower short-term variable cash incentive compensation expense of $48.8 and lower corporate spending, partially offset by increases in various categories supporting the continued growth of the business including information technology, strategy and people costs.</w:t>
      </w:r>
    </w:p>
    <w:p>
      <w:pPr>
        <w:spacing w:after="0" w:line="76"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SG&amp;A increased $156.5, or 26.0%, during fiscal 2020 compared to fiscal 2019. Advertising expense increased $27.1, or 22.5%, in fiscal 2020 driven by increased media spending in our U.S. Consumer and Hawthorne segments. Share-based compensation expense increased $19.5, or 50.8%, in fiscal 2020 due to an increase in the expected payout percentage on long-term performance-based awards. Other SG&amp;A increased $111.2, or 30.0%, in fiscal 2020 driven by higher short-term variable cash incentive compensation expense of $67.6, higher selling expense of $18.6, higher one-time payments and retirement contributions to our hourly and certain salaried associates who do not participate in our short-term variable cash incentive compensation plans and higher contributions supporting community initiatives and charities.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8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04"/>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Cost of sales—impairment, restructuring and other:</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Intangible asset and property, plant and equipment impairments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Impairment, restructuring and other charges from continuing operations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Total impairment, restructuring and other charges (recoveries)</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6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82"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In response to the COVID-19 pandemic, we implemented measures intended to protect the health and safety of our employees and maintain our ability to provide products to our customers as described in additional detail above under “COVID-19 Response and Impacts.” During fiscal 2021, we incurred costs of $29.2 associated with the COVID-19 pandemic primarily related to premium pay. We incurred costs of $21.2 in our U.S. Consumer segment, $3.2 in our Hawthorne segment and $0.6 in our Other segment in the “Cost of sales—impairment, restructuring and other” line in the Consolidated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Operations during fiscal 2021. We incurred costs of $4.0 in our U.S. Consumer segment and $0.2 in our Other segment in the “Impairment, restructuring and other” line in the Consolidated Statements of Operations during fiscal 2021.</w:t>
      </w:r>
    </w:p>
    <w:p>
      <w:pPr>
        <w:spacing w:after="0" w:line="49"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During fiscal 2020, we incurred costs of $19.4 associated with the COVID-19 pandemic primarily related to premium pay. We incurred costs of $12.4 in our U.S. Consumer segment, $2.6 in our Hawthorne segment and $0.5 in our Other segment in the “Cost of sales—impairment, restructuring and other” line in the Consolidated Statements of Operations during fiscal 2020. We incurred costs of $3.8 in our U.S. Consumer segment and $0.1 in our Other segment in the “Impairment, restructuring and other” line in the Consolidated Statements of Operations during fiscal 2020.</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During fiscal 2018 we announced the launch of an initiative called Project Catalyst, which was a company-wide restructuring effort to reduce operating costs throughout our U.S. Consumer, Hawthorne and Other segments and drive synergies from acquisitions within our Hawthorne segment. Costs incurred during fiscal 2021 and fiscal 2020 related to Project Catalyst were not material. Costs incurred to date since the inception of Project Catalyst are $24.5 for our Hawthorne segment, $13.9 for our U.S. Consumer segment, $1.3 for our Other segment and $2.8 for Corporate. Additionally, during fiscal 2020, we received $2.6 from the final settlement of escrow funds related to a previous acquisition within the Hawthorne segment that was recognized in the “Impairment, restructuring and other” line in the Consolidated Statements of Operations.</w:t>
      </w:r>
    </w:p>
    <w:p>
      <w:pPr>
        <w:spacing w:after="0" w:line="34" w:lineRule="exact"/>
        <w:rPr>
          <w:sz w:val="20"/>
          <w:szCs w:val="20"/>
          <w:color w:val="auto"/>
        </w:rPr>
      </w:pPr>
    </w:p>
    <w:p>
      <w:pPr>
        <w:jc w:val="both"/>
        <w:ind w:firstLine="434"/>
        <w:spacing w:after="0" w:line="309" w:lineRule="auto"/>
        <w:rPr>
          <w:sz w:val="20"/>
          <w:szCs w:val="20"/>
          <w:color w:val="auto"/>
        </w:rPr>
      </w:pPr>
      <w:r>
        <w:rPr>
          <w:rFonts w:ascii="Arial" w:cs="Arial" w:eastAsia="Arial" w:hAnsi="Arial"/>
          <w:sz w:val="15"/>
          <w:szCs w:val="15"/>
          <w:color w:val="auto"/>
        </w:rPr>
        <w:t>During fiscal 2019, we incurred charges of $13.7 related to Project Catalyst. We incurred charges of $1.1 in our U.S. Consumer segment, $4.2 in our Hawthorne segment and $0.6 in our Other segment in the “Cost of sales—impairment, restructuring and other” line in the Consolidated Statements of Operations during fiscal 2019 related to employee termination benefits, facility closure costs and impairment of property, plant and equipment. We incurred charges of $0.5 in our U.S. Consumer segment, $3.9 in our Hawthorne segment, $0.6 in our Other segment and $2.8 at Corporate in the “Impairment, restructuring and other” line in the Consolidated Statements of Operations during fiscal 2019 related to employee termination benefits and facility closure costs.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 xml:space="preserve">We recognized insurance recoveries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of $1.5 and $13.4 during fiscal 2020 and fiscal 2019, respectively, in the “Income (loss) from discontinued operations, net of tax” line in the Consolidated Statements of Operations. In addition, during fiscal 2019, we recognized a favorable adjustment of $22.5 in the “Income (loss) from discontinued operations, net of tax” line in the Consolidated Statements of Operations as a result of the final resolution of the previously disclosed settlement agreement related to this matter. Refer to “NOTE 20. CONTINGENCIES” of the Notes to the Consolidated Financial Statements included in this Form 10-K for more information.</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82"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Other (income) expense is comprised of activities outside our normal business operations, such as royalty income from the licensing of certain of our brand names, foreign exchange transaction gains and losses and gains and losses from the disposition of non-inventory assets. Other (income) expense was $(1.8), $3.2 and $1.3 in fiscal 2021, fiscal 2020 and fiscal 2019, respectively. The change for fiscal 2021 was primarily due to foreign exchange transaction gains and losses. The change for fiscal 2020 was primarily due to losses on long-lived assets.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5"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Income from operations was $723.0 in fiscal 2021, an increase of 23.5% compared to $585.2 in fiscal 2020. The increase was driven by higher net sales, lower SG&amp;A and higher other income, partially offset by a decrease in gross profit rate and higher impairment, restructuring and other charges.</w:t>
      </w:r>
    </w:p>
    <w:p>
      <w:pPr>
        <w:spacing w:after="0" w:line="3"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Income from operations was $585.2 in fiscal 2020, an increase of 42.9% compared to $409.6 in fiscal 2019. The increase was driven by higher net sales and an increase in gross profit rate, partially offset by higher SG&amp;A.</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Equity in income of unconsolidated affiliates was $14.4, zero and $3.3 in fiscal 2021, fiscal 2020 and fiscal 2019, respectively. We acquired a 50% equity interest in Bonnie Plants, LLC on December 31, 2020. Our interest is accounted for using the equity method of accounting, with our proportionate share of Bonnie Plants, LLC earnings subsequent to December 31, 2020 reflected in the Consolidated Statements of Operations. The decrease for fiscal 2020 was attributable to the April 1, 2019 sale of our noncontrolling equity interest in an unconsolidated subsidiary whose products support the professional U.S. industrial, turf and ornamental market (the “IT&amp;O Joint Venture”). Refer to “NOTE 9. INVESTMENT IN UNCONSOLIDATED AFFILIATES” of the Notes to the Consolidated Financial Statements included in this Form 10-K for more information regarding the IT&amp;O Joint Venture.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Costs Related to Refinancing</w:t>
      </w:r>
    </w:p>
    <w:p>
      <w:pPr>
        <w:spacing w:after="0" w:line="82"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Costs related to refinancing were zero, $15.1 and zero in fiscal 2021, fiscal 2020 and fiscal 2019, respectively. The costs incurred in fiscal 2020 were associated with the redemption of our 6.000% Senior Notes due 2023 (the “6.000% Senior Notes”), and are comprised of $12.0 of redemption premium and $3.1 of unamortized bond issuance costs that were written off. Refer to “NOTE 12. DEBT” of the Notes to the Consolidated Financial Statements included in this Annual Report on Form 10-K for more information regarding the redemption of the 6.000% Senior Notes.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Interest expense was $78.9 in fiscal 2021, a decrease of 0.9% compared to $79.6 in fiscal 2020. The decrease was driven by a decrease in our weighted average interest rate of 61 basis points, partially offset by an increase in average borrowings of $289.0. The decrease in our weighted average interest rate was driven by lower borrowing rates on the Fifth A&amp;R Credit Agreement. The increase in average borrowings was primarily driven by higher inventory production, capital expenditures and acquisition activity.</w:t>
      </w:r>
    </w:p>
    <w:p>
      <w:pPr>
        <w:spacing w:after="0" w:line="61" w:lineRule="exact"/>
        <w:rPr>
          <w:sz w:val="20"/>
          <w:szCs w:val="20"/>
          <w:color w:val="auto"/>
        </w:rPr>
      </w:pPr>
    </w:p>
    <w:p>
      <w:pPr>
        <w:jc w:val="both"/>
        <w:ind w:firstLine="434"/>
        <w:spacing w:after="0" w:line="271" w:lineRule="auto"/>
        <w:rPr>
          <w:sz w:val="20"/>
          <w:szCs w:val="20"/>
          <w:color w:val="auto"/>
        </w:rPr>
      </w:pPr>
      <w:r>
        <w:rPr>
          <w:rFonts w:ascii="Arial" w:cs="Arial" w:eastAsia="Arial" w:hAnsi="Arial"/>
          <w:sz w:val="16"/>
          <w:szCs w:val="16"/>
          <w:color w:val="auto"/>
        </w:rPr>
        <w:t>Interest expense was $79.6 in fiscal 2020, a decrease of 21.8% compared to $101.8 in fiscal 2019. The decrease was driven by a decrease in average borrowings of $256.4 and a decrease in our weighted average interest rate of 50 basis points. The decrease in average borrowings was primarily driven by the application of the proceeds from the sale of our approximately 30% equity interest in Outdoor Home Services Holdings LLC, a lawn services joint venture between the Company and TruGreen Holding Corporation (the “TruGreen Joint Venture”), the payoff of second lien term loan financing by the TruGreen Joint Venture, the sale of our noncontrolling equity interest in the IT&amp;O Joint Venture and the sale of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 extension assets to reduce our indebtedness. The decrease in our weighted average interest rate was driven by lower borrowing rates on the Fifth A&amp;R Credit Agreement, the issuance of the 4.500% Senior Notes and the redemption of the 6.000% Senior Notes. Refer to “NOTE 9. INVESTMENT IN UNCONSOLIDATED AFFILIATES” of the Notes to the Consolidated Financial Statements included in this Form 10-K for more information regarding the TruGreen Joint Venture.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9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Other non-operating income was $18.6, $20.1 and $270.5 in fiscal 2021, fiscal 2020 and fiscal 2019, respectively, which included interest income of $4.1, $7.6 and $8.6 for fiscal 2021, fiscal 2020 and fiscal 2019, respectively.</w:t>
      </w:r>
    </w:p>
    <w:p>
      <w:pPr>
        <w:spacing w:after="0" w:line="49"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On December 31, 2020, we acquired a 50% equity interest in Bonnie Plants, LLC in exchange for cash payments of $102.3, forgiveness of our outstanding loan receivable with AFC and surrender of our options to increase our economic interest in the Bonnie Plants business. Our loan receivable with AFC, which was previously recognized in the “Other assets” line in the Consolidated Balance Sheets, had a carrying value of $66.4 on December 31, 2020. We recognized a gain of $12.5 during the first quarter of fiscal 2021 to write-up the value of the loan to its closing date fair value of $78.9.</w:t>
      </w:r>
    </w:p>
    <w:p>
      <w:pPr>
        <w:spacing w:after="0" w:line="4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During the fourth quarter of fiscal 2020, we recognized an increase in the fair value of the Bonnie Option of $12.0 driven by an increase in sales and profits of the Bonnie Business.</w:t>
      </w:r>
    </w:p>
    <w:p>
      <w:pPr>
        <w:spacing w:after="0" w:line="11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On March 19, 2019, we entered into an agreement under which we sold, to TruGreen Companies L.L.C., a subsidiary of TruGreen Holding Corporation, all of our approximately 30% equity interest in the TruGreen Joint Venture. In connection with this transaction, we received cash proceeds of $234.2 related to the sale of our equity interest in the TruGreen Joint Venture and $18.4 related to the payoff of second lien term loan financing by the TruGreen Joint Venture. During fiscal 2019, we also received a distribution from the TruGreen Joint Venture intended to cover certain required tax payments of $3.5, which was classified as an investing activity in the Consolidated Statements of Cash Flows. During fiscal 2019, we recognized a pre-tax gain of $259.8 related to this sale. The cash proceeds were applied to reduce our indebtedness. During fiscal 2019, we made cash tax payments of $99.5 associated with this disposition.</w:t>
      </w:r>
    </w:p>
    <w:p>
      <w:pPr>
        <w:spacing w:after="0" w:line="34"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On April 1, 2019, we sold all of our noncontrolling equity interest in the IT&amp;O Joint Venture for cash proceeds of $36.6. During fiscal 2019, we recognized a pre-tax gain of $2.9 related to this sale. During fiscal 2019, we received a distribution of net earnings from the IT&amp;O Joint Venture of $4.9, which was classified as an operating activity in the Consolidated Statements of Cash Flows.</w:t>
      </w:r>
    </w:p>
    <w:p>
      <w:pPr>
        <w:spacing w:after="0" w:line="7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During the second quarter of fiscal 2019, we recognized a charge of $2.5 related to the write-off of accumulated foreign currency translation loss adjustments of a foreign subsidiary that was substantially liquidated.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 from Continuing Operations</w:t>
      </w:r>
    </w:p>
    <w:p>
      <w:pPr>
        <w:spacing w:after="0" w:line="8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92"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Year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7"/>
        </w:trPr>
        <w:tc>
          <w:tcPr>
            <w:tcW w:w="64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Statutory income tax rate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0.3</w:t>
            </w: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other permanent differences</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(0.2)</w:t>
            </w: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tax contingencies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1.9</w:t>
            </w: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r>
      <w:tr>
        <w:trPr>
          <w:trHeight w:val="216"/>
        </w:trPr>
        <w:tc>
          <w:tcPr>
            <w:tcW w:w="6480" w:type="dxa"/>
            <w:vAlign w:val="bottom"/>
          </w:tcPr>
          <w:p>
            <w:pPr>
              <w:ind w:left="20"/>
              <w:spacing w:after="0" w:line="203" w:lineRule="exact"/>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23.6 %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24.9 %</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9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Income from continuing operations was $517.3, or $9.03 per diluted share, in fiscal 2021 compared to $386.9, or $6.78 per diluted share, in fiscal 2020. The increase was driven by higher net sales, lower SG&amp;A, higher other income, higher equity in income of unconsolidated affiliates and lower costs related to refinancing, partially offset by a decrease in gross profit rate and higher impairment, restructuring and other charges.</w:t>
      </w:r>
    </w:p>
    <w:p>
      <w:pPr>
        <w:spacing w:after="0" w:line="3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Diluted average common shares used in the diluted income per common share calculation were 57.2 million for fiscal 2021 compared to 56.9 million for fiscal 2020. The increase was primarily the result of the exercise and issuance of share-based compensation awards, partially offset by Common Share repurchase activity. Dilutive equivalent shares for fiscal 2021 and fiscal 2020 were 1.5 million and 1.2 million, respectively.</w:t>
      </w:r>
    </w:p>
    <w:p>
      <w:pPr>
        <w:spacing w:after="0" w:line="2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Income from continuing operations was $386.9, or $6.78 per diluted share, in fiscal 2020 compared to $436.7, or $7.77 per diluted share, in fiscal 2019. The decrease was driven by lower other non-operating income, higher SG&amp;A and higher costs related to refinancing, partially offset by higher net sales, an increase in gross profit rate and lower interest expense.</w:t>
      </w:r>
    </w:p>
    <w:p>
      <w:pPr>
        <w:spacing w:after="0" w:line="7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Diluted average common shares used in the diluted income per common share calculation were 56.9 million for fiscal 2020 compared to 56.3 million for fiscal 2019. The increase was primarily the result of the exercise and issuance of share-based compensation awards, partially offset by Common Share repurchase activity. Dilutive equivalent shares for fiscal 2020 and fiscal 2019 were 1.2 million and 0.8 million, respectively.</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82"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Income (loss) from discontinued operations, net of tax, was $(3.9), $1.7 and $23.5 for fiscal 2021, fiscal 2020 and fiscal 2019, respectively. On August 31, 2017, we completed the sale of the International Business. As a result, effective in our fourth quarter of fiscal 2017, we classified our results of operations for all periods presented to reflect the International Business as a discontinued operation. The transaction included contingent consideration with a maximum payout of $23.8 and an initial fair value of $18.2, the payment of which depended on the achievement of certain performance criteria by the International Business following the closing of the transaction through fiscal 2020. During fiscal 2021, we agreed to accept a contingent consideration payout of $6.0, which will be paid to us prior to March 31, 2022. This amount is recorded in the “Prepaid and other current assets” line in the Consolidated Balance Sheets as of September 30, 2021. We recorded a pre-tax charge of $12.2 during fiscal 2021 to write-down the contingent consideration receivable to the agreed upon payout amount.</w:t>
      </w:r>
    </w:p>
    <w:p>
      <w:pPr>
        <w:spacing w:after="0" w:line="104"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 xml:space="preserve">We recognized insurance recoveries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of $1.5 and $13.4 during fiscal 2020 and fiscal 2019, respectively. In addition, during fiscal 2019, we recognized a favorable pre-tax adjustment of $22.5 as a result of the final resolution of the previously disclosed settlement agreement related to this matter. Refer to “NOTE 20. CONTINGENCIES” of the Notes to the Consolidated Financial Statements included in this Annual Report on Form 10-K for more information.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During the first quarter of fiscal 2021, we changed our internal organization structure such that AeroGrow is now managed by and reported within our U.S. Consumer segment. Within our U.S. Consumer segment, AeroGrow is integrated into our overall direct to consumer focus and strategy. AeroGrow was previously managed by and reported within our Hawthorne segment. The prior period amounts have been reclassified to conform to the new organization structure.</w:t>
      </w:r>
    </w:p>
    <w:p>
      <w:pPr>
        <w:spacing w:after="0" w:line="74"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from continuing operations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September 30,</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2"/>
        </w:trPr>
        <w:tc>
          <w:tcPr>
            <w:tcW w:w="56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2019</w:t>
            </w:r>
          </w:p>
        </w:tc>
      </w:tr>
      <w:tr>
        <w:trPr>
          <w:trHeight w:val="217"/>
        </w:trPr>
        <w:tc>
          <w:tcPr>
            <w:tcW w:w="56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U.S. Consumer</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3,197.7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1,424.2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640.6</w:t>
            </w:r>
          </w:p>
        </w:tc>
      </w:tr>
      <w:tr>
        <w:trPr>
          <w:trHeight w:val="224"/>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r>
      <w:tr>
        <w:trPr>
          <w:trHeight w:val="216"/>
        </w:trPr>
        <w:tc>
          <w:tcPr>
            <w:tcW w:w="5680" w:type="dxa"/>
            <w:vAlign w:val="bottom"/>
          </w:tcPr>
          <w:p>
            <w:pPr>
              <w:ind w:left="220"/>
              <w:spacing w:after="0" w:line="203" w:lineRule="exact"/>
              <w:rPr>
                <w:sz w:val="20"/>
                <w:szCs w:val="20"/>
                <w:color w:val="auto"/>
              </w:rPr>
            </w:pPr>
            <w:r>
              <w:rPr>
                <w:rFonts w:ascii="Arial" w:cs="Arial" w:eastAsia="Arial" w:hAnsi="Arial"/>
                <w:sz w:val="18"/>
                <w:szCs w:val="18"/>
                <w:color w:val="auto"/>
              </w:rPr>
              <w:t>Consolidated</w:t>
            </w:r>
          </w:p>
        </w:tc>
        <w:tc>
          <w:tcPr>
            <w:tcW w:w="1100" w:type="dxa"/>
            <w:vAlign w:val="bottom"/>
            <w:tcBorders>
              <w:bottom w:val="single" w:sz="8" w:color="auto"/>
            </w:tcBorders>
          </w:tcPr>
          <w:p>
            <w:pPr>
              <w:jc w:val="right"/>
              <w:ind w:right="918"/>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4,925.0</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3,156.0</w:t>
            </w:r>
          </w:p>
        </w:tc>
      </w:tr>
      <w:tr>
        <w:trPr>
          <w:trHeight w:val="20"/>
        </w:trPr>
        <w:tc>
          <w:tcPr>
            <w:tcW w:w="5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following table sets forth Segment Profit (Loss) as well as a reconciliation to income from continuing operations before income taxes, the most directly comparable GAAP measure: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82"/>
        </w:trPr>
        <w:tc>
          <w:tcPr>
            <w:tcW w:w="566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17"/>
        </w:trPr>
        <w:tc>
          <w:tcPr>
            <w:tcW w:w="56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U.S. Consumer</w:t>
            </w: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54.6</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660" w:type="dxa"/>
            <w:vAlign w:val="bottom"/>
          </w:tcPr>
          <w:p>
            <w:pPr>
              <w:ind w:left="220"/>
              <w:spacing w:after="0" w:line="203" w:lineRule="exact"/>
              <w:rPr>
                <w:sz w:val="20"/>
                <w:szCs w:val="20"/>
                <w:color w:val="auto"/>
              </w:rPr>
            </w:pPr>
            <w:r>
              <w:rPr>
                <w:rFonts w:ascii="Arial" w:cs="Arial" w:eastAsia="Arial" w:hAnsi="Arial"/>
                <w:sz w:val="18"/>
                <w:szCs w:val="18"/>
                <w:color w:val="auto"/>
              </w:rPr>
              <w:t>Total Segment Profit (Non-GAAP)</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591.6</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(101.8)</w:t>
            </w: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r>
      <w:tr>
        <w:trPr>
          <w:trHeight w:val="216"/>
        </w:trPr>
        <w:tc>
          <w:tcPr>
            <w:tcW w:w="5660" w:type="dxa"/>
            <w:vAlign w:val="bottom"/>
          </w:tcPr>
          <w:p>
            <w:pPr>
              <w:ind w:left="220"/>
              <w:spacing w:after="0" w:line="203" w:lineRule="exact"/>
              <w:rPr>
                <w:sz w:val="20"/>
                <w:szCs w:val="20"/>
                <w:color w:val="auto"/>
              </w:rPr>
            </w:pPr>
            <w:r>
              <w:rPr>
                <w:rFonts w:ascii="Arial" w:cs="Arial" w:eastAsia="Arial" w:hAnsi="Arial"/>
                <w:sz w:val="18"/>
                <w:szCs w:val="18"/>
                <w:color w:val="auto"/>
              </w:rPr>
              <w:t>Income from continuing operations before income taxes (GAAP)</w:t>
            </w:r>
          </w:p>
        </w:tc>
        <w:tc>
          <w:tcPr>
            <w:tcW w:w="1120" w:type="dxa"/>
            <w:vAlign w:val="bottom"/>
            <w:tcBorders>
              <w:bottom w:val="single" w:sz="8" w:color="auto"/>
            </w:tcBorders>
          </w:tcPr>
          <w:p>
            <w:pPr>
              <w:jc w:val="right"/>
              <w:ind w:right="938"/>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w:t>
            </w:r>
          </w:p>
        </w:tc>
      </w:tr>
      <w:tr>
        <w:trPr>
          <w:trHeight w:val="20"/>
        </w:trPr>
        <w:tc>
          <w:tcPr>
            <w:tcW w:w="5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82"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U.S. Consumer segment net sales were $3,197.7 in fiscal 2021, an increase of 10.9% from fiscal 2020 net sales of $2,883.5. The increase was driven by the favorable impacts of volume and pricing of 10.2% and 0.7%, respectively. The increase in sales volume for fiscal 2021 was driven by soils, fertilizer, grass seed, mulch, controls, plant food and direct to consumer products as well as increased net sales associated with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marketing agreement.</w:t>
      </w:r>
    </w:p>
    <w:p>
      <w:pPr>
        <w:spacing w:after="0" w:line="2"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8"/>
          <w:szCs w:val="18"/>
          <w:color w:val="auto"/>
        </w:rPr>
        <w:t>U.S. Consumer Segment Profit was $726.7 in fiscal 2021, an increase of 4.7% from fiscal 2020 Segment Profit of $694.3. The increase for fiscal 2021 was primarily due to higher net sales, partially offset by a lower gross profit rate and higher SG&amp;A.</w:t>
      </w:r>
    </w:p>
    <w:p>
      <w:pPr>
        <w:spacing w:after="0" w:line="65" w:lineRule="exact"/>
        <w:rPr>
          <w:sz w:val="20"/>
          <w:szCs w:val="20"/>
          <w:color w:val="auto"/>
        </w:rPr>
      </w:pPr>
    </w:p>
    <w:p>
      <w:pPr>
        <w:jc w:val="both"/>
        <w:ind w:firstLine="434"/>
        <w:spacing w:after="0" w:line="234" w:lineRule="auto"/>
        <w:rPr>
          <w:sz w:val="20"/>
          <w:szCs w:val="20"/>
          <w:color w:val="auto"/>
        </w:rPr>
      </w:pPr>
      <w:r>
        <w:rPr>
          <w:rFonts w:ascii="Arial" w:cs="Arial" w:eastAsia="Arial" w:hAnsi="Arial"/>
          <w:sz w:val="18"/>
          <w:szCs w:val="18"/>
          <w:color w:val="auto"/>
        </w:rPr>
        <w:t>U.S. Consumer segment net sales were $2,883.5 in fiscal 2020, an increase of 24.7% from fiscal 2019 net sales of $2,311.7. The increase was driven by the favorable impacts of volume and pricing of 23.2% and 1.5%, respectively. The increase in sales volume for fiscal 2020 was driven by soils, fertilizer, grass seed, controls and plant food products, partially offset by decreased sales of mulch products and the loss in sales from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extension products that were sold to Monsanto during fiscal 2019.</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U.S. Consumer Segment Profit was $694.3 in fiscal 2020, an increase of 31.8% from fiscal 2019 Segment Profit of $526.7. The increase for fiscal 2020 was primarily due to higher net sales and a higher gross profit rate, partially offset by higher SG&amp;A.</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Hawthorne</w:t>
      </w:r>
    </w:p>
    <w:p>
      <w:pPr>
        <w:spacing w:after="0" w:line="9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Hawthorne segment net sales were $1,424.2 in fiscal 2021, an increase of 39.2% from fiscal 2020 net sales of $1,023.1. The increase was driven by the favorable impacts of volume, pricing and foreign exchange rates of 35.1%, 3.4% and 0.7%, respectively. The increase in sales volume for fiscal 2021 was driven by lighting, nutrients, growing media, hardware and growing environment products.</w:t>
      </w:r>
    </w:p>
    <w:p>
      <w:pPr>
        <w:spacing w:after="0" w:line="7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Hawthorne Segment Profit was $163.8 in fiscal 2021, an increase of 46.4% from fiscal 2020 Segment Profit of $111.9. The increase for fiscal 2021 was driven by higher net sales, partially offset by a lower gross profit rate and higher SG&amp;A.</w:t>
      </w:r>
    </w:p>
    <w:p>
      <w:pPr>
        <w:spacing w:after="0" w:line="4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Hawthorne segment net sales were $1,023.1 in fiscal 2020, an increase of 59.7% from fiscal 2019 net sales of $640.6. The increase was driven by the favorable impacts of volume and pricing of 56.0% and 3.7%, respectively. The increase in sales volume for fiscal 2020 was driven by lighting, nutrients, hardware and growing environment products.</w:t>
      </w:r>
    </w:p>
    <w:p>
      <w:pPr>
        <w:spacing w:after="0" w:line="7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Hawthorne Segment Profit was $111.9 in fiscal 2020, an increase of 104.9% from fiscal 2019 Segment Profit of $54.6. The increase for fiscal 2020 was driven by higher net sales and a higher gross profit rate, partially offset by higher SG&amp;A.</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w:t>
      </w:r>
    </w:p>
    <w:p>
      <w:pPr>
        <w:spacing w:after="0" w:line="8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Other segment net sales were $303.1 in fiscal 2021, an increase of 34.7% from fiscal 2020 net sales of $225.0. The increase was driven by the favorable impacts of volume, foreign exchange rates and pricing of 20.6%, 11.2% and 2.9%, respectively.</w:t>
      </w:r>
    </w:p>
    <w:p>
      <w:pPr>
        <w:spacing w:after="0" w:line="6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Other Segment Profit was $42.1 in fiscal 2021, an increase of 259.8% from fiscal 2020 Segment Profit of $11.7. The increase was driven by higher net sales and a higher gross profit rate, partially offset by higher SG&amp;A.</w:t>
      </w:r>
    </w:p>
    <w:p>
      <w:pPr>
        <w:spacing w:after="0" w:line="62"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Other segment net sales were $225.0 in fiscal 2020, an increase of 10.5% from fiscal 2019 net sales of $203.7. The increase was driven by the favorable impact of volume of 13.9%, partially offset by the unfavorable impacts of foreign exchange rates and pricing of 3.1% and 0.4%, respectively.</w:t>
      </w:r>
    </w:p>
    <w:p>
      <w:pPr>
        <w:spacing w:after="0" w:line="3"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Other Segment Profit was $11.7 in fiscal 2020, an increase of 13.6% from fiscal 2019 Segment Profit of $10.3. The increase was driven by higher net sales, partially offset by higher SG&amp;A.</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w:t>
      </w:r>
    </w:p>
    <w:p>
      <w:pPr>
        <w:spacing w:after="0" w:line="9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Corporate expenses were $149.7 in fiscal 2021, a decrease of 18.4% from fiscal 2020 expenses of $183.4. The decrease was driven by lower short-term variable cash incentive compensation expense, lower corporate spending and lower share-based compensation expense.</w:t>
      </w:r>
    </w:p>
    <w:p>
      <w:pPr>
        <w:spacing w:after="0" w:line="49"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Corporate expenses were $183.4 in fiscal 2020, an increase of 35.6% from fiscal 2019 expenses of $135.3. The increase was driven by higher short-term variable cash incentive compensation expense, an increase in the expected payout percentage on long-term performance-based awards, higher one-time payments and retirement contributions to our hourly and certain salaried associates who do not participate in our short-term variable cash incentive compensation plans and higher contributions supporting community initiatives and charities.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cash activities for the years ended September 30: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4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r>
      <w:tr>
        <w:trPr>
          <w:trHeight w:val="217"/>
        </w:trPr>
        <w:tc>
          <w:tcPr>
            <w:tcW w:w="45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2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8"/>
              </w:rPr>
              <w:t>271.5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226.8</w:t>
            </w:r>
          </w:p>
        </w:tc>
        <w:tc>
          <w:tcPr>
            <w:tcW w:w="40" w:type="dxa"/>
            <w:vAlign w:val="bottom"/>
          </w:tcPr>
          <w:p>
            <w:pPr>
              <w:spacing w:after="0"/>
              <w:rPr>
                <w:sz w:val="18"/>
                <w:szCs w:val="18"/>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center"/>
              <w:ind w:left="317"/>
              <w:spacing w:after="0"/>
              <w:rPr>
                <w:sz w:val="20"/>
                <w:szCs w:val="20"/>
                <w:color w:val="auto"/>
              </w:rPr>
            </w:pPr>
            <w:r>
              <w:rPr>
                <w:rFonts w:ascii="Arial" w:cs="Arial" w:eastAsia="Arial" w:hAnsi="Arial"/>
                <w:sz w:val="18"/>
                <w:szCs w:val="18"/>
                <w:color w:val="auto"/>
                <w:w w:val="91"/>
              </w:rPr>
              <w:t>(538.6)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center"/>
              <w:ind w:left="377"/>
              <w:spacing w:after="0"/>
              <w:rPr>
                <w:sz w:val="20"/>
                <w:szCs w:val="20"/>
                <w:color w:val="auto"/>
              </w:rPr>
            </w:pPr>
            <w:r>
              <w:rPr>
                <w:rFonts w:ascii="Arial" w:cs="Arial" w:eastAsia="Arial" w:hAnsi="Arial"/>
                <w:sz w:val="18"/>
                <w:szCs w:val="18"/>
                <w:color w:val="auto"/>
                <w:w w:val="88"/>
              </w:rPr>
              <w:t>255.2</w:t>
            </w:r>
          </w:p>
        </w:tc>
        <w:tc>
          <w:tcPr>
            <w:tcW w:w="40" w:type="dxa"/>
            <w:vAlign w:val="bottom"/>
          </w:tcPr>
          <w:p>
            <w:pPr>
              <w:spacing w:after="0"/>
              <w:rPr>
                <w:sz w:val="19"/>
                <w:szCs w:val="19"/>
                <w:color w:val="auto"/>
              </w:rPr>
            </w:pPr>
          </w:p>
        </w:tc>
      </w:tr>
      <w:tr>
        <w:trPr>
          <w:trHeight w:val="22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57"/>
              <w:spacing w:after="0"/>
              <w:rPr>
                <w:sz w:val="20"/>
                <w:szCs w:val="20"/>
                <w:color w:val="auto"/>
              </w:rPr>
            </w:pPr>
            <w:r>
              <w:rPr>
                <w:rFonts w:ascii="Arial" w:cs="Arial" w:eastAsia="Arial" w:hAnsi="Arial"/>
                <w:sz w:val="18"/>
                <w:szCs w:val="18"/>
                <w:color w:val="auto"/>
                <w:w w:val="88"/>
              </w:rPr>
              <w:t>494.0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1"/>
              </w:rPr>
              <w:t>(496.5)</w:t>
            </w:r>
          </w:p>
        </w:tc>
        <w:tc>
          <w:tcPr>
            <w:tcW w:w="40" w:type="dxa"/>
            <w:vAlign w:val="bottom"/>
          </w:tcPr>
          <w:p>
            <w:pPr>
              <w:spacing w:after="0"/>
              <w:rPr>
                <w:sz w:val="19"/>
                <w:szCs w:val="19"/>
                <w:color w:val="auto"/>
              </w:rPr>
            </w:pPr>
          </w:p>
        </w:tc>
      </w:tr>
      <w:tr>
        <w:trPr>
          <w:trHeight w:val="841"/>
        </w:trPr>
        <w:tc>
          <w:tcPr>
            <w:tcW w:w="4540" w:type="dxa"/>
            <w:vAlign w:val="bottom"/>
          </w:tcPr>
          <w:p>
            <w:pPr>
              <w:spacing w:after="0"/>
              <w:rPr>
                <w:sz w:val="24"/>
                <w:szCs w:val="24"/>
                <w:color w:val="auto"/>
              </w:rPr>
            </w:pPr>
          </w:p>
        </w:tc>
        <w:tc>
          <w:tcPr>
            <w:tcW w:w="2640" w:type="dxa"/>
            <w:vAlign w:val="bottom"/>
          </w:tcPr>
          <w:p>
            <w:pPr>
              <w:jc w:val="right"/>
              <w:ind w:right="1372"/>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454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2" w:lineRule="exact"/>
        <w:rPr>
          <w:sz w:val="20"/>
          <w:szCs w:val="20"/>
          <w:color w:val="auto"/>
        </w:rPr>
      </w:pPr>
    </w:p>
    <w:p>
      <w:pPr>
        <w:jc w:val="both"/>
        <w:ind w:firstLine="434"/>
        <w:spacing w:after="0" w:line="309" w:lineRule="auto"/>
        <w:rPr>
          <w:sz w:val="20"/>
          <w:szCs w:val="20"/>
          <w:color w:val="auto"/>
        </w:rPr>
      </w:pPr>
      <w:r>
        <w:rPr>
          <w:rFonts w:ascii="Arial" w:cs="Arial" w:eastAsia="Arial" w:hAnsi="Arial"/>
          <w:sz w:val="15"/>
          <w:szCs w:val="15"/>
          <w:color w:val="auto"/>
        </w:rPr>
        <w:t>Cash provided by operating activities totaled $271.5 for fiscal 2021, a decrease of $286.5 as compared to $558.0 for fiscal 2020. This decrease was driven by higher inventory production, higher short-term variable cash incentive compensation payouts and higher tax payments during fiscal 2021, partially offset by higher net income and lower interest payments. Higher inventory production was driven by the growth in net sales and an effort to build inventory levels to meet expected future demand. Fiscal 2021 was also impacted by extended payment terms with several of our major vendors across the U.S. Consumer and Hawthorne segments, as well as Monsanto, for payments originally due in the final weeks of fiscal 2021 and paid in the first quarter of fiscal 2022.</w:t>
      </w:r>
    </w:p>
    <w:p>
      <w:pPr>
        <w:spacing w:after="0" w:line="33"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Cash provided by operating activities totaled $558.0 for fiscal 2020, an increase of $331.2 as compared to $226.8 for fiscal 2019. This increase was driven by higher net income and lower interest payments during fiscal 2020, payments made in connection with litigation settlements during fiscal 2019 of $73.9 which were partially offset by insurance reimbursements of $13.4 received during fiscal 2019, and lower tax payments including $99.5 of payments made in connection with the sale of our equity interest in the TruGreen Joint Venture during fiscal 2019, partially offset by higher short-term variable cash incentive compensation payouts and higher SG&amp;A during fiscal 2020.</w:t>
      </w:r>
    </w:p>
    <w:p>
      <w:pPr>
        <w:spacing w:after="0" w:line="74"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seasonal nature of our North America consumer lawn and garden business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Cash used in investing activities totaled $538.6 for fiscal 2021 as compared to cash provided by investing activities of $46.9 for fiscal 2020. Cash used for investments in property, plant and equipment during fiscal 2021 was $106.9. During fiscal 2021, we acquired a 50% equity interest in Bonnie Plants, LLC in exchange for cash payments of $102.3, as well as non-cash investing activities that included forgiveness of the Company’s outstanding loan receivable with AFC and surrender of our options to increase our economic interest in the Bonnie Plants business. We also made payments of $127.8 in connection with the acquisitions of Hydro-Logic Purification Systems, Inc., Rhizoflora, Inc. and other contract and license rights, and made payments of $193.1 in connection with minority non-equity convertible debt investments. In addition, we paid cash of $8.7 associated with currency forward contracts during fiscal 2021.</w:t>
      </w:r>
    </w:p>
    <w:p>
      <w:pPr>
        <w:spacing w:after="0" w:line="47"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7"/>
          <w:szCs w:val="17"/>
          <w:color w:val="auto"/>
        </w:rPr>
        <w:t>Cash provided by investing activities totaled $46.9 for fiscal 2020 as compared to $255.2 for fiscal 2019. Cash used for investments in property, plant and equipment during fiscal 2020 was $62.7. During fiscal 2020, we received proceeds of $115.5 from the sale of the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extension assets. In addition, during fiscal 2020, we made loan investments of $3.4 and paid cash of $2.9 associated with currency forward contracts.</w:t>
      </w:r>
    </w:p>
    <w:p>
      <w:pPr>
        <w:spacing w:after="0" w:line="6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For the three fiscal years ended September 30, 2021, our capital spending was allocated as follows: 72% for expansion and maintenance of existing productive assets; 7% for new productive assets; 16% to expand our information technology and transformation and integration capabilities; and 5% for corporate assets. We expect fiscal 2022 capital expenditures to be higher than 2021 due to strategic investments supporting growth and existing infrastructure.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Cash provided by financing activities totaled $494.0 for fiscal 2021 as compared to cash used in financing activities of $607.1 for fiscal 2020. This increase was driven by the issuance of $500.0 aggregate principal amount of 4.000% Senior Notes and $400.0 aggregate principal amount of 4.375% Senior Notes, a decrease in net repayments of our Fifth A&amp;R Credit Facilities (as defined below) of $72.8 and a decrease in dividends paid of $268.2 as a result of the special cash dividend paid in fiscal 2020, partially offset by an increase in repurchases of our Common Shares of $76.1 and payments of $17.5 associated with the acquisition of the remaining outstanding shares of AeroGrow.</w:t>
      </w:r>
    </w:p>
    <w:p>
      <w:pPr>
        <w:spacing w:after="0" w:line="61"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Cash used in financing activities totaled $607.1 in fiscal 2020 as compared to $496.5 in fiscal 2019. This change was the result of an increase in dividends paid of $286.7 driven by the special cash dividend of $5.00 per Common Share paid on September 10, 2020, an increase in repurchases of our Common Shares of $50.1 during fiscal 2020, the redemption of all $400.0 aggregate principal amount of 6.000% Senior Notes, an increase in financing and issuance fees of $18.5 and a decrease in cash received from the exercise of stock options of $3.8, partially offset by the issuance of $450.0 aggregate principal amount of 4.500% Senior Notes and net repayments of our Fifth A&amp;R Credit Facilities of $191.1 during fiscal 2020 as compared to net repayments of our Fifth A&amp;R Credit Facilities of $389.3 during fiscal 2019.</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$244.1 and $16.6 at September 30, 2021 and 2020, respectively, included $15.9 and $9.4,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held by controlled foreign corporations. As of September 30, 2021, we maintain our assertion of indefinite reinvestment of the earnings of all material foreign subsidiaries.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8"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Our primary sources of liquidity are cash generated by operations and borrowings under our credit facilities, which are guaranteed by substantially all of Scotts Miracle-Gro’s domestic subsidiaries. We maintain the Fifth A&amp;R Credit Agreement that provides senior secured loan facilities in the aggregate principal amount of $2,300.0, comprised of a revolving credit facility of $1,500.0 and a term loan in the original principal amount of $800.0 (the “Fifth A&amp;R Credit Facilities”). The Fifth A&amp;R Credit Agreement is available for issuance of letters of credit up to $75.0 and will terminate on July 5, 2023.</w:t>
      </w:r>
    </w:p>
    <w:p>
      <w:pPr>
        <w:spacing w:after="0" w:line="3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At September 30, 2021, we had letters of credit outstanding in the aggregate principal amount of $19.8, and $1,480.2 of borrowing availability under the Fifth A&amp;R Credit Agreement. The weighted average interest rates on average borrowings under the Fifth A&amp;R Credit Agreement were 1.9%, 3.3% and 4.6% for fiscal 2021, fiscal 2020 and fiscal 2019, respectively.</w:t>
      </w:r>
    </w:p>
    <w:p>
      <w:pPr>
        <w:spacing w:after="0" w:line="71"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4.50. Our leverage ratio was 2.70 at September 30, 2021. The Fifth A&amp;R Credit Agreement also contains an affirmative covenant regarding our interest coverage ratio determined as of the end of each of our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2021. Our interest coverage ratio was 10.63 for the twelve months ended September 30, 2021. As of September 30, 2021, we were in compliance with these financial covenants.</w:t>
      </w:r>
    </w:p>
    <w:p>
      <w:pPr>
        <w:spacing w:after="0" w:line="51"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Fifth A&amp;R Credit Agreement allows us to make unlimited restricted payments (as defined in the Fifth A&amp;R Credit Agreement), including dividend payments on, and repurchases of, our Common Shares, as long as the leverage ratio resulting from the making of such restricted payments is 4.00 or less. Otherwise, we may make further restricted payments in an aggregate amount for each fiscal year not to exceed $225.0. 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2022. However, an unanticipated shortfall in earnings, an increase in net indebtedness or other factors could materially affect our ability to remain in compliance with the financial or other covenants of the Fifth A&amp;R Credit Agreement, potentially causing us to have to seek an amendment or waiver from our lending group which could result in repricing of the Fifth A&amp;R Credit Agreement. While we believe we have good relationships with our lending group, we can provide no assurance that such a request would result in a modified or replacement credit agreement on reasonable terms, if at all.</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On December 15, 2016, we issued $250.0 aggregate principal amount of 5.250% Senior Notes. The 5.250% Senior Notes represent general unsecured senior obligations and rank equal in right of payment with our existing and future unsecured senior debt. The 5.250% Senior Notes have interest payment dates of June 15 and December 15 of each year. Substantially all of our directly and indirectly owned domestic subsidiaries serve as guarantors of the 5.250% Senior Notes.</w:t>
      </w:r>
    </w:p>
    <w:p>
      <w:pPr>
        <w:spacing w:after="0" w:line="74" w:lineRule="exact"/>
        <w:rPr>
          <w:sz w:val="20"/>
          <w:szCs w:val="20"/>
          <w:color w:val="auto"/>
        </w:rPr>
      </w:pPr>
    </w:p>
    <w:p>
      <w:pPr>
        <w:jc w:val="both"/>
        <w:ind w:firstLine="434"/>
        <w:spacing w:after="0" w:line="315" w:lineRule="auto"/>
        <w:rPr>
          <w:sz w:val="20"/>
          <w:szCs w:val="20"/>
          <w:color w:val="auto"/>
        </w:rPr>
      </w:pPr>
      <w:r>
        <w:rPr>
          <w:rFonts w:ascii="Arial" w:cs="Arial" w:eastAsia="Arial" w:hAnsi="Arial"/>
          <w:sz w:val="15"/>
          <w:szCs w:val="15"/>
          <w:color w:val="auto"/>
        </w:rPr>
        <w:t>On October 22, 2019, we issued $450.0 aggregate principal amount of 4.500% Senior Notes. The net proceeds of the offering were used to redeem all of our outstanding 6.000% Senior Notes and for general corporate purposes. The 4.500% Senior Notes represent general unsecured senior obligations and rank equal in right of payment with our existing and future unsecured senior debt. The 4.500% Senior Notes have interest payment dates of April 15 and October 15 of each year. All of our domestic subsidiaries that serve as guarantors of the 5.250% Senior Notes also serve as guarantors of the 4.500% Senior Notes.</w:t>
      </w:r>
    </w:p>
    <w:p>
      <w:pPr>
        <w:spacing w:after="0" w:line="1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On October 23, 2019, we redeemed all of our outstanding 6.000% Senior Notes for a redemption price of $412.5, comprised of $0.5 of accrued and unpaid interest, $12.0 of redemption premium, and $400.0 for outstanding principal amount. The $12.0 redemption premium was recognized in the “Costs related to refinancing” line on the Consolidated Statements of Operations during the first quarter of fiscal 2020. Additionally, we had $3.1 in unamortized bond issuance costs associated with the 6.000% Senior Notes, which were written-off during the first quarter of fiscal 2020 and were recognized in the “Costs related to refinancing” line in the Consolidated Statements of Operations.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On March 17, 2021, we issued $500.0 aggregate principal amount of 4.000% Senior Notes. The net proceeds of the offering were used to reduce borrowings under the Fifth A&amp;R Credit Facilities. The 4.000% Senior Notes represent general unsecured senior obligations and rank equal in right of payment with our existing and future unsecured senior debt. The 4.000% Senior Notes have interest payment dates of April 1 and October 1 of each year, commencing October 1, 2021. All of our domestic subsidiaries that serve as guarantors of the 5.250% Senior Notes also serve as guarantors of the 4.000% Senior Notes.</w:t>
      </w:r>
    </w:p>
    <w:p>
      <w:pPr>
        <w:spacing w:after="0" w:line="31"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On August 13, 2021, we issued $400.0 aggregate principal amount of 4.375% Senior Notes due 2032. The net proceeds of the offering were used to reduce borrowings under the Fifth A&amp;R Credit Facilities and for other general corporate purposes. The 4.375% Senior Notes represent general unsecured senior obligations and rank equal in right of payment with our existing and future unsecured senior debt. The 4.375% Senior Notes have interest payment dates of February 1 and August 1 of each year, commencing February 1, 2022. All of our domestic subsidiaries that serve as guarantors of the 5.250% Senior Notes also serve as guarantors of the 4.375% Senior Notes.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also maintain a Master Repurchase Agreement (including the annexes thereto, the “Repurchase Agreement”) and a Master Framework Agreement, as amended (the “Framework Agreement” and, together with the Repurchase Agreement, the “Receivables Facility”). Under the Receivables Facility,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 $400.0 and the commitment amount during the seasonal commitment period beginning on February 25, 2022 and ending on June 17, 2022 is $160.0. The Receivables Facility expires on August 19, 2022.</w:t>
      </w:r>
    </w:p>
    <w:p>
      <w:pPr>
        <w:spacing w:after="0" w:line="34"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Consolidated Balance Sheets, primarily as a result of our requirement to repurchase receivables sold. As of September 30, 2021 and 2020, there were zero and $20.0, respectively, in borrowings on receivables pledged as collateral under the Receivables Facility, and the carrying value of the receivables pledged as collateral was zero and $22.3,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8"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September 30, 2021 and 2020 had a maximum total U.S. dollar equivalent notional amount of $600.0. The notional amount, effective date, expiration date and rate of each of the swap agreements outstanding at September 30, 2021 are shown in the table below:</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jc w:val="right"/>
              <w:ind w:right="715"/>
              <w:spacing w:after="0"/>
              <w:rPr>
                <w:sz w:val="20"/>
                <w:szCs w:val="20"/>
                <w:color w:val="auto"/>
              </w:rPr>
            </w:pPr>
            <w:r>
              <w:rPr>
                <w:rFonts w:ascii="Arial" w:cs="Arial" w:eastAsia="Arial" w:hAnsi="Arial"/>
                <w:sz w:val="14"/>
                <w:szCs w:val="14"/>
                <w:b w:val="1"/>
                <w:bCs w:val="1"/>
                <w:color w:val="auto"/>
              </w:rPr>
              <w:t>Notional Amount</w:t>
            </w:r>
          </w:p>
        </w:tc>
        <w:tc>
          <w:tcPr>
            <w:tcW w:w="360" w:type="dxa"/>
            <w:vAlign w:val="bottom"/>
          </w:tcPr>
          <w:p>
            <w:pPr>
              <w:spacing w:after="0"/>
              <w:rPr>
                <w:sz w:val="14"/>
                <w:szCs w:val="14"/>
                <w:color w:val="auto"/>
              </w:rPr>
            </w:pPr>
          </w:p>
        </w:tc>
        <w:tc>
          <w:tcPr>
            <w:tcW w:w="1700" w:type="dxa"/>
            <w:vAlign w:val="bottom"/>
          </w:tcPr>
          <w:p>
            <w:pPr>
              <w:jc w:val="center"/>
              <w:ind w:left="850"/>
              <w:spacing w:after="0"/>
              <w:rPr>
                <w:sz w:val="20"/>
                <w:szCs w:val="20"/>
                <w:color w:val="auto"/>
              </w:rPr>
            </w:pPr>
            <w:r>
              <w:rPr>
                <w:rFonts w:ascii="Arial" w:cs="Arial" w:eastAsia="Arial" w:hAnsi="Arial"/>
                <w:sz w:val="14"/>
                <w:szCs w:val="14"/>
                <w:b w:val="1"/>
                <w:bCs w:val="1"/>
                <w:color w:val="auto"/>
                <w:w w:val="92"/>
              </w:rPr>
              <w:t>Effective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Expiration</w:t>
            </w:r>
          </w:p>
        </w:tc>
        <w:tc>
          <w:tcPr>
            <w:tcW w:w="2760" w:type="dxa"/>
            <w:vAlign w:val="bottom"/>
          </w:tcPr>
          <w:p>
            <w:pPr>
              <w:jc w:val="right"/>
              <w:ind w:right="1117"/>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83"/>
        </w:trPr>
        <w:tc>
          <w:tcPr>
            <w:tcW w:w="26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jc w:val="center"/>
              <w:ind w:left="850"/>
              <w:spacing w:after="0"/>
              <w:rPr>
                <w:sz w:val="20"/>
                <w:szCs w:val="20"/>
                <w:color w:val="auto"/>
              </w:rPr>
            </w:pPr>
            <w:r>
              <w:rPr>
                <w:rFonts w:ascii="Arial" w:cs="Arial" w:eastAsia="Arial" w:hAnsi="Arial"/>
                <w:sz w:val="14"/>
                <w:szCs w:val="14"/>
                <w:b w:val="1"/>
                <w:bCs w:val="1"/>
                <w:color w:val="auto"/>
                <w:w w:val="89"/>
              </w:rPr>
              <w:t>Date (a)</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2760" w:type="dxa"/>
            <w:vAlign w:val="bottom"/>
          </w:tcPr>
          <w:p>
            <w:pPr>
              <w:jc w:val="right"/>
              <w:ind w:right="1157"/>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7"/>
        </w:trPr>
        <w:tc>
          <w:tcPr>
            <w:tcW w:w="2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1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3"/>
        </w:trPr>
        <w:tc>
          <w:tcPr>
            <w:tcW w:w="262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12/21/2020</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6/20/2023</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6"/>
        </w:trPr>
        <w:tc>
          <w:tcPr>
            <w:tcW w:w="262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10/7/2021</w:t>
            </w:r>
          </w:p>
        </w:tc>
        <w:tc>
          <w:tcPr>
            <w:tcW w:w="100" w:type="dxa"/>
            <w:vAlign w:val="bottom"/>
          </w:tcPr>
          <w:p>
            <w:pPr>
              <w:spacing w:after="0"/>
              <w:rPr>
                <w:sz w:val="20"/>
                <w:szCs w:val="20"/>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6/7/2023</w:t>
            </w:r>
          </w:p>
        </w:tc>
        <w:tc>
          <w:tcPr>
            <w:tcW w:w="10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4"/>
        </w:trPr>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6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(b)</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1/20/2022</w:t>
            </w:r>
          </w:p>
        </w:tc>
        <w:tc>
          <w:tcPr>
            <w:tcW w:w="1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6/20/2024</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23"/>
        </w:trPr>
        <w:tc>
          <w:tcPr>
            <w:tcW w:w="262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6/7/2023</w:t>
            </w:r>
          </w:p>
        </w:tc>
        <w:tc>
          <w:tcPr>
            <w:tcW w:w="1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6/8/2026</w:t>
            </w:r>
          </w:p>
        </w:tc>
        <w:tc>
          <w:tcPr>
            <w:tcW w:w="10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20" w:hanging="615"/>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are first hedged by the applicable swap agreement.</w:t>
      </w:r>
    </w:p>
    <w:p>
      <w:pPr>
        <w:spacing w:after="0" w:line="14" w:lineRule="exact"/>
        <w:rPr>
          <w:rFonts w:ascii="Arial" w:cs="Arial" w:eastAsia="Arial" w:hAnsi="Arial"/>
          <w:sz w:val="16"/>
          <w:szCs w:val="16"/>
          <w:color w:val="auto"/>
        </w:rPr>
      </w:pPr>
    </w:p>
    <w:p>
      <w:pPr>
        <w:ind w:left="640" w:hanging="635"/>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Availability and Use of Cash</w:t>
      </w:r>
    </w:p>
    <w:p>
      <w:pPr>
        <w:spacing w:after="0" w:line="13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Additionally, the extent to which the COVID-19 pandemic will ultimately impact our business, results of operations, financial condition and cash flows depends on future developments that are highly uncertain, rapidly evolving and difficult to predict at this time. Actual results of operations will depend on numerous factors, many of which are beyond our control as further discussed in “Item 1A. RISK FACTORS — Risks Related to Our M&amp;A, Lending and Financing Activities — </w:t>
      </w:r>
      <w:r>
        <w:rPr>
          <w:rFonts w:ascii="Arial" w:cs="Arial" w:eastAsia="Arial" w:hAnsi="Arial"/>
          <w:sz w:val="16"/>
          <w:szCs w:val="16"/>
          <w:i w:val="1"/>
          <w:iCs w:val="1"/>
          <w:color w:val="auto"/>
        </w:rPr>
        <w:t>Our indebtedness could limit our flexibility and adversely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i w:val="1"/>
          <w:iCs w:val="1"/>
          <w:color w:val="auto"/>
        </w:rPr>
        <w:t>affect our financial condition</w:t>
      </w:r>
      <w:r>
        <w:rPr>
          <w:rFonts w:ascii="Arial" w:cs="Arial" w:eastAsia="Arial" w:hAnsi="Arial"/>
          <w:sz w:val="16"/>
          <w:szCs w:val="16"/>
          <w:color w:val="auto"/>
        </w:rPr>
        <w:t>” and “Item 1A. RISK FACTORS — Risks Related to Our Business —</w:t>
      </w:r>
      <w:r>
        <w:rPr>
          <w:rFonts w:ascii="Arial" w:cs="Arial" w:eastAsia="Arial" w:hAnsi="Arial"/>
          <w:sz w:val="16"/>
          <w:szCs w:val="16"/>
          <w:i w:val="1"/>
          <w:iCs w:val="1"/>
          <w:color w:val="auto"/>
        </w:rPr>
        <w:t xml:space="preserve"> The effects of the ongoing coronavirus (COVID-19) pandemic and any possible recurrence of other similar types of pandemics, or any other widespread public health emergencies, could have a material adverse effect on our business, results of operations, financial condition and/or cash flows</w:t>
      </w:r>
      <w:r>
        <w:rPr>
          <w:rFonts w:ascii="Arial" w:cs="Arial" w:eastAsia="Arial" w:hAnsi="Arial"/>
          <w:sz w:val="16"/>
          <w:szCs w:val="16"/>
          <w:color w:val="auto"/>
        </w:rPr>
        <w:t>” of this Annual Report on Form 10-K.</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8"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7"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Fifth A&amp;R Credit Agreement, except a release by or as a result of the repayment of the Fifth A&amp;R Credit Agreement; or (vi) if the Guarantor ceases to be a “restricted subsidiary” and the Guarantor is not otherwise required to provide a guarantee of the Senior Notes pursuant to the applicable indenture.</w:t>
      </w:r>
    </w:p>
    <w:p>
      <w:pPr>
        <w:spacing w:after="0" w:line="92"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Our foreign subsidiaries and certain of our domestic subsidiaries are not guarantors (collectively, the “Non-Guarantors”) on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0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23"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10"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27"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43"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jc w:val="right"/>
              <w:ind w:right="53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89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918"/>
              <w:spacing w:after="0"/>
              <w:rPr>
                <w:sz w:val="20"/>
                <w:szCs w:val="20"/>
                <w:color w:val="auto"/>
              </w:rPr>
            </w:pPr>
            <w:r>
              <w:rPr>
                <w:rFonts w:ascii="Arial" w:cs="Arial" w:eastAsia="Arial" w:hAnsi="Arial"/>
                <w:sz w:val="14"/>
                <w:szCs w:val="14"/>
                <w:b w:val="1"/>
                <w:bCs w:val="1"/>
                <w:color w:val="auto"/>
              </w:rPr>
              <w:t>2021</w:t>
            </w:r>
          </w:p>
        </w:tc>
      </w:tr>
      <w:tr>
        <w:trPr>
          <w:trHeight w:val="217"/>
        </w:trPr>
        <w:tc>
          <w:tcPr>
            <w:tcW w:w="8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assets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w:t>
            </w:r>
          </w:p>
        </w:tc>
      </w:tr>
      <w:tr>
        <w:trPr>
          <w:trHeight w:val="223"/>
        </w:trPr>
        <w:tc>
          <w:tcPr>
            <w:tcW w:w="89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2"/>
                <w:szCs w:val="22"/>
                <w:color w:val="auto"/>
                <w:vertAlign w:val="superscript"/>
              </w:rPr>
              <w:t>(a)</w:t>
            </w: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2,484.5</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23"/>
        </w:trPr>
        <w:tc>
          <w:tcPr>
            <w:tcW w:w="89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2,611.8</w:t>
            </w:r>
          </w:p>
        </w:tc>
      </w:tr>
    </w:tbl>
    <w:p>
      <w:pPr>
        <w:spacing w:after="0" w:line="317" w:lineRule="exact"/>
        <w:rPr>
          <w:sz w:val="20"/>
          <w:szCs w:val="20"/>
          <w:color w:val="auto"/>
        </w:rPr>
      </w:pPr>
    </w:p>
    <w:p>
      <w:pPr>
        <w:ind w:left="640" w:hanging="635"/>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$39.8</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40" w:type="dxa"/>
            <w:vAlign w:val="bottom"/>
          </w:tcPr>
          <w:p>
            <w:pPr>
              <w:jc w:val="center"/>
              <w:ind w:right="259"/>
              <w:spacing w:after="0"/>
              <w:rPr>
                <w:sz w:val="20"/>
                <w:szCs w:val="20"/>
                <w:color w:val="auto"/>
              </w:rPr>
            </w:pPr>
            <w:r>
              <w:rPr>
                <w:rFonts w:ascii="Arial" w:cs="Arial" w:eastAsia="Arial" w:hAnsi="Arial"/>
                <w:sz w:val="14"/>
                <w:szCs w:val="14"/>
                <w:b w:val="1"/>
                <w:bCs w:val="1"/>
                <w:color w:val="auto"/>
              </w:rPr>
              <w:t>YEAR ENDED</w:t>
            </w:r>
          </w:p>
        </w:tc>
      </w:tr>
      <w:tr>
        <w:trPr>
          <w:trHeight w:val="142"/>
        </w:trPr>
        <w:tc>
          <w:tcPr>
            <w:tcW w:w="8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jc w:val="center"/>
              <w:ind w:right="279"/>
              <w:spacing w:after="0" w:line="142" w:lineRule="exact"/>
              <w:rPr>
                <w:sz w:val="20"/>
                <w:szCs w:val="20"/>
                <w:color w:val="auto"/>
              </w:rPr>
            </w:pPr>
            <w:r>
              <w:rPr>
                <w:rFonts w:ascii="Arial" w:cs="Arial" w:eastAsia="Arial" w:hAnsi="Arial"/>
                <w:sz w:val="14"/>
                <w:szCs w:val="14"/>
                <w:b w:val="1"/>
                <w:bCs w:val="1"/>
                <w:color w:val="auto"/>
                <w:w w:val="95"/>
              </w:rPr>
              <w:t>SEPTEMBER 30,</w:t>
            </w:r>
          </w:p>
        </w:tc>
      </w:tr>
      <w:tr>
        <w:trPr>
          <w:trHeight w:val="183"/>
        </w:trPr>
        <w:tc>
          <w:tcPr>
            <w:tcW w:w="89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9"/>
              </w:rPr>
              <w:t>2021</w:t>
            </w:r>
          </w:p>
        </w:tc>
      </w:tr>
      <w:tr>
        <w:trPr>
          <w:trHeight w:val="217"/>
        </w:trPr>
        <w:tc>
          <w:tcPr>
            <w:tcW w:w="89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4,507.6</w:t>
            </w:r>
          </w:p>
        </w:tc>
      </w:tr>
      <w:tr>
        <w:trPr>
          <w:trHeight w:val="223"/>
        </w:trPr>
        <w:tc>
          <w:tcPr>
            <w:tcW w:w="89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1,380.6</w:t>
            </w:r>
          </w:p>
        </w:tc>
      </w:tr>
      <w:tr>
        <w:trPr>
          <w:trHeight w:val="224"/>
        </w:trPr>
        <w:tc>
          <w:tcPr>
            <w:tcW w:w="894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Income (loss) from continuing operations </w:t>
            </w:r>
            <w:r>
              <w:rPr>
                <w:rFonts w:ascii="Arial" w:cs="Arial" w:eastAsia="Arial" w:hAnsi="Arial"/>
                <w:sz w:val="22"/>
                <w:szCs w:val="22"/>
                <w:color w:val="auto"/>
                <w:vertAlign w:val="superscript"/>
              </w:rPr>
              <w:t>(a)</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w:t>
            </w:r>
          </w:p>
        </w:tc>
      </w:tr>
      <w:tr>
        <w:trPr>
          <w:trHeight w:val="223"/>
        </w:trPr>
        <w:tc>
          <w:tcPr>
            <w:tcW w:w="8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24"/>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3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w:t>
            </w:r>
          </w:p>
        </w:tc>
      </w:tr>
    </w:tbl>
    <w:p>
      <w:pPr>
        <w:spacing w:after="0" w:line="316" w:lineRule="exact"/>
        <w:rPr>
          <w:sz w:val="20"/>
          <w:szCs w:val="20"/>
          <w:color w:val="auto"/>
        </w:rPr>
      </w:pPr>
    </w:p>
    <w:p>
      <w:pPr>
        <w:ind w:left="640" w:hanging="635"/>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intercompany expense from Non-Guarantor subsidiaries of $(26.3).</w:t>
      </w:r>
    </w:p>
    <w:p>
      <w:pPr>
        <w:spacing w:after="0" w:line="2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Cash Obligations</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Less Than 1 Year</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1-3 Years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9"/>
              </w:rPr>
              <w:t>3-5 Years</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ind w:right="136"/>
              <w:spacing w:after="0" w:line="130"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83"/>
        </w:trPr>
        <w:tc>
          <w:tcPr>
            <w:tcW w:w="5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7"/>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Interest expense on debt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2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4"/>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primarily retirement plan obligations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2"/>
        </w:trPr>
        <w:tc>
          <w:tcPr>
            <w:tcW w:w="5280" w:type="dxa"/>
            <w:vAlign w:val="bottom"/>
            <w:tcBorders>
              <w:bottom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Total contractual cash obligations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We had long-term debt obligations and interest payments due primarily under the 5.250% Senior Notes, 4.500% Senior Notes, 4.000% Senior Notes and 4.375% Senior Notes and our credit facilities. Amounts in the table represent scheduled future maturities of debt principal for the periods indicated.</w:t>
      </w:r>
    </w:p>
    <w:p>
      <w:pPr>
        <w:spacing w:after="0" w:line="3"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interest payments for our credit facilities are based on outstanding borrowings as of September 30, 2021. Actual interest expense will likely be higher due to the seasonality of our business and associated higher average borrowings.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Purchase obligations primarily represent commitments for materials used in our manufacturing processes, including urea and packaging, as well as commitments for warehouse services, grass seed, marketing services and information technology services which comprise the unconditional purchase obligations disclosed in “NOTE 19. COMMITMENTS” of the Notes to Consolidated Financial Statements included in this Annual Report on Form 10-K.</w:t>
      </w:r>
    </w:p>
    <w:p>
      <w:pPr>
        <w:spacing w:after="0" w:line="22"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Other obligations include actuarially determined retiree benefit payments and pension funding to comply with local funding requirements. Pension funding requirements beyond fiscal 2021 are based on preliminary estimates using actuarial assumptions determined as of September 30, 2021. These amounts represent expected payments through 2031. Based on the accounting rules for defined benefit pension plans and retirement health care plans, the liabilities reflected in our Consolidated Balance Sheets differ from these expected future payments (see Notes to Consolidated Financial Statements included in this Annual Report on Form 10-K). The above table excludes liabilities for unrecognized tax benefits and insurance accruals as we are unable to estimate the timing of payments for these items.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2021, we have letters of credit in the aggregate face amount of $19.8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Non-GAAP Measures</w:t>
      </w:r>
    </w:p>
    <w:p>
      <w:pPr>
        <w:spacing w:after="0" w:line="95"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To supplement the financial measures prepared in accordance with U.S. generally accepted accounting principles (“GAAP”), we use non-GAAP financial measures. The reconciliations of these non-GAAP financial measures to the most directly comparable financial measures calculated and presented in accordance with GAAP are shown in the tables below.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us, limiting the usefulness of those measures for comparative purposes.</w:t>
      </w:r>
    </w:p>
    <w:p>
      <w:pPr>
        <w:spacing w:after="0" w:line="34"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In addition to GAAP measures, we use these non-GAAP financial measures to evaluate our performance, engage in financial and operational planning and determine incentive compensation because we believe that these non-GAAP financial measures provide additional perspective on and, in some circumstances are more closely correlated to, the performance of our underlying, ongoing business.</w:t>
      </w:r>
    </w:p>
    <w:p>
      <w:pPr>
        <w:spacing w:after="0" w:line="71"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We believe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we have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we intend to provide investors with a supplemental comparison of operating results and trends for the periods presented. We believe these non-GAAP financial measures are also useful to investors as such measures allow investors to evaluate performance using the same metrics that we use to evaluate past performance and prospects for future performance. We view free cash flow as an important measure because it is one factor used in determining the amount of cash available for dividends and discretionary investment.</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Exclusions from Non-GAAP Financial Measures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Non-GAAP financial measures reflect adjustments based on the following items:</w:t>
      </w:r>
    </w:p>
    <w:p>
      <w:pPr>
        <w:spacing w:after="0" w:line="161" w:lineRule="exact"/>
        <w:rPr>
          <w:sz w:val="20"/>
          <w:szCs w:val="20"/>
          <w:color w:val="auto"/>
        </w:rPr>
      </w:pPr>
    </w:p>
    <w:p>
      <w:pPr>
        <w:ind w:left="1100" w:hanging="622"/>
        <w:spacing w:after="0" w:line="324" w:lineRule="auto"/>
        <w:tabs>
          <w:tab w:leader="none" w:pos="10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Impairments, which are excluded because they do not occur in or reflect the ordinary course of our ongoing business operations and their exclusion results in a metric that provides supplemental information about the sustainability of operating performance.</w:t>
      </w:r>
    </w:p>
    <w:p>
      <w:pPr>
        <w:spacing w:after="0" w:line="81" w:lineRule="exact"/>
        <w:rPr>
          <w:rFonts w:ascii="Arial" w:cs="Arial" w:eastAsia="Arial" w:hAnsi="Arial"/>
          <w:sz w:val="16"/>
          <w:szCs w:val="16"/>
          <w:color w:val="auto"/>
        </w:rPr>
      </w:pPr>
    </w:p>
    <w:p>
      <w:pPr>
        <w:jc w:val="both"/>
        <w:ind w:left="1100" w:hanging="622"/>
        <w:spacing w:after="0" w:line="252"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Restructuring and employee severance costs, which include charges for discrete projects or transactions that fundamentally change our operations and are excluded because they are not part of the ongoing operations of our underlying business, which includes normal levels of reinvestment in the business.</w:t>
      </w:r>
    </w:p>
    <w:p>
      <w:pPr>
        <w:spacing w:after="0" w:line="136" w:lineRule="exact"/>
        <w:rPr>
          <w:rFonts w:ascii="Arial" w:cs="Arial" w:eastAsia="Arial" w:hAnsi="Arial"/>
          <w:sz w:val="18"/>
          <w:szCs w:val="18"/>
          <w:color w:val="auto"/>
        </w:rPr>
      </w:pPr>
    </w:p>
    <w:p>
      <w:pPr>
        <w:jc w:val="both"/>
        <w:ind w:left="1100" w:hanging="622"/>
        <w:spacing w:after="0" w:line="252"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56" w:lineRule="exact"/>
        <w:rPr>
          <w:sz w:val="20"/>
          <w:szCs w:val="20"/>
          <w:color w:val="auto"/>
        </w:rPr>
      </w:pPr>
    </w:p>
    <w:p>
      <w:pPr>
        <w:ind w:left="1100" w:hanging="622"/>
        <w:spacing w:after="0" w:line="324" w:lineRule="auto"/>
        <w:tabs>
          <w:tab w:leader="none" w:pos="109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Discontinued operations and other unusual items, which include costs or gains related to discrete projects or transactions and are excluded because they are not comparable from one period to the next and are not part of the ongoing operations of our underlying business.</w:t>
      </w:r>
    </w:p>
    <w:p>
      <w:pPr>
        <w:spacing w:after="0" w:line="16"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tax effect for each of the items listed above is determined using the tax rate and other tax attributes applicable to the item and the jurisdiction(s) in which the item is recorded.</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Definitions of Non-GAAP Financial Measures</w:t>
      </w:r>
    </w:p>
    <w:p>
      <w:pPr>
        <w:spacing w:after="0" w:line="95" w:lineRule="exact"/>
        <w:rPr>
          <w:sz w:val="20"/>
          <w:szCs w:val="20"/>
          <w:color w:val="auto"/>
        </w:rPr>
      </w:pPr>
    </w:p>
    <w:p>
      <w:pPr>
        <w:jc w:val="both"/>
        <w:ind w:firstLine="434"/>
        <w:spacing w:after="0" w:line="327" w:lineRule="auto"/>
        <w:rPr>
          <w:sz w:val="20"/>
          <w:szCs w:val="20"/>
          <w:color w:val="auto"/>
        </w:rPr>
      </w:pPr>
      <w:r>
        <w:rPr>
          <w:rFonts w:ascii="Arial" w:cs="Arial" w:eastAsia="Arial" w:hAnsi="Arial"/>
          <w:sz w:val="15"/>
          <w:szCs w:val="15"/>
          <w:color w:val="auto"/>
        </w:rPr>
        <w:t>The reconciliations of non-GAAP disclosure items include the following financial measures that are not calculated in accordance with GAAP and are utilized by us in evaluating the performance of the business, engaging in financial and operational planning, determining incentive compensation and determining the amount of cash available for dividends and discretionary investments, and by investors and analysts in evaluating performance of the business:</w:t>
      </w:r>
    </w:p>
    <w:p>
      <w:pPr>
        <w:spacing w:after="0" w:line="78" w:lineRule="exact"/>
        <w:rPr>
          <w:sz w:val="20"/>
          <w:szCs w:val="20"/>
          <w:color w:val="auto"/>
        </w:rPr>
      </w:pPr>
    </w:p>
    <w:p>
      <w:pPr>
        <w:ind w:left="1100" w:hanging="622"/>
        <w:spacing w:after="0"/>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Adjusted income (loss) from operations: </w:t>
      </w:r>
      <w:r>
        <w:rPr>
          <w:rFonts w:ascii="Arial" w:cs="Arial" w:eastAsia="Arial" w:hAnsi="Arial"/>
          <w:sz w:val="16"/>
          <w:szCs w:val="16"/>
          <w:color w:val="auto"/>
        </w:rPr>
        <w:t>Income (loss) from operations excluding impairment, restructuring and other charges / recoveries.</w:t>
      </w:r>
    </w:p>
    <w:p>
      <w:pPr>
        <w:spacing w:after="0" w:line="184" w:lineRule="exact"/>
        <w:rPr>
          <w:rFonts w:ascii="Arial" w:cs="Arial" w:eastAsia="Arial" w:hAnsi="Arial"/>
          <w:sz w:val="16"/>
          <w:szCs w:val="16"/>
          <w:color w:val="auto"/>
        </w:rPr>
      </w:pPr>
    </w:p>
    <w:p>
      <w:pPr>
        <w:ind w:left="1100" w:hanging="622"/>
        <w:spacing w:after="0" w:line="331" w:lineRule="auto"/>
        <w:tabs>
          <w:tab w:leader="none" w:pos="1095"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Adjusted income (loss) from continuing operations: </w:t>
      </w:r>
      <w:r>
        <w:rPr>
          <w:rFonts w:ascii="Arial" w:cs="Arial" w:eastAsia="Arial" w:hAnsi="Arial"/>
          <w:sz w:val="16"/>
          <w:szCs w:val="16"/>
          <w:color w:val="auto"/>
        </w:rPr>
        <w:t>Income (loss) from continuing operations excluding impairment, restructuring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charges / recoveries, costs related to refinancing and other non-operating income / expense, each net of tax.</w:t>
      </w:r>
    </w:p>
    <w:p>
      <w:pPr>
        <w:spacing w:after="0" w:line="70" w:lineRule="exact"/>
        <w:rPr>
          <w:rFonts w:ascii="Arial" w:cs="Arial" w:eastAsia="Arial" w:hAnsi="Arial"/>
          <w:sz w:val="16"/>
          <w:szCs w:val="16"/>
          <w:color w:val="auto"/>
        </w:rPr>
      </w:pPr>
    </w:p>
    <w:p>
      <w:pPr>
        <w:jc w:val="both"/>
        <w:ind w:left="1100" w:hanging="622"/>
        <w:spacing w:after="0" w:line="256" w:lineRule="auto"/>
        <w:tabs>
          <w:tab w:leader="none" w:pos="109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(loss) attributable to controlling interest from continuing operations: </w:t>
      </w:r>
      <w:r>
        <w:rPr>
          <w:rFonts w:ascii="Arial" w:cs="Arial" w:eastAsia="Arial" w:hAnsi="Arial"/>
          <w:sz w:val="18"/>
          <w:szCs w:val="18"/>
          <w:color w:val="auto"/>
        </w:rPr>
        <w:t>Net income (loss) attributable to controlling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excluding impairment, restructuring and other charges / recoveries, costs related to refinancing, other non-operating income / expense and discontinued operations, each net of tax.</w:t>
      </w:r>
    </w:p>
    <w:p>
      <w:pPr>
        <w:spacing w:after="0" w:line="126" w:lineRule="exact"/>
        <w:rPr>
          <w:rFonts w:ascii="Arial" w:cs="Arial" w:eastAsia="Arial" w:hAnsi="Arial"/>
          <w:sz w:val="18"/>
          <w:szCs w:val="18"/>
          <w:color w:val="auto"/>
        </w:rPr>
      </w:pPr>
    </w:p>
    <w:p>
      <w:pPr>
        <w:jc w:val="both"/>
        <w:ind w:left="1100" w:hanging="622"/>
        <w:spacing w:after="0" w:line="256" w:lineRule="auto"/>
        <w:tabs>
          <w:tab w:leader="none" w:pos="109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Adjusted diluted income (loss) per common share from continuing operations: </w:t>
      </w:r>
      <w:r>
        <w:rPr>
          <w:rFonts w:ascii="Arial" w:cs="Arial" w:eastAsia="Arial" w:hAnsi="Arial"/>
          <w:sz w:val="18"/>
          <w:szCs w:val="18"/>
          <w:color w:val="auto"/>
        </w:rPr>
        <w:t>Diluted net income (loss) per common share from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operations excluding impairment, restructuring and other charges / recoveries, costs related to refinancing and other non-operating income / expense, each net of tax.</w:t>
      </w:r>
    </w:p>
    <w:p>
      <w:pPr>
        <w:spacing w:after="0" w:line="126" w:lineRule="exact"/>
        <w:rPr>
          <w:rFonts w:ascii="Arial" w:cs="Arial" w:eastAsia="Arial" w:hAnsi="Arial"/>
          <w:sz w:val="18"/>
          <w:szCs w:val="18"/>
          <w:color w:val="auto"/>
        </w:rPr>
      </w:pPr>
    </w:p>
    <w:p>
      <w:pPr>
        <w:jc w:val="both"/>
        <w:ind w:left="1100" w:hanging="622"/>
        <w:spacing w:after="0" w:line="288" w:lineRule="auto"/>
        <w:tabs>
          <w:tab w:leader="none" w:pos="1095"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color w:val="auto"/>
        </w:rPr>
        <w:t>Net income (loss) before interest, taxes, depreciation and amortization as well as certain other items such as the impact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cumulative effect of changes in accounting, costs associated with debt refinancing and other non-recurring or non-cash items affecting net income (loss). The presentation of adjusted EBITDA is intended to be consistent with the calculation of that measure as required by our borrowing arrangements, and used to calculate a leverage ratio (maximum of 4.50 at September 30, 2021) and an interest coverage ratio (minimum of 3.00 for the twelve months ended September 30, 2021).</w:t>
      </w:r>
    </w:p>
    <w:p>
      <w:pPr>
        <w:spacing w:after="0" w:line="105" w:lineRule="exact"/>
        <w:rPr>
          <w:rFonts w:ascii="Arial" w:cs="Arial" w:eastAsia="Arial" w:hAnsi="Arial"/>
          <w:sz w:val="16"/>
          <w:szCs w:val="16"/>
          <w:color w:val="auto"/>
        </w:rPr>
      </w:pPr>
    </w:p>
    <w:p>
      <w:pPr>
        <w:ind w:left="1100" w:hanging="622"/>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Net cash provided by (used in) operating activities reduced by investments in property, plant and equipment.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Reconciliations of the non-GAAP measures to the most directly comparable GAAP measures are presented in the following tables: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723.0</w:t>
            </w:r>
          </w:p>
        </w:tc>
        <w:tc>
          <w:tcPr>
            <w:tcW w:w="480" w:type="dxa"/>
            <w:vAlign w:val="bottom"/>
            <w:gridSpan w:val="2"/>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0" w:type="dxa"/>
            <w:vAlign w:val="bottom"/>
          </w:tcPr>
          <w:p>
            <w:pPr>
              <w:spacing w:after="0"/>
              <w:rPr>
                <w:sz w:val="1"/>
                <w:szCs w:val="1"/>
                <w:color w:val="auto"/>
              </w:rPr>
            </w:pPr>
          </w:p>
        </w:tc>
      </w:tr>
      <w:tr>
        <w:trPr>
          <w:trHeight w:val="20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Impairment, restructuring and other charges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0"/>
        </w:trPr>
        <w:tc>
          <w:tcPr>
            <w:tcW w:w="630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Adjusted income from operations (Non-GAAP)</w:t>
            </w:r>
          </w:p>
        </w:tc>
        <w:tc>
          <w:tcPr>
            <w:tcW w:w="1040" w:type="dxa"/>
            <w:vAlign w:val="bottom"/>
            <w:tcBorders>
              <w:bottom w:val="single" w:sz="8" w:color="auto"/>
            </w:tcBorders>
            <w:shd w:val="clear" w:color="auto" w:fill="CCEEFF"/>
          </w:tcPr>
          <w:p>
            <w:pPr>
              <w:jc w:val="right"/>
              <w:ind w:right="862"/>
              <w:spacing w:after="0" w:line="181" w:lineRule="exact"/>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752.1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line="181"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602.0</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line="181" w:lineRule="exact"/>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Income from continuing operations (GAAP)</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00" w:type="dxa"/>
            <w:vAlign w:val="bottom"/>
            <w:vMerge w:val="continue"/>
          </w:tcPr>
          <w:p>
            <w:pPr>
              <w:spacing w:after="0"/>
              <w:rPr>
                <w:sz w:val="15"/>
                <w:szCs w:val="15"/>
                <w:color w:val="auto"/>
              </w:rPr>
            </w:pPr>
          </w:p>
        </w:tc>
        <w:tc>
          <w:tcPr>
            <w:tcW w:w="1040" w:type="dxa"/>
            <w:vAlign w:val="bottom"/>
          </w:tcPr>
          <w:p>
            <w:pPr>
              <w:jc w:val="right"/>
              <w:ind w:right="862"/>
              <w:spacing w:after="0" w:line="180"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80" w:lineRule="exact"/>
              <w:rPr>
                <w:sz w:val="20"/>
                <w:szCs w:val="20"/>
                <w:color w:val="auto"/>
              </w:rPr>
            </w:pPr>
            <w:r>
              <w:rPr>
                <w:rFonts w:ascii="Arial" w:cs="Arial" w:eastAsia="Arial" w:hAnsi="Arial"/>
                <w:sz w:val="16"/>
                <w:szCs w:val="16"/>
                <w:color w:val="auto"/>
              </w:rPr>
              <w:t>517.3</w:t>
            </w:r>
          </w:p>
        </w:tc>
        <w:tc>
          <w:tcPr>
            <w:tcW w:w="480" w:type="dxa"/>
            <w:vAlign w:val="bottom"/>
            <w:gridSpan w:val="2"/>
          </w:tcPr>
          <w:p>
            <w:pPr>
              <w:jc w:val="right"/>
              <w:ind w:right="201"/>
              <w:spacing w:after="0" w:line="18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auto"/>
              </w:rPr>
              <w:t>386.9</w:t>
            </w:r>
          </w:p>
        </w:tc>
        <w:tc>
          <w:tcPr>
            <w:tcW w:w="100" w:type="dxa"/>
            <w:vAlign w:val="bottom"/>
          </w:tcPr>
          <w:p>
            <w:pPr>
              <w:spacing w:after="0"/>
              <w:rPr>
                <w:sz w:val="15"/>
                <w:szCs w:val="15"/>
                <w:color w:val="auto"/>
              </w:rPr>
            </w:pPr>
          </w:p>
        </w:tc>
        <w:tc>
          <w:tcPr>
            <w:tcW w:w="380" w:type="dxa"/>
            <w:vAlign w:val="bottom"/>
          </w:tcPr>
          <w:p>
            <w:pPr>
              <w:jc w:val="right"/>
              <w:ind w:right="201"/>
              <w:spacing w:after="0" w:line="180"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auto"/>
              </w:rPr>
              <w:t>436.7</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restructuring and other charges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Costs related to refinancing</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non-operating (income) expense, net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0" w:type="dxa"/>
            <w:vAlign w:val="bottom"/>
          </w:tcPr>
          <w:p>
            <w:pPr>
              <w:spacing w:after="0"/>
              <w:rPr>
                <w:sz w:val="1"/>
                <w:szCs w:val="1"/>
                <w:color w:val="auto"/>
              </w:rPr>
            </w:pPr>
          </w:p>
        </w:tc>
      </w:tr>
      <w:tr>
        <w:trPr>
          <w:trHeight w:val="20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Adjustment to income tax expense (benefit) from continuing operations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23"/>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income from continuing operations (Non-GAAP)</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attributable to controlling interest (GAAP)</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1040" w:type="dxa"/>
            <w:vAlign w:val="bottom"/>
          </w:tcPr>
          <w:p>
            <w:pPr>
              <w:jc w:val="right"/>
              <w:ind w:right="862"/>
              <w:spacing w:after="0" w:line="183" w:lineRule="exact"/>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512.5</w:t>
            </w:r>
          </w:p>
        </w:tc>
        <w:tc>
          <w:tcPr>
            <w:tcW w:w="480" w:type="dxa"/>
            <w:vAlign w:val="bottom"/>
            <w:gridSpan w:val="2"/>
          </w:tcPr>
          <w:p>
            <w:pPr>
              <w:jc w:val="right"/>
              <w:ind w:right="201"/>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387.4</w:t>
            </w:r>
          </w:p>
        </w:tc>
        <w:tc>
          <w:tcPr>
            <w:tcW w:w="100" w:type="dxa"/>
            <w:vAlign w:val="bottom"/>
          </w:tcPr>
          <w:p>
            <w:pPr>
              <w:spacing w:after="0"/>
              <w:rPr>
                <w:sz w:val="15"/>
                <w:szCs w:val="15"/>
                <w:color w:val="auto"/>
              </w:rPr>
            </w:pPr>
          </w:p>
        </w:tc>
        <w:tc>
          <w:tcPr>
            <w:tcW w:w="380" w:type="dxa"/>
            <w:vAlign w:val="bottom"/>
          </w:tcPr>
          <w:p>
            <w:pPr>
              <w:jc w:val="right"/>
              <w:ind w:right="201"/>
              <w:spacing w:after="0" w:line="183"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460.7</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discontinued operations, net of tax</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Impairment, restructuring and other charges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refinancing</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Other non-operating (income) expense, net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(260.2)</w:t>
            </w:r>
          </w:p>
        </w:tc>
        <w:tc>
          <w:tcPr>
            <w:tcW w:w="0" w:type="dxa"/>
            <w:vAlign w:val="bottom"/>
          </w:tcPr>
          <w:p>
            <w:pPr>
              <w:spacing w:after="0"/>
              <w:rPr>
                <w:sz w:val="1"/>
                <w:szCs w:val="1"/>
                <w:color w:val="auto"/>
              </w:rPr>
            </w:pP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to income tax expense (benefit) from continuing operations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138"/>
        </w:trPr>
        <w:tc>
          <w:tcPr>
            <w:tcW w:w="6300" w:type="dxa"/>
            <w:vAlign w:val="bottom"/>
          </w:tcPr>
          <w:p>
            <w:pPr>
              <w:ind w:left="20"/>
              <w:spacing w:after="0" w:line="138" w:lineRule="exact"/>
              <w:rPr>
                <w:sz w:val="20"/>
                <w:szCs w:val="20"/>
                <w:color w:val="auto"/>
              </w:rPr>
            </w:pPr>
            <w:r>
              <w:rPr>
                <w:rFonts w:ascii="Arial" w:cs="Arial" w:eastAsia="Arial" w:hAnsi="Arial"/>
                <w:sz w:val="15"/>
                <w:szCs w:val="15"/>
                <w:b w:val="1"/>
                <w:bCs w:val="1"/>
                <w:color w:val="auto"/>
                <w:w w:val="98"/>
              </w:rPr>
              <w:t>Adjusted net income attributable to controlling interest from continuing operations (Non-</w:t>
            </w:r>
          </w:p>
        </w:tc>
        <w:tc>
          <w:tcPr>
            <w:tcW w:w="1040" w:type="dxa"/>
            <w:vAlign w:val="bottom"/>
            <w:vMerge w:val="restart"/>
          </w:tcPr>
          <w:p>
            <w:pPr>
              <w:jc w:val="right"/>
              <w:ind w:right="862"/>
              <w:spacing w:after="0"/>
              <w:rPr>
                <w:sz w:val="20"/>
                <w:szCs w:val="20"/>
                <w:color w:val="auto"/>
              </w:rPr>
            </w:pPr>
            <w:r>
              <w:rPr>
                <w:rFonts w:ascii="Arial" w:cs="Arial" w:eastAsia="Arial" w:hAnsi="Arial"/>
                <w:sz w:val="16"/>
                <w:szCs w:val="16"/>
                <w:color w:val="auto"/>
                <w:w w:val="89"/>
              </w:rPr>
              <w:t>$</w:t>
            </w: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527.7</w:t>
            </w:r>
          </w:p>
        </w:tc>
        <w:tc>
          <w:tcPr>
            <w:tcW w:w="480" w:type="dxa"/>
            <w:vAlign w:val="bottom"/>
            <w:gridSpan w:val="2"/>
            <w:vMerge w:val="restart"/>
          </w:tcPr>
          <w:p>
            <w:pPr>
              <w:jc w:val="right"/>
              <w:ind w:right="201"/>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411.7</w:t>
            </w:r>
          </w:p>
        </w:tc>
        <w:tc>
          <w:tcPr>
            <w:tcW w:w="100" w:type="dxa"/>
            <w:vAlign w:val="bottom"/>
          </w:tcPr>
          <w:p>
            <w:pPr>
              <w:spacing w:after="0"/>
              <w:rPr>
                <w:sz w:val="11"/>
                <w:szCs w:val="11"/>
                <w:color w:val="auto"/>
              </w:rPr>
            </w:pPr>
          </w:p>
        </w:tc>
        <w:tc>
          <w:tcPr>
            <w:tcW w:w="380" w:type="dxa"/>
            <w:vAlign w:val="bottom"/>
            <w:vMerge w:val="restart"/>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184"/>
        </w:trPr>
        <w:tc>
          <w:tcPr>
            <w:tcW w:w="6300" w:type="dxa"/>
            <w:vAlign w:val="bottom"/>
          </w:tcPr>
          <w:p>
            <w:pPr>
              <w:ind w:left="20"/>
              <w:spacing w:after="0"/>
              <w:rPr>
                <w:sz w:val="20"/>
                <w:szCs w:val="20"/>
                <w:color w:val="auto"/>
              </w:rPr>
            </w:pPr>
            <w:r>
              <w:rPr>
                <w:rFonts w:ascii="Arial" w:cs="Arial" w:eastAsia="Arial" w:hAnsi="Arial"/>
                <w:sz w:val="16"/>
                <w:szCs w:val="16"/>
                <w:b w:val="1"/>
                <w:bCs w:val="1"/>
                <w:color w:val="auto"/>
              </w:rPr>
              <w:t>GAAP)</w:t>
            </w:r>
          </w:p>
        </w:tc>
        <w:tc>
          <w:tcPr>
            <w:tcW w:w="10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2"/>
        </w:trPr>
        <w:tc>
          <w:tcPr>
            <w:tcW w:w="63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r>
      <w:tr>
        <w:trPr>
          <w:trHeight w:val="20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income per share from continuing operations (GAAP)</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Impairment, restructuring and other charges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0.24</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refinancing</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Other non-operating (income) expense, net</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to income tax expense (benefit) from continuing operations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177"/>
        </w:trPr>
        <w:tc>
          <w:tcPr>
            <w:tcW w:w="6300" w:type="dxa"/>
            <w:vAlign w:val="bottom"/>
          </w:tcPr>
          <w:p>
            <w:pPr>
              <w:ind w:left="20"/>
              <w:spacing w:after="0" w:line="178" w:lineRule="exact"/>
              <w:rPr>
                <w:sz w:val="20"/>
                <w:szCs w:val="20"/>
                <w:color w:val="auto"/>
              </w:rPr>
            </w:pPr>
            <w:r>
              <w:rPr>
                <w:rFonts w:ascii="Arial" w:cs="Arial" w:eastAsia="Arial" w:hAnsi="Arial"/>
                <w:sz w:val="16"/>
                <w:szCs w:val="16"/>
                <w:b w:val="1"/>
                <w:bCs w:val="1"/>
                <w:color w:val="auto"/>
                <w:w w:val="97"/>
              </w:rPr>
              <w:t>Adjusted diluted income per common share from continuing operations (Non-GAAP)</w:t>
            </w:r>
          </w:p>
        </w:tc>
        <w:tc>
          <w:tcPr>
            <w:tcW w:w="1020" w:type="dxa"/>
            <w:vAlign w:val="bottom"/>
          </w:tcPr>
          <w:p>
            <w:pPr>
              <w:jc w:val="right"/>
              <w:ind w:right="843"/>
              <w:spacing w:after="0" w:line="178"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line="178" w:lineRule="exact"/>
              <w:rPr>
                <w:sz w:val="20"/>
                <w:szCs w:val="20"/>
                <w:color w:val="auto"/>
              </w:rPr>
            </w:pPr>
            <w:r>
              <w:rPr>
                <w:rFonts w:ascii="Arial" w:cs="Arial" w:eastAsia="Arial" w:hAnsi="Arial"/>
                <w:sz w:val="16"/>
                <w:szCs w:val="16"/>
                <w:color w:val="auto"/>
              </w:rPr>
              <w:t>9.23</w:t>
            </w:r>
          </w:p>
        </w:tc>
        <w:tc>
          <w:tcPr>
            <w:tcW w:w="480" w:type="dxa"/>
            <w:vAlign w:val="bottom"/>
            <w:gridSpan w:val="2"/>
          </w:tcPr>
          <w:p>
            <w:pPr>
              <w:jc w:val="right"/>
              <w:ind w:right="280"/>
              <w:spacing w:after="0" w:line="178"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7.24</w:t>
            </w:r>
          </w:p>
        </w:tc>
        <w:tc>
          <w:tcPr>
            <w:tcW w:w="100" w:type="dxa"/>
            <w:vAlign w:val="bottom"/>
          </w:tcPr>
          <w:p>
            <w:pPr>
              <w:spacing w:after="0"/>
              <w:rPr>
                <w:sz w:val="15"/>
                <w:szCs w:val="15"/>
                <w:color w:val="auto"/>
              </w:rPr>
            </w:pPr>
          </w:p>
        </w:tc>
        <w:tc>
          <w:tcPr>
            <w:tcW w:w="380" w:type="dxa"/>
            <w:vAlign w:val="bottom"/>
          </w:tcPr>
          <w:p>
            <w:pPr>
              <w:jc w:val="right"/>
              <w:ind w:right="201"/>
              <w:spacing w:after="0" w:line="178" w:lineRule="exact"/>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line="178" w:lineRule="exact"/>
              <w:rPr>
                <w:sz w:val="20"/>
                <w:szCs w:val="20"/>
                <w:color w:val="auto"/>
              </w:rPr>
            </w:pPr>
            <w:r>
              <w:rPr>
                <w:rFonts w:ascii="Arial" w:cs="Arial" w:eastAsia="Arial" w:hAnsi="Arial"/>
                <w:sz w:val="16"/>
                <w:szCs w:val="16"/>
                <w:color w:val="auto"/>
              </w:rPr>
              <w:t>4.47</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r>
      <w:tr>
        <w:trPr>
          <w:trHeight w:val="20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property, plant and equipment</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 (Non-GAAP)</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the total due to rounding.</w:t>
      </w:r>
    </w:p>
    <w:p>
      <w:pPr>
        <w:spacing w:after="0" w:line="318"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 xml:space="preserve">We view our credit facility as material to our ability to fund operations, particularly in light of our seasonality. Please refer to “ITEM 1A. RISK FACTORS — Risks Related to Our M&amp;A, Lending and Financing Activities — </w:t>
      </w:r>
      <w:r>
        <w:rPr>
          <w:rFonts w:ascii="Arial" w:cs="Arial" w:eastAsia="Arial" w:hAnsi="Arial"/>
          <w:sz w:val="16"/>
          <w:szCs w:val="16"/>
          <w:i w:val="1"/>
          <w:iCs w:val="1"/>
          <w:color w:val="auto"/>
        </w:rPr>
        <w:t>Our indebtedness could limit our flexibility and adversely affect our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w:t>
      </w:r>
      <w:r>
        <w:rPr>
          <w:rFonts w:ascii="Arial" w:cs="Arial" w:eastAsia="Arial" w:hAnsi="Arial"/>
          <w:sz w:val="16"/>
          <w:szCs w:val="16"/>
          <w:color w:val="auto"/>
        </w:rPr>
        <w:t>” of this Form 10-K for a more complete discussion of the risks associated with our debt and our credit facility and the restrictive covenants therein.</w:t>
      </w:r>
      <w:r>
        <w:rPr>
          <w:rFonts w:ascii="Arial" w:cs="Arial" w:eastAsia="Arial" w:hAnsi="Arial"/>
          <w:sz w:val="16"/>
          <w:szCs w:val="16"/>
          <w:i w:val="1"/>
          <w:iCs w:val="1"/>
          <w:color w:val="auto"/>
        </w:rPr>
        <w:t xml:space="preserve"> </w:t>
      </w:r>
      <w:r>
        <w:rPr>
          <w:rFonts w:ascii="Arial" w:cs="Arial" w:eastAsia="Arial" w:hAnsi="Arial"/>
          <w:sz w:val="16"/>
          <w:szCs w:val="16"/>
          <w:color w:val="auto"/>
        </w:rPr>
        <w:t>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4.50 at September 30, 2021) and an interest coverage ratio (minimum of 3.00 for the twelve months ended September 30, 2021). The leverage ratio is calculated as average total indebtedness divided by Adjusted EBITDA. The interest coverage ratio is calculated as Adjusted EBITDA divided by interest expense, as described in the Fifth A&amp;R Credit Agreement, and excludes costs related to refinancings. Please refer to “ITEM 7. MANAGEMENT’S DISCUSSION AND ANALYSIS OF FINANCIAL CONDITION AND RESULTS OF OPERATIONS — Liquidity and Capital Resources — Borrowing Agreements” of this Annual Report on Form 10-K for a discussion of our credit facility.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net income solely for the purpose of complying with SEC regulations and not as an indication that Adjusted EBITDA is a substitute measure for net income.</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numeric reconciliation of net income to Adjusted EBITDA is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Year Ended September 30,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2"/>
        </w:trPr>
        <w:tc>
          <w:tcPr>
            <w:tcW w:w="6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2019</w:t>
            </w:r>
          </w:p>
        </w:tc>
      </w:tr>
      <w:tr>
        <w:trPr>
          <w:trHeight w:val="20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Income tax expense from continuing operations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 from discontinued operations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Loss on contingent consideration from discontinued operations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refinancing</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101.8</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 restructuring and other charges from continuing operations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Impairment, restructuring and other charges (recoveries) from discontinued operations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non-operating (income) expense, net</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r>
      <w:tr>
        <w:trPr>
          <w:trHeight w:val="207"/>
        </w:trPr>
        <w:tc>
          <w:tcPr>
            <w:tcW w:w="63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4"/>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on certain leases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Share-based compensation expense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w:t>
            </w:r>
          </w:p>
        </w:tc>
      </w:tr>
      <w:tr>
        <w:trPr>
          <w:trHeight w:val="22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01"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8"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By their nature, these judgments are subject to uncertainty. We base our estimates on historical experience and on various other sources that we believe to be reasonable under the circumstances.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Certain accounting policies are particularly significant, including those related to revenue recognition, income taxes and goodwill and intangible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reviewed periodically with the Audit Committee of the Board of Directors of Scotts Miracle-Gro.</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8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Our revenue is primarily generated from sales of branded and private label lawn and garden care and indoor and hydroponic gardening finished products. Product sales are recognized at a point in time when control of products transfers to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customers and we have no further obligation to provide services related to such products. Sales are typically recognized when products are delivered to or picked up by the customer. We are generally the principal in a transaction, therefore revenue is primarily recorded on a gross basis. Revenue for product sales is recorded net of sales returns and allowances. Revenues are measured based on the amount of consideration that we expect to receive as derived from a list price, reduced by estimates for variable consideration. Variable consideration includes the cost of current and continuing promotional programs and expected sales returns.</w:t>
      </w:r>
    </w:p>
    <w:p>
      <w:pPr>
        <w:spacing w:after="0" w:line="61"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5"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We must make estimates and judgments on future taxable income, considering feasible tax planning strategies and taking into account existing facts and circumstances, to determine the proper valuation allowances.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In our evaluation of impairment for goodwill and indefinite-lived intangible assets,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or indefinite-lived intangible assets. For the quantitative test, the review for impairment of goodwill and indefinite-lived intangible assets is based on a combination of income-based and market-based approaches. If it is determined that an impairment has occurred, an impairment loss is recognized for the amount by which the carrying value of the reporting unit or intangible asset exceeds its estimated fair value.</w:t>
      </w:r>
    </w:p>
    <w:p>
      <w:pPr>
        <w:spacing w:after="0" w:line="51"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Under the income-based approach, we determine fair value using a discounted cash flow approach that requires significant judgment with respect to revenue and profitability growth rates, based upon annual budgets and longer-range strategic plans, and the selection of an appropriate discount rate. These budgets and plans are used for internal purposes and are also the basis for communication with outside parties about future business trends. Under the market-based approach, we determine fair value by comparing our reporting units to similar businesses or guideline companies whose securities are actively traded in public markets. We also use the guideline transaction method to determine fair value based on pricing multiples derived from the sale of companies that are similar to our reporting units.</w:t>
      </w:r>
    </w:p>
    <w:p>
      <w:pPr>
        <w:spacing w:after="0" w:line="141"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 (i) discount rates used in determining the fair value of the reporting units and intangible assets; (ii) royalty rates used in our intangible asset valuations;</w:t>
      </w:r>
    </w:p>
    <w:p>
      <w:pPr>
        <w:spacing w:after="0" w:line="1" w:lineRule="exact"/>
        <w:rPr>
          <w:sz w:val="20"/>
          <w:szCs w:val="20"/>
          <w:color w:val="auto"/>
        </w:rPr>
      </w:pPr>
    </w:p>
    <w:p>
      <w:pPr>
        <w:jc w:val="both"/>
        <w:ind w:firstLine="5"/>
        <w:spacing w:after="0" w:line="244" w:lineRule="auto"/>
        <w:tabs>
          <w:tab w:leader="none" w:pos="3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projected future revenues and profitability used in the reporting unit and intangible asset models;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3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until later periods if actual results deviate unfavorably from earlier estimates. The use of different assumptions would increase or decrease discounted cash flows or earnings projections and, therefore, could change impairment determinations.</w:t>
      </w:r>
    </w:p>
    <w:p>
      <w:pPr>
        <w:spacing w:after="0" w:line="128"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At September 30, 2021, goodwill totaled $605.2, with $243.9, $350.2 and $11.1 for our U.S. Consumer, Hawthorne and Other segments, respectively. We performed annual impairment testing as of the first day of our fiscal fourth quarter and concluded that there were no impairments of goodwill as the estimated fair value of each reporting unit exceeded its carrying value. Based on the results of the annual quantitative evaluation for fiscal 2021, the fair values of our U.S. Consumer, Hawthorne and Other segment reporting units exceeded their respective carrying values by 350%, 225% and 124%, respectively. A 100 basis point change in the discount rate would not have resulted in an impairment for any of our reporting units.</w:t>
      </w:r>
    </w:p>
    <w:p>
      <w:pPr>
        <w:spacing w:after="0" w:line="106" w:lineRule="exact"/>
        <w:rPr>
          <w:sz w:val="20"/>
          <w:szCs w:val="20"/>
          <w:color w:val="auto"/>
        </w:rPr>
      </w:pPr>
    </w:p>
    <w:p>
      <w:pPr>
        <w:jc w:val="both"/>
        <w:ind w:firstLine="434"/>
        <w:spacing w:after="0" w:line="236" w:lineRule="auto"/>
        <w:rPr>
          <w:sz w:val="20"/>
          <w:szCs w:val="20"/>
          <w:color w:val="auto"/>
        </w:rPr>
      </w:pPr>
      <w:r>
        <w:rPr>
          <w:rFonts w:ascii="Arial" w:cs="Arial" w:eastAsia="Arial" w:hAnsi="Arial"/>
          <w:sz w:val="18"/>
          <w:szCs w:val="18"/>
          <w:color w:val="auto"/>
        </w:rPr>
        <w:t>At September 30, 2021, indefinite-lived intangible assets consisted of tradenames of $168.2 and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 amendment of $155.7. Based on the results of the annual evaluation for fiscal 2021, the fair values of our indefinite-lived intangible assets exceeded their respective carrying values in a range of 27% to over 1,600%. A 100 basis point change in the discount rate would not have resulted in an impairment of any of our indefinite-lived intangible assets.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8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Other significant accounting policies, primarily those with lower levels of uncertainty than those discussed above, are also critical to understanding the consolidated financial statements. The Notes to Consolidated Financial Statements included in this Form 10-K contain additional information related to our accounting policies, including recent accounting pronouncements, and should be read in conjunction with this discussion.</w:t>
      </w:r>
    </w:p>
    <w:p>
      <w:pPr>
        <w:spacing w:after="0" w:line="2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6"/>
          <w:szCs w:val="16"/>
          <w:b w:val="1"/>
          <w:bCs w:val="1"/>
          <w:i w:val="1"/>
          <w:iCs w:val="1"/>
          <w:u w:val="single" w:color="auto"/>
          <w:color w:val="auto"/>
        </w:rPr>
        <w:t>QUANTITATIVE AND QUALITATIVE DISCLOSURES ABOUT MARKET RISK</w:t>
      </w:r>
    </w:p>
    <w:p>
      <w:pPr>
        <w:spacing w:after="0" w:line="259"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speculative purposes.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1"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The following table summarizes information about our debt instruments and derivative financial instruments that are sensitive to changes in interest rates as of September 30, 2021 and 2020.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$600.0 at September 30, 2021 and 2020. Weighted-average variable rates are based on rates in effect at September 30, 2021 and 2020. A change in our variable interest rate of 100 basis points for a full twelve-month period would have a $2.5 impact on interest expense assuming approximately $250 of our average fiscal 2021 variable-rate debt had not been hedged via an interest rate swap agreement.</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Expected Maturity Date</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Fair</w:t>
            </w:r>
          </w:p>
        </w:tc>
      </w:tr>
      <w:tr>
        <w:trPr>
          <w:trHeight w:val="156"/>
        </w:trPr>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w w:val="83"/>
              </w:rPr>
              <w:t>2021</w:t>
            </w:r>
          </w:p>
        </w:tc>
        <w:tc>
          <w:tcPr>
            <w:tcW w:w="2460" w:type="dxa"/>
            <w:vAlign w:val="bottom"/>
          </w:tcPr>
          <w:p>
            <w:pPr>
              <w:spacing w:after="0"/>
              <w:rPr>
                <w:sz w:val="13"/>
                <w:szCs w:val="13"/>
                <w:color w:val="auto"/>
              </w:rPr>
            </w:pPr>
          </w:p>
        </w:tc>
        <w:tc>
          <w:tcPr>
            <w:tcW w:w="980" w:type="dxa"/>
            <w:vAlign w:val="bottom"/>
          </w:tcPr>
          <w:p>
            <w:pPr>
              <w:jc w:val="right"/>
              <w:ind w:right="270"/>
              <w:spacing w:after="0" w:line="156"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980" w:type="dxa"/>
            <w:vAlign w:val="bottom"/>
          </w:tcPr>
          <w:p>
            <w:pPr>
              <w:jc w:val="right"/>
              <w:ind w:right="270"/>
              <w:spacing w:after="0" w:line="156" w:lineRule="exact"/>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3"/>
                <w:szCs w:val="13"/>
                <w:color w:val="auto"/>
              </w:rPr>
            </w:pPr>
          </w:p>
        </w:tc>
        <w:tc>
          <w:tcPr>
            <w:tcW w:w="960" w:type="dxa"/>
            <w:vAlign w:val="bottom"/>
          </w:tcPr>
          <w:p>
            <w:pPr>
              <w:jc w:val="right"/>
              <w:ind w:right="270"/>
              <w:spacing w:after="0" w:line="156"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960" w:type="dxa"/>
            <w:vAlign w:val="bottom"/>
          </w:tcPr>
          <w:p>
            <w:pPr>
              <w:jc w:val="right"/>
              <w:ind w:right="270"/>
              <w:spacing w:after="0" w:line="156"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960" w:type="dxa"/>
            <w:vAlign w:val="bottom"/>
          </w:tcPr>
          <w:p>
            <w:pPr>
              <w:jc w:val="right"/>
              <w:ind w:right="270"/>
              <w:spacing w:after="0" w:line="156"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1020" w:type="dxa"/>
            <w:vAlign w:val="bottom"/>
          </w:tcPr>
          <w:p>
            <w:pPr>
              <w:ind w:left="360"/>
              <w:spacing w:after="0" w:line="156"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3"/>
                <w:szCs w:val="13"/>
                <w:color w:val="auto"/>
              </w:rPr>
            </w:pPr>
          </w:p>
        </w:tc>
        <w:tc>
          <w:tcPr>
            <w:tcW w:w="1120" w:type="dxa"/>
            <w:vAlign w:val="bottom"/>
            <w:gridSpan w:val="2"/>
          </w:tcPr>
          <w:p>
            <w:pPr>
              <w:ind w:left="360"/>
              <w:spacing w:after="0" w:line="156" w:lineRule="exact"/>
              <w:rPr>
                <w:sz w:val="20"/>
                <w:szCs w:val="20"/>
                <w:color w:val="auto"/>
              </w:rPr>
            </w:pPr>
            <w:r>
              <w:rPr>
                <w:rFonts w:ascii="Arial" w:cs="Arial" w:eastAsia="Arial" w:hAnsi="Arial"/>
                <w:sz w:val="14"/>
                <w:szCs w:val="14"/>
                <w:b w:val="1"/>
                <w:bCs w:val="1"/>
                <w:color w:val="auto"/>
              </w:rPr>
              <w:t>Total</w:t>
            </w:r>
          </w:p>
        </w:tc>
        <w:tc>
          <w:tcPr>
            <w:tcW w:w="8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0"/>
              </w:rPr>
              <w:t>Value</w:t>
            </w:r>
          </w:p>
        </w:tc>
      </w:tr>
      <w:tr>
        <w:trPr>
          <w:trHeight w:val="20"/>
        </w:trPr>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36130" cy="14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Long-term debt: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Pr>
          <w:p>
            <w:pPr>
              <w:ind w:left="340"/>
              <w:spacing w:after="0"/>
              <w:rPr>
                <w:sz w:val="20"/>
                <w:szCs w:val="20"/>
                <w:color w:val="auto"/>
              </w:rPr>
            </w:pPr>
            <w:r>
              <w:rPr>
                <w:rFonts w:ascii="Arial" w:cs="Arial" w:eastAsia="Arial" w:hAnsi="Arial"/>
                <w:sz w:val="18"/>
                <w:szCs w:val="18"/>
                <w:color w:val="auto"/>
              </w:rPr>
              <w:t>Fixed rate debt</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1,600.0</w:t>
            </w:r>
          </w:p>
        </w:tc>
        <w:tc>
          <w:tcPr>
            <w:tcW w:w="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1,600.0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1,625.8</w:t>
            </w:r>
          </w:p>
        </w:tc>
      </w:tr>
      <w:tr>
        <w:trPr>
          <w:trHeight w:val="224"/>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rate</w:t>
            </w: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4.4 %</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240" w:type="dxa"/>
            <w:vAlign w:val="bottom"/>
          </w:tcPr>
          <w:p>
            <w:pPr>
              <w:ind w:left="340"/>
              <w:spacing w:after="0"/>
              <w:rPr>
                <w:sz w:val="20"/>
                <w:szCs w:val="20"/>
                <w:color w:val="auto"/>
              </w:rPr>
            </w:pPr>
            <w:r>
              <w:rPr>
                <w:rFonts w:ascii="Arial" w:cs="Arial" w:eastAsia="Arial" w:hAnsi="Arial"/>
                <w:sz w:val="18"/>
                <w:szCs w:val="18"/>
                <w:color w:val="auto"/>
              </w:rPr>
              <w:t>Variable rate debt</w:t>
            </w:r>
          </w:p>
        </w:tc>
        <w:tc>
          <w:tcPr>
            <w:tcW w:w="8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81"/>
              <w:spacing w:after="0"/>
              <w:rPr>
                <w:sz w:val="20"/>
                <w:szCs w:val="20"/>
                <w:color w:val="auto"/>
              </w:rPr>
            </w:pPr>
            <w:r>
              <w:rPr>
                <w:rFonts w:ascii="Arial" w:cs="Arial" w:eastAsia="Arial" w:hAnsi="Arial"/>
                <w:sz w:val="16"/>
                <w:szCs w:val="16"/>
                <w:color w:val="auto"/>
              </w:rPr>
              <w:t>40.0</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61"/>
              <w:spacing w:after="0"/>
              <w:rPr>
                <w:sz w:val="20"/>
                <w:szCs w:val="20"/>
                <w:color w:val="auto"/>
              </w:rPr>
            </w:pPr>
            <w:r>
              <w:rPr>
                <w:rFonts w:ascii="Arial" w:cs="Arial" w:eastAsia="Arial" w:hAnsi="Arial"/>
                <w:sz w:val="16"/>
                <w:szCs w:val="16"/>
                <w:color w:val="auto"/>
              </w:rPr>
              <w:t>630.0</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61"/>
              <w:spacing w:after="0"/>
              <w:rPr>
                <w:sz w:val="20"/>
                <w:szCs w:val="20"/>
                <w:color w:val="auto"/>
              </w:rPr>
            </w:pPr>
            <w:r>
              <w:rPr>
                <w:rFonts w:ascii="Arial" w:cs="Arial" w:eastAsia="Arial" w:hAnsi="Arial"/>
                <w:sz w:val="16"/>
                <w:szCs w:val="16"/>
                <w:color w:val="auto"/>
              </w:rPr>
              <w:t>670.0</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670.0</w:t>
            </w:r>
          </w:p>
        </w:tc>
      </w:tr>
      <w:tr>
        <w:trPr>
          <w:trHeight w:val="224"/>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rate</w:t>
            </w: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1.1 %</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Interest rate derivatives:</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4"/>
        </w:trPr>
        <w:tc>
          <w:tcPr>
            <w:tcW w:w="2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8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(4.2)</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(2.5)</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0.7</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0.6</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0.5</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23"/>
        </w:trPr>
        <w:tc>
          <w:tcPr>
            <w:tcW w:w="2240" w:type="dxa"/>
            <w:vAlign w:val="bottom"/>
          </w:tcPr>
          <w:p>
            <w:pPr>
              <w:ind w:left="340"/>
              <w:spacing w:after="0"/>
              <w:rPr>
                <w:sz w:val="20"/>
                <w:szCs w:val="20"/>
                <w:color w:val="auto"/>
              </w:rPr>
            </w:pPr>
            <w:r>
              <w:rPr>
                <w:rFonts w:ascii="Arial" w:cs="Arial" w:eastAsia="Arial" w:hAnsi="Arial"/>
                <w:sz w:val="18"/>
                <w:szCs w:val="18"/>
                <w:color w:val="auto"/>
              </w:rPr>
              <w:t>Average rate</w:t>
            </w:r>
          </w:p>
        </w:tc>
        <w:tc>
          <w:tcPr>
            <w:tcW w:w="82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1.3 %</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1.1 %</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0.8 %</w:t>
            </w:r>
          </w:p>
        </w:tc>
        <w:tc>
          <w:tcPr>
            <w:tcW w:w="38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0.9 %</w:t>
            </w:r>
          </w:p>
        </w:tc>
        <w:tc>
          <w:tcPr>
            <w:tcW w:w="3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0.9 %</w:t>
            </w:r>
          </w:p>
        </w:tc>
        <w:tc>
          <w:tcPr>
            <w:tcW w:w="260" w:type="dxa"/>
            <w:vAlign w:val="bottom"/>
          </w:tcPr>
          <w:p>
            <w:pPr>
              <w:spacing w:after="0"/>
              <w:rPr>
                <w:sz w:val="19"/>
                <w:szCs w:val="19"/>
                <w:color w:val="auto"/>
              </w:rPr>
            </w:pPr>
          </w:p>
        </w:tc>
        <w:tc>
          <w:tcPr>
            <w:tcW w:w="8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1.1 %</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841"/>
        </w:trPr>
        <w:tc>
          <w:tcPr>
            <w:tcW w:w="2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14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2"/>
        </w:trPr>
        <w:tc>
          <w:tcPr>
            <w:tcW w:w="2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Expected Maturity Date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Fair</w:t>
            </w:r>
          </w:p>
        </w:tc>
      </w:tr>
      <w:tr>
        <w:trPr>
          <w:trHeight w:val="156"/>
        </w:trPr>
        <w:tc>
          <w:tcPr>
            <w:tcW w:w="2680" w:type="dxa"/>
            <w:vAlign w:val="bottom"/>
            <w:gridSpan w:val="3"/>
          </w:tcPr>
          <w:p>
            <w:pPr>
              <w:ind w:left="20"/>
              <w:spacing w:after="0" w:line="156"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760" w:type="dxa"/>
            <w:vAlign w:val="bottom"/>
          </w:tcPr>
          <w:p>
            <w:pPr>
              <w:jc w:val="right"/>
              <w:ind w:right="262"/>
              <w:spacing w:after="0" w:line="156"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2"/>
              <w:spacing w:after="0" w:line="156"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83"/>
              <w:spacing w:after="0" w:line="156" w:lineRule="exact"/>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line="156"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line="156"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62"/>
              <w:spacing w:after="0" w:line="156" w:lineRule="exact"/>
              <w:rPr>
                <w:sz w:val="20"/>
                <w:szCs w:val="20"/>
                <w:color w:val="auto"/>
              </w:rPr>
            </w:pPr>
            <w:r>
              <w:rPr>
                <w:rFonts w:ascii="Arial" w:cs="Arial" w:eastAsia="Arial" w:hAnsi="Arial"/>
                <w:sz w:val="14"/>
                <w:szCs w:val="14"/>
                <w:b w:val="1"/>
                <w:bCs w:val="1"/>
                <w:color w:val="auto"/>
              </w:rPr>
              <w:t>After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680" w:type="dxa"/>
            <w:vAlign w:val="bottom"/>
          </w:tcPr>
          <w:p>
            <w:pPr>
              <w:jc w:val="right"/>
              <w:ind w:right="183"/>
              <w:spacing w:after="0" w:line="156" w:lineRule="exact"/>
              <w:rPr>
                <w:sz w:val="20"/>
                <w:szCs w:val="20"/>
                <w:color w:val="auto"/>
              </w:rPr>
            </w:pPr>
            <w:r>
              <w:rPr>
                <w:rFonts w:ascii="Arial" w:cs="Arial" w:eastAsia="Arial" w:hAnsi="Arial"/>
                <w:sz w:val="14"/>
                <w:szCs w:val="14"/>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03"/>
        </w:trPr>
        <w:tc>
          <w:tcPr>
            <w:tcW w:w="26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700.0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2"/>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743.0</w:t>
            </w:r>
          </w:p>
        </w:tc>
      </w:tr>
      <w:tr>
        <w:trPr>
          <w:trHeight w:val="224"/>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Variable rate debt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23"/>
              <w:spacing w:after="0"/>
              <w:rPr>
                <w:sz w:val="20"/>
                <w:szCs w:val="20"/>
                <w:color w:val="auto"/>
              </w:rPr>
            </w:pPr>
            <w:r>
              <w:rPr>
                <w:rFonts w:ascii="Arial" w:cs="Arial" w:eastAsia="Arial" w:hAnsi="Arial"/>
                <w:sz w:val="16"/>
                <w:szCs w:val="16"/>
                <w:color w:val="auto"/>
              </w:rPr>
              <w:t>694.0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2"/>
              <w:spacing w:after="0"/>
              <w:rPr>
                <w:sz w:val="20"/>
                <w:szCs w:val="20"/>
                <w:color w:val="auto"/>
              </w:rPr>
            </w:pPr>
            <w:r>
              <w:rPr>
                <w:rFonts w:ascii="Arial" w:cs="Arial" w:eastAsia="Arial" w:hAnsi="Arial"/>
                <w:sz w:val="16"/>
                <w:szCs w:val="16"/>
                <w:color w:val="auto"/>
              </w:rPr>
              <w:t>794.0</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794.0</w:t>
            </w:r>
          </w:p>
        </w:tc>
      </w:tr>
      <w:tr>
        <w:trPr>
          <w:trHeight w:val="224"/>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680" w:type="dxa"/>
            <w:vAlign w:val="bottom"/>
            <w:gridSpan w:val="3"/>
          </w:tcPr>
          <w:p>
            <w:pPr>
              <w:ind w:left="20"/>
              <w:spacing w:after="0"/>
              <w:rPr>
                <w:sz w:val="20"/>
                <w:szCs w:val="20"/>
                <w:color w:val="auto"/>
              </w:rPr>
            </w:pPr>
            <w:r>
              <w:rPr>
                <w:rFonts w:ascii="Arial" w:cs="Arial" w:eastAsia="Arial" w:hAnsi="Arial"/>
                <w:sz w:val="18"/>
                <w:szCs w:val="18"/>
                <w:color w:val="auto"/>
              </w:rPr>
              <w:t>Interest rate derivatives: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80" w:type="dxa"/>
            <w:vAlign w:val="bottom"/>
          </w:tcPr>
          <w:p>
            <w:pPr>
              <w:ind w:left="40"/>
              <w:spacing w:after="0"/>
              <w:rPr>
                <w:sz w:val="20"/>
                <w:szCs w:val="20"/>
                <w:color w:val="auto"/>
              </w:rPr>
            </w:pPr>
            <w:r>
              <w:rPr>
                <w:rFonts w:ascii="Arial" w:cs="Arial" w:eastAsia="Arial" w:hAnsi="Arial"/>
                <w:sz w:val="18"/>
                <w:szCs w:val="18"/>
                <w:color w:val="auto"/>
              </w:rPr>
              <w:t>Average rate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1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Excluded from the information provided above are miscellaneous debt instruments of $11.9 and $1.1 and finance lease obligations of $33.4 and $36.1 at September 30, 2021 and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167"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We are subject to market risk from fluctuations in foreign currency exchange rates and fluctuating prices of certain raw materials, including urea and other fertilizer inputs, resins, diesel, gasoline, natural gas, sphagnum peat, bark and grass seed. Refer to “NOTE 16. DERIVATIVE INSTRUMENTS AND HEDGING ACTIVITIES” of the Notes to Consolidated Financial Statements included in this Annual Report on Form 10-K for discussion of these market risks and the derivatives used to manage these risks.</w:t>
      </w:r>
    </w:p>
    <w:p>
      <w:pPr>
        <w:spacing w:after="0" w:line="3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i w:val="1"/>
          <w:iCs w:val="1"/>
          <w:u w:val="single" w:color="auto"/>
          <w:color w:val="auto"/>
        </w:rPr>
        <w:t>FINANCIAL STATEMENTS AND SUPPLEMENTARY DATA</w:t>
      </w:r>
    </w:p>
    <w:p>
      <w:pPr>
        <w:spacing w:after="0" w:line="259"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56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i w:val="1"/>
          <w:iCs w:val="1"/>
          <w:u w:val="single" w:color="auto"/>
          <w:color w:val="auto"/>
        </w:rPr>
        <w:t>CHANGES IN AND DISAGREEMENTS WITH ACCOUNTANTS ON ACCOUNTING AND FINANCIAL DISCLOSURE</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6"/>
          <w:szCs w:val="16"/>
          <w:b w:val="1"/>
          <w:bCs w:val="1"/>
          <w:i w:val="1"/>
          <w:iCs w:val="1"/>
          <w:u w:val="single" w:color="auto"/>
          <w:color w:val="auto"/>
        </w:rPr>
        <w:t>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1"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8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57 of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10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58 of this Annual Report on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Securities Exchange Act of 1934) occurred during the Registrant’s fiscal quarter ended September 30, 2021, that have materially affected, or are reasonably likely to materially affect, the Registrant’s internal control over financial reporting.</w:t>
      </w:r>
    </w:p>
    <w:p>
      <w:pPr>
        <w:spacing w:after="0" w:line="20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6"/>
          <w:szCs w:val="16"/>
          <w:b w:val="1"/>
          <w:bCs w:val="1"/>
          <w:i w:val="1"/>
          <w:iCs w:val="1"/>
          <w:u w:val="single" w:color="auto"/>
          <w:color w:val="auto"/>
        </w:rPr>
        <w:t>OTHER INFORMATION</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6"/>
          <w:szCs w:val="16"/>
          <w:b w:val="1"/>
          <w:bCs w:val="1"/>
          <w:i w:val="1"/>
          <w:iCs w:val="1"/>
          <w:u w:val="single" w:color="auto"/>
          <w:color w:val="auto"/>
        </w:rPr>
        <w:t>DIRECTORS, EXECUTIVE OFFICERS AND CORPORATE GOVERNANCE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88"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24, 2022 (the “2022 Annual Meeting”) is incorporated herein by reference from the disclosure which will be included under the caption “PROPOSAL NUMBER 1 — ELECTION OF DIRECTORS” in Scotts Miracle-Gro’s definitive Proxy Statement relating to the 2022 Annual Meeting (“Scotts Miracle-Gro’s Definitive Proxy Statement”), which will be filed pursuant to SEC Regulation 14A not later than 120 days after the end of Scotts Miracle-Gro’s fiscal year ended September 30, 2021.</w:t>
      </w:r>
    </w:p>
    <w:p>
      <w:pPr>
        <w:spacing w:after="0" w:line="47"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88"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101"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Scotts Miracle-Gro’s Definitive Proxy Statement. These procedures have not materially changed from those described in Scotts Miracle-Gro’s definitive Proxy Statement for the 2021 Annual Meeting of Shareholders held on January 25,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Scotts Miracle-Gro’s Definitive Proxy Statement.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&amp; Ethics; Corporate Governance Guidelines</w:t>
      </w:r>
    </w:p>
    <w:p>
      <w:pPr>
        <w:spacing w:after="0" w:line="88"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37"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6"/>
          <w:szCs w:val="16"/>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officer or a director of Scotts Miracle-Gro on Scotts Miracle-Gro’s Internet website located at http://investor.scotts.com within four business days of the determination to grant any such waiver.</w:t>
      </w:r>
    </w:p>
    <w:p>
      <w:pPr>
        <w:spacing w:after="0" w:line="128"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6"/>
          <w:szCs w:val="16"/>
          <w:b w:val="1"/>
          <w:bCs w:val="1"/>
          <w:i w:val="1"/>
          <w:iCs w:val="1"/>
          <w:u w:val="single" w:color="auto"/>
          <w:color w:val="auto"/>
        </w:rPr>
        <w:t>EXECUTIVE COMPENSATION</w:t>
      </w:r>
    </w:p>
    <w:p>
      <w:pPr>
        <w:spacing w:after="0" w:line="259"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Scotts Miracle-Gro’s Definitive Proxy Statement.</w:t>
      </w:r>
    </w:p>
    <w:p>
      <w:pPr>
        <w:spacing w:after="0" w:line="140"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Scotts Miracle-Gro’s Definitive Proxy Statement.</w:t>
      </w:r>
    </w:p>
    <w:p>
      <w:pPr>
        <w:spacing w:after="0" w:line="13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12.</w:t>
      </w:r>
      <w:r>
        <w:rPr>
          <w:sz w:val="20"/>
          <w:szCs w:val="20"/>
          <w:color w:val="auto"/>
        </w:rPr>
        <w:tab/>
      </w:r>
      <w:r>
        <w:rPr>
          <w:rFonts w:ascii="Arial" w:cs="Arial" w:eastAsia="Arial" w:hAnsi="Arial"/>
          <w:sz w:val="16"/>
          <w:szCs w:val="16"/>
          <w:b w:val="1"/>
          <w:bCs w:val="1"/>
          <w:i w:val="1"/>
          <w:iCs w:val="1"/>
          <w:u w:val="single" w:color="auto"/>
          <w:color w:val="auto"/>
        </w:rPr>
        <w:t>SECURITY OWNERSHIP OF CERTAIN BENEFICIAL OWNERS AND MANAGEMENT AND RELATED STOCKHOLDER MATTERS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Common Shares of Scotts Miracle-Gro</w:t>
      </w:r>
    </w:p>
    <w:p>
      <w:pPr>
        <w:spacing w:after="0" w:line="101"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The information required by Item 403 of SEC Regulation S-K is incorporated herein by reference from the disclosure which will be included under the caption “SECURITY OWNERSHIP OF CERTAIN BENEFICIAL OWNERS AND MANAGEMENT” in Scotts Miracle-Gro’s Definitive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8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20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13.</w:t>
      </w:r>
      <w:r>
        <w:rPr>
          <w:sz w:val="20"/>
          <w:szCs w:val="20"/>
          <w:color w:val="auto"/>
        </w:rPr>
        <w:tab/>
      </w:r>
      <w:r>
        <w:rPr>
          <w:rFonts w:ascii="Arial" w:cs="Arial" w:eastAsia="Arial" w:hAnsi="Arial"/>
          <w:sz w:val="16"/>
          <w:szCs w:val="16"/>
          <w:b w:val="1"/>
          <w:bCs w:val="1"/>
          <w:i w:val="1"/>
          <w:iCs w:val="1"/>
          <w:u w:val="single" w:color="auto"/>
          <w:color w:val="auto"/>
        </w:rPr>
        <w:t>CERTAIN RELATIONSHIPS AND RELATED TRANSACTIONS, AND DIRECTOR INDEPENDENCE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01" w:lineRule="exact"/>
        <w:rPr>
          <w:sz w:val="20"/>
          <w:szCs w:val="20"/>
          <w:color w:val="auto"/>
        </w:rPr>
      </w:pPr>
    </w:p>
    <w:p>
      <w:pPr>
        <w:jc w:val="both"/>
        <w:ind w:firstLine="434"/>
        <w:spacing w:after="0" w:line="324" w:lineRule="auto"/>
        <w:rPr>
          <w:sz w:val="20"/>
          <w:szCs w:val="20"/>
          <w:color w:val="auto"/>
        </w:rPr>
      </w:pPr>
      <w:r>
        <w:rPr>
          <w:rFonts w:ascii="Arial" w:cs="Arial" w:eastAsia="Arial" w:hAnsi="Arial"/>
          <w:sz w:val="16"/>
          <w:szCs w:val="16"/>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6"/>
          <w:szCs w:val="16"/>
          <w:b w:val="1"/>
          <w:bCs w:val="1"/>
          <w:i w:val="1"/>
          <w:iCs w:val="1"/>
          <w:u w:val="single" w:color="auto"/>
          <w:color w:val="auto"/>
        </w:rPr>
        <w:t>PRINCIPAL ACCOUNTING FEES AND SERVICES</w:t>
      </w:r>
    </w:p>
    <w:p>
      <w:pPr>
        <w:spacing w:after="0" w:line="259"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6"/>
          <w:szCs w:val="16"/>
          <w:b w:val="1"/>
          <w:bCs w:val="1"/>
          <w:i w:val="1"/>
          <w:iCs w:val="1"/>
          <w:u w:val="single" w:color="auto"/>
          <w:color w:val="auto"/>
        </w:rPr>
        <w:t>EXHIBITS, FINANCIAL STATEMENT SCHEDULES</w:t>
      </w:r>
    </w:p>
    <w:p>
      <w:pPr>
        <w:spacing w:after="0" w:line="167" w:lineRule="exact"/>
        <w:rPr>
          <w:sz w:val="20"/>
          <w:szCs w:val="20"/>
          <w:color w:val="auto"/>
        </w:rPr>
      </w:pPr>
    </w:p>
    <w:p>
      <w:pPr>
        <w:ind w:left="680" w:hanging="241"/>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5" w:lineRule="exact"/>
        <w:rPr>
          <w:sz w:val="20"/>
          <w:szCs w:val="20"/>
          <w:color w:val="auto"/>
        </w:rPr>
      </w:pPr>
    </w:p>
    <w:p>
      <w:pPr>
        <w:ind w:firstLine="867"/>
        <w:spacing w:after="0" w:line="261"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56 of this Annual Report on Form 10-K.</w:t>
      </w:r>
    </w:p>
    <w:p>
      <w:pPr>
        <w:spacing w:after="0" w:line="128" w:lineRule="exact"/>
        <w:rPr>
          <w:sz w:val="20"/>
          <w:szCs w:val="20"/>
          <w:color w:val="auto"/>
        </w:rPr>
      </w:pPr>
    </w:p>
    <w:p>
      <w:pPr>
        <w:ind w:left="680" w:hanging="241"/>
        <w:spacing w:after="0"/>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82"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exhibits listed on the “Index to Exhibits” beginning on page 109 of this Annual Report on Form 10-K are filed or furnished with this Annual Report on Form 10-K or incorporated herein by reference as noted in the “Index to Exhibits.”</w:t>
      </w:r>
    </w:p>
    <w:p>
      <w:pPr>
        <w:spacing w:after="0" w:line="128" w:lineRule="exact"/>
        <w:rPr>
          <w:sz w:val="20"/>
          <w:szCs w:val="20"/>
          <w:color w:val="auto"/>
        </w:rPr>
      </w:pPr>
    </w:p>
    <w:p>
      <w:pPr>
        <w:ind w:left="680" w:hanging="241"/>
        <w:spacing w:after="0"/>
        <w:tabs>
          <w:tab w:leader="none" w:pos="6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5" w:lineRule="exact"/>
        <w:rPr>
          <w:sz w:val="20"/>
          <w:szCs w:val="20"/>
          <w:color w:val="auto"/>
        </w:rPr>
      </w:pPr>
    </w:p>
    <w:p>
      <w:pPr>
        <w:ind w:firstLine="434"/>
        <w:spacing w:after="0" w:line="324" w:lineRule="auto"/>
        <w:rPr>
          <w:sz w:val="20"/>
          <w:szCs w:val="20"/>
          <w:color w:val="auto"/>
        </w:rPr>
      </w:pPr>
      <w:r>
        <w:rPr>
          <w:rFonts w:ascii="Arial" w:cs="Arial" w:eastAsia="Arial" w:hAnsi="Arial"/>
          <w:sz w:val="16"/>
          <w:szCs w:val="16"/>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56 of this Annual Report on Form 10-K.</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16.</w:t>
      </w:r>
      <w:r>
        <w:rPr>
          <w:sz w:val="20"/>
          <w:szCs w:val="20"/>
          <w:color w:val="auto"/>
        </w:rPr>
        <w:tab/>
      </w:r>
      <w:r>
        <w:rPr>
          <w:rFonts w:ascii="Arial" w:cs="Arial" w:eastAsia="Arial" w:hAnsi="Arial"/>
          <w:sz w:val="16"/>
          <w:szCs w:val="16"/>
          <w:b w:val="1"/>
          <w:bCs w:val="1"/>
          <w:i w:val="1"/>
          <w:iCs w:val="1"/>
          <w:u w:val="single" w:color="auto"/>
          <w:color w:val="auto"/>
        </w:rPr>
        <w:t>FORM 10-K SUMMARY</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7"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THE SCOTTS MIRACLE-GRO COMPANY</w:t>
      </w:r>
    </w:p>
    <w:p>
      <w:pPr>
        <w:spacing w:after="0" w:line="279" w:lineRule="exact"/>
        <w:rPr>
          <w:sz w:val="20"/>
          <w:szCs w:val="20"/>
          <w:color w:val="auto"/>
        </w:rPr>
      </w:pPr>
    </w:p>
    <w:p>
      <w:pPr>
        <w:ind w:left="6480"/>
        <w:spacing w:after="0"/>
        <w:tabs>
          <w:tab w:leader="none" w:pos="7080" w:val="left"/>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4502150</wp:posOffset>
            </wp:positionH>
            <wp:positionV relativeFrom="paragraph">
              <wp:posOffset>10160</wp:posOffset>
            </wp:positionV>
            <wp:extent cx="26371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37155" cy="8255"/>
                    </a:xfrm>
                    <a:prstGeom prst="rect">
                      <a:avLst/>
                    </a:prstGeom>
                    <a:noFill/>
                  </pic:spPr>
                </pic:pic>
              </a:graphicData>
            </a:graphic>
          </wp:anchor>
        </w:drawing>
      </w:r>
    </w:p>
    <w:p>
      <w:pPr>
        <w:spacing w:after="0" w:line="10"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James Hagedorn, Chief Executive Officer and Chairman</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of the Board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23, 2021</w:t>
      </w:r>
    </w:p>
    <w:p>
      <w:pPr>
        <w:spacing w:after="0" w:line="82" w:lineRule="exact"/>
        <w:rPr>
          <w:sz w:val="20"/>
          <w:szCs w:val="20"/>
          <w:color w:val="auto"/>
        </w:rPr>
      </w:pPr>
    </w:p>
    <w:p>
      <w:pPr>
        <w:ind w:firstLine="434"/>
        <w:spacing w:after="0" w:line="26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40"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Signature</w:t>
            </w:r>
          </w:p>
        </w:tc>
        <w:tc>
          <w:tcPr>
            <w:tcW w:w="2740" w:type="dxa"/>
            <w:vAlign w:val="bottom"/>
          </w:tcPr>
          <w:p>
            <w:pPr>
              <w:spacing w:after="0"/>
              <w:rPr>
                <w:sz w:val="13"/>
                <w:szCs w:val="13"/>
                <w:color w:val="auto"/>
              </w:rPr>
            </w:pPr>
          </w:p>
        </w:tc>
        <w:tc>
          <w:tcPr>
            <w:tcW w:w="25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Title</w:t>
            </w:r>
          </w:p>
        </w:tc>
        <w:tc>
          <w:tcPr>
            <w:tcW w:w="2160" w:type="dxa"/>
            <w:vAlign w:val="bottom"/>
            <w:gridSpan w:val="3"/>
          </w:tcPr>
          <w:p>
            <w:pPr>
              <w:jc w:val="center"/>
              <w:ind w:left="674"/>
              <w:spacing w:after="0" w:line="155" w:lineRule="exact"/>
              <w:rPr>
                <w:sz w:val="20"/>
                <w:szCs w:val="20"/>
                <w:color w:val="auto"/>
              </w:rPr>
            </w:pPr>
            <w:r>
              <w:rPr>
                <w:rFonts w:ascii="Arial" w:cs="Arial" w:eastAsia="Arial" w:hAnsi="Arial"/>
                <w:sz w:val="14"/>
                <w:szCs w:val="14"/>
                <w:b w:val="1"/>
                <w:bCs w:val="1"/>
                <w:color w:val="auto"/>
                <w:w w:val="92"/>
              </w:rPr>
              <w:t>Date</w:t>
            </w:r>
          </w:p>
        </w:tc>
      </w:tr>
      <w:tr>
        <w:trPr>
          <w:trHeight w:val="20"/>
        </w:trPr>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5"/>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CORY J. MILLER</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and Executive Vice President</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7"/>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Cory J. Miller</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6"/>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JAMES HAGEDORN</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Chairman of the Board and 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7"/>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James Hagedorn</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(Principal Executive Officer)</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DAVID C. EVANS*</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David C. Evans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BRIAN D. FINN*</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Brian D. Finn</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ADAM HANFT*</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Adam Hanft</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STEPHEN L. JOHNSON*</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Stephen L. Johnson</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THOMAS N. KELLY JR.*</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Thomas N. Kelly Jr.</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49"/>
        </w:trPr>
        <w:tc>
          <w:tcPr>
            <w:tcW w:w="240" w:type="dxa"/>
            <w:vAlign w:val="bottom"/>
          </w:tcPr>
          <w:p>
            <w:pPr>
              <w:ind w:left="20"/>
              <w:spacing w:after="0"/>
              <w:rPr>
                <w:sz w:val="20"/>
                <w:szCs w:val="20"/>
                <w:color w:val="auto"/>
              </w:rPr>
            </w:pPr>
            <w:r>
              <w:rPr>
                <w:rFonts w:ascii="Arial" w:cs="Arial" w:eastAsia="Arial" w:hAnsi="Arial"/>
                <w:sz w:val="18"/>
                <w:szCs w:val="18"/>
                <w:color w:val="auto"/>
              </w:rPr>
              <w:t>/s/</w:t>
            </w:r>
          </w:p>
        </w:tc>
        <w:tc>
          <w:tcPr>
            <w:tcW w:w="3300" w:type="dxa"/>
            <w:vAlign w:val="bottom"/>
            <w:gridSpan w:val="3"/>
          </w:tcPr>
          <w:p>
            <w:pPr>
              <w:ind w:left="80"/>
              <w:spacing w:after="0"/>
              <w:rPr>
                <w:sz w:val="20"/>
                <w:szCs w:val="20"/>
                <w:color w:val="auto"/>
              </w:rPr>
            </w:pPr>
            <w:r>
              <w:rPr>
                <w:rFonts w:ascii="Arial" w:cs="Arial" w:eastAsia="Arial" w:hAnsi="Arial"/>
                <w:sz w:val="18"/>
                <w:szCs w:val="18"/>
                <w:color w:val="auto"/>
              </w:rPr>
              <w:t>KATHERINE HAGEDORN</w:t>
            </w:r>
          </w:p>
        </w:tc>
        <w:tc>
          <w:tcPr>
            <w:tcW w:w="52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674"/>
              <w:spacing w:after="0"/>
              <w:rPr>
                <w:sz w:val="20"/>
                <w:szCs w:val="20"/>
                <w:color w:val="auto"/>
              </w:rPr>
            </w:pPr>
            <w:r>
              <w:rPr>
                <w:rFonts w:ascii="Arial" w:cs="Arial" w:eastAsia="Arial" w:hAnsi="Arial"/>
                <w:sz w:val="18"/>
                <w:szCs w:val="18"/>
                <w:color w:val="auto"/>
                <w:w w:val="88"/>
              </w:rPr>
              <w:t>November 23, 2021</w:t>
            </w:r>
          </w:p>
        </w:tc>
      </w:tr>
    </w:tbl>
    <w:p>
      <w:pPr>
        <w:ind w:left="60"/>
        <w:spacing w:after="0"/>
        <w:rPr>
          <w:sz w:val="20"/>
          <w:szCs w:val="20"/>
          <w:color w:val="auto"/>
        </w:rPr>
      </w:pPr>
      <w:r>
        <w:rPr>
          <w:rFonts w:ascii="Arial" w:cs="Arial" w:eastAsia="Arial" w:hAnsi="Arial"/>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1270</wp:posOffset>
            </wp:positionV>
            <wp:extent cx="22453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740" w:type="dxa"/>
            <w:vAlign w:val="bottom"/>
          </w:tcPr>
          <w:p>
            <w:pPr>
              <w:spacing w:after="0"/>
              <w:rPr>
                <w:sz w:val="14"/>
                <w:szCs w:val="1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2900" w:type="dxa"/>
            <w:vAlign w:val="bottom"/>
            <w:gridSpan w:val="3"/>
          </w:tcPr>
          <w:p>
            <w:pPr>
              <w:jc w:val="center"/>
              <w:ind w:left="1416"/>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68"/>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NANCY G. MISTRETTA*</w:t>
            </w:r>
          </w:p>
        </w:tc>
        <w:tc>
          <w:tcPr>
            <w:tcW w:w="45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416"/>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Nancy G. Mistretta</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PETER E. SHUMLIN*</w:t>
            </w:r>
          </w:p>
        </w:tc>
        <w:tc>
          <w:tcPr>
            <w:tcW w:w="45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416"/>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Peter E. Shumlin</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JOHN R. VINES*</w:t>
            </w:r>
          </w:p>
        </w:tc>
        <w:tc>
          <w:tcPr>
            <w:tcW w:w="45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416"/>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John R. Vines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87"/>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GERALD VOLAS*</w:t>
            </w:r>
          </w:p>
        </w:tc>
        <w:tc>
          <w:tcPr>
            <w:tcW w:w="45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900" w:type="dxa"/>
            <w:vAlign w:val="bottom"/>
            <w:gridSpan w:val="3"/>
          </w:tcPr>
          <w:p>
            <w:pPr>
              <w:jc w:val="center"/>
              <w:ind w:left="1416"/>
              <w:spacing w:after="0"/>
              <w:rPr>
                <w:sz w:val="20"/>
                <w:szCs w:val="20"/>
                <w:color w:val="auto"/>
              </w:rPr>
            </w:pPr>
            <w:r>
              <w:rPr>
                <w:rFonts w:ascii="Arial" w:cs="Arial" w:eastAsia="Arial" w:hAnsi="Arial"/>
                <w:sz w:val="18"/>
                <w:szCs w:val="18"/>
                <w:color w:val="auto"/>
                <w:w w:val="88"/>
              </w:rPr>
              <w:t>November 23, 2021</w:t>
            </w:r>
          </w:p>
        </w:tc>
      </w:tr>
      <w:tr>
        <w:trPr>
          <w:trHeight w:val="216"/>
        </w:trPr>
        <w:tc>
          <w:tcPr>
            <w:tcW w:w="3540" w:type="dxa"/>
            <w:vAlign w:val="bottom"/>
            <w:gridSpan w:val="4"/>
          </w:tcPr>
          <w:p>
            <w:pPr>
              <w:ind w:left="20"/>
              <w:spacing w:after="0"/>
              <w:rPr>
                <w:sz w:val="20"/>
                <w:szCs w:val="20"/>
                <w:color w:val="auto"/>
              </w:rPr>
            </w:pPr>
            <w:r>
              <w:rPr>
                <w:rFonts w:ascii="Arial" w:cs="Arial" w:eastAsia="Arial" w:hAnsi="Arial"/>
                <w:sz w:val="18"/>
                <w:szCs w:val="18"/>
                <w:color w:val="auto"/>
              </w:rPr>
              <w:t>Gerald Volas</w:t>
            </w: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317" w:lineRule="exact"/>
        <w:rPr>
          <w:sz w:val="20"/>
          <w:szCs w:val="20"/>
          <w:color w:val="auto"/>
        </w:rPr>
      </w:pPr>
    </w:p>
    <w:p>
      <w:pPr>
        <w:ind w:left="460" w:hanging="437"/>
        <w:spacing w:after="0" w:line="32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252"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CORY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10160</wp:posOffset>
            </wp:positionV>
            <wp:extent cx="2795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5905" cy="8255"/>
                    </a:xfrm>
                    <a:prstGeom prst="rect">
                      <a:avLst/>
                    </a:prstGeom>
                    <a:noFill/>
                  </pic:spPr>
                </pic:pic>
              </a:graphicData>
            </a:graphic>
          </wp:anchor>
        </w:drawing>
      </w:r>
    </w:p>
    <w:p>
      <w:pPr>
        <w:spacing w:after="0" w:line="1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Cory J. Miller,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6" w:name="page57"/>
    <w:bookmarkEnd w:id="5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STATEMENT SCHEDULES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Page</w:t>
            </w:r>
          </w:p>
        </w:tc>
      </w:tr>
      <w:tr>
        <w:trPr>
          <w:trHeight w:val="210"/>
        </w:trPr>
        <w:tc>
          <w:tcPr>
            <w:tcW w:w="10360" w:type="dxa"/>
            <w:vAlign w:val="bottom"/>
            <w:gridSpan w:val="10"/>
          </w:tcPr>
          <w:p>
            <w:pPr>
              <w:spacing w:after="0"/>
              <w:rPr>
                <w:sz w:val="20"/>
                <w:szCs w:val="20"/>
                <w:color w:val="auto"/>
              </w:rPr>
            </w:pPr>
            <w:r>
              <w:rPr>
                <w:rFonts w:ascii="Arial" w:cs="Arial" w:eastAsia="Arial" w:hAnsi="Arial"/>
                <w:sz w:val="18"/>
                <w:szCs w:val="18"/>
                <w:color w:val="auto"/>
              </w:rPr>
              <w:t>Consolidated Financial Statements of The Scotts Miracle-Gro Company and Subsidiaries: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320" w:type="dxa"/>
            <w:vAlign w:val="bottom"/>
          </w:tcPr>
          <w:p>
            <w:pPr>
              <w:spacing w:after="0"/>
              <w:rPr>
                <w:sz w:val="16"/>
                <w:szCs w:val="16"/>
                <w:color w:val="auto"/>
              </w:rPr>
            </w:pPr>
          </w:p>
        </w:tc>
        <w:tc>
          <w:tcPr>
            <w:tcW w:w="10040" w:type="dxa"/>
            <w:vAlign w:val="bottom"/>
            <w:gridSpan w:val="9"/>
          </w:tcPr>
          <w:p>
            <w:pPr>
              <w:spacing w:after="0" w:line="185" w:lineRule="exact"/>
              <w:rPr>
                <w:rFonts w:ascii="Arial" w:cs="Arial" w:eastAsia="Arial" w:hAnsi="Arial"/>
                <w:sz w:val="18"/>
                <w:szCs w:val="18"/>
                <w:color w:val="0000FF"/>
              </w:rPr>
            </w:pPr>
            <w:hyperlink w:anchor="page57">
              <w:r>
                <w:rPr>
                  <w:rFonts w:ascii="Arial" w:cs="Arial" w:eastAsia="Arial" w:hAnsi="Arial"/>
                  <w:sz w:val="18"/>
                  <w:szCs w:val="18"/>
                  <w:color w:val="0000FF"/>
                </w:rPr>
                <w:t>Annual Report of Management on Internal Control Over Financial Reporting</w:t>
              </w:r>
            </w:hyperlink>
          </w:p>
        </w:tc>
        <w:tc>
          <w:tcPr>
            <w:tcW w:w="840" w:type="dxa"/>
            <w:vAlign w:val="bottom"/>
            <w:gridSpan w:val="4"/>
          </w:tcPr>
          <w:p>
            <w:pPr>
              <w:jc w:val="right"/>
              <w:ind w:right="20"/>
              <w:spacing w:after="0" w:line="185" w:lineRule="exact"/>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203"/>
        </w:trPr>
        <w:tc>
          <w:tcPr>
            <w:tcW w:w="32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2"/>
          </w:tcPr>
          <w:p>
            <w:pPr>
              <w:spacing w:after="0" w:line="203" w:lineRule="exact"/>
              <w:rPr>
                <w:rFonts w:ascii="Arial" w:cs="Arial" w:eastAsia="Arial" w:hAnsi="Arial"/>
                <w:sz w:val="18"/>
                <w:szCs w:val="18"/>
                <w:color w:val="0000FF"/>
                <w:w w:val="88"/>
              </w:rPr>
            </w:pPr>
            <w:hyperlink w:anchor="page58">
              <w:r>
                <w:rPr>
                  <w:rFonts w:ascii="Arial" w:cs="Arial" w:eastAsia="Arial" w:hAnsi="Arial"/>
                  <w:sz w:val="18"/>
                  <w:szCs w:val="18"/>
                  <w:color w:val="0000FF"/>
                  <w:w w:val="88"/>
                </w:rPr>
                <w:t>Reports of Independent Registered Public Accounting Firm</w:t>
              </w:r>
            </w:hyperlink>
          </w:p>
        </w:tc>
        <w:tc>
          <w:tcPr>
            <w:tcW w:w="1220" w:type="dxa"/>
            <w:vAlign w:val="bottom"/>
            <w:tcBorders>
              <w:top w:val="single" w:sz="8" w:color="0000FF"/>
            </w:tcBorders>
            <w:gridSpan w:val="2"/>
          </w:tcPr>
          <w:p>
            <w:pPr>
              <w:spacing w:after="0"/>
              <w:rPr>
                <w:sz w:val="17"/>
                <w:szCs w:val="17"/>
                <w:color w:val="auto"/>
              </w:rPr>
            </w:pPr>
          </w:p>
        </w:tc>
        <w:tc>
          <w:tcPr>
            <w:tcW w:w="4640" w:type="dxa"/>
            <w:vAlign w:val="bottom"/>
            <w:gridSpan w:val="5"/>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line="203" w:lineRule="exact"/>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c>
          <w:tcPr>
            <w:tcW w:w="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120" w:type="dxa"/>
            <w:vAlign w:val="bottom"/>
            <w:tcBorders>
              <w:bottom w:val="single" w:sz="8" w:color="0000FF"/>
            </w:tcBorders>
            <w:gridSpan w:val="5"/>
          </w:tcPr>
          <w:p>
            <w:pPr>
              <w:spacing w:after="0" w:line="203" w:lineRule="exact"/>
              <w:rPr>
                <w:rFonts w:ascii="Arial" w:cs="Arial" w:eastAsia="Arial" w:hAnsi="Arial"/>
                <w:sz w:val="18"/>
                <w:szCs w:val="18"/>
                <w:color w:val="0000FF"/>
                <w:w w:val="86"/>
              </w:rPr>
            </w:pPr>
            <w:hyperlink w:anchor="page62">
              <w:r>
                <w:rPr>
                  <w:rFonts w:ascii="Arial" w:cs="Arial" w:eastAsia="Arial" w:hAnsi="Arial"/>
                  <w:sz w:val="18"/>
                  <w:szCs w:val="18"/>
                  <w:color w:val="0000FF"/>
                  <w:w w:val="86"/>
                </w:rPr>
                <w:t xml:space="preserve">Consolidated Statements of Operations for the fiscal years ended September 30, </w:t>
              </w:r>
            </w:hyperlink>
            <w:r>
              <w:rPr>
                <w:rFonts w:ascii="Arial" w:cs="Arial" w:eastAsia="Arial" w:hAnsi="Arial"/>
                <w:sz w:val="18"/>
                <w:szCs w:val="18"/>
                <w:color w:val="0000FF"/>
                <w:w w:val="86"/>
              </w:rPr>
              <w:t xml:space="preserve">2021, 2020 </w:t>
            </w:r>
            <w:hyperlink w:anchor="page62">
              <w:r>
                <w:rPr>
                  <w:rFonts w:ascii="Arial" w:cs="Arial" w:eastAsia="Arial" w:hAnsi="Arial"/>
                  <w:sz w:val="18"/>
                  <w:szCs w:val="18"/>
                  <w:color w:val="0000FF"/>
                  <w:w w:val="86"/>
                </w:rPr>
                <w:t xml:space="preserve">and </w:t>
              </w:r>
            </w:hyperlink>
            <w:r>
              <w:rPr>
                <w:rFonts w:ascii="Arial" w:cs="Arial" w:eastAsia="Arial" w:hAnsi="Arial"/>
                <w:sz w:val="18"/>
                <w:szCs w:val="18"/>
                <w:color w:val="0000FF"/>
                <w:w w:val="86"/>
              </w:rPr>
              <w:t>2019</w:t>
            </w:r>
          </w:p>
        </w:tc>
        <w:tc>
          <w:tcPr>
            <w:tcW w:w="2920" w:type="dxa"/>
            <w:vAlign w:val="bottom"/>
            <w:gridSpan w:val="4"/>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62</w:t>
              </w:r>
            </w:hyperlink>
          </w:p>
        </w:tc>
        <w:tc>
          <w:tcPr>
            <w:tcW w:w="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8520" w:type="dxa"/>
            <w:vAlign w:val="bottom"/>
            <w:tcBorders>
              <w:bottom w:val="single" w:sz="8" w:color="0000FF"/>
            </w:tcBorders>
            <w:gridSpan w:val="8"/>
          </w:tcPr>
          <w:p>
            <w:pPr>
              <w:spacing w:after="0" w:line="203" w:lineRule="exact"/>
              <w:rPr>
                <w:rFonts w:ascii="Arial" w:cs="Arial" w:eastAsia="Arial" w:hAnsi="Arial"/>
                <w:sz w:val="18"/>
                <w:szCs w:val="18"/>
                <w:color w:val="0000FF"/>
                <w:w w:val="87"/>
              </w:rPr>
            </w:pPr>
            <w:hyperlink w:anchor="page63">
              <w:r>
                <w:rPr>
                  <w:rFonts w:ascii="Arial" w:cs="Arial" w:eastAsia="Arial" w:hAnsi="Arial"/>
                  <w:sz w:val="18"/>
                  <w:szCs w:val="18"/>
                  <w:color w:val="0000FF"/>
                  <w:w w:val="87"/>
                </w:rPr>
                <w:t xml:space="preserve">Consolidated Statements of Comprehensive Income (Loss) for the fiscal years ended September 30, </w:t>
              </w:r>
            </w:hyperlink>
            <w:r>
              <w:rPr>
                <w:rFonts w:ascii="Arial" w:cs="Arial" w:eastAsia="Arial" w:hAnsi="Arial"/>
                <w:sz w:val="18"/>
                <w:szCs w:val="18"/>
                <w:color w:val="0000FF"/>
                <w:w w:val="87"/>
              </w:rPr>
              <w:t xml:space="preserve">2021, 2020 </w:t>
            </w:r>
            <w:hyperlink w:anchor="page63">
              <w:r>
                <w:rPr>
                  <w:rFonts w:ascii="Arial" w:cs="Arial" w:eastAsia="Arial" w:hAnsi="Arial"/>
                  <w:sz w:val="18"/>
                  <w:szCs w:val="18"/>
                  <w:color w:val="0000FF"/>
                  <w:w w:val="87"/>
                </w:rPr>
                <w:t xml:space="preserve">and </w:t>
              </w:r>
            </w:hyperlink>
            <w:r>
              <w:rPr>
                <w:rFonts w:ascii="Arial" w:cs="Arial" w:eastAsia="Arial" w:hAnsi="Arial"/>
                <w:sz w:val="18"/>
                <w:szCs w:val="18"/>
                <w:color w:val="0000FF"/>
                <w:w w:val="87"/>
              </w:rPr>
              <w:t>2019</w:t>
            </w:r>
          </w:p>
        </w:tc>
        <w:tc>
          <w:tcPr>
            <w:tcW w:w="1520" w:type="dxa"/>
            <w:vAlign w:val="bottom"/>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7180" w:type="dxa"/>
            <w:vAlign w:val="bottom"/>
            <w:tcBorders>
              <w:bottom w:val="single" w:sz="8" w:color="0000FF"/>
            </w:tcBorders>
            <w:gridSpan w:val="6"/>
          </w:tcPr>
          <w:p>
            <w:pPr>
              <w:spacing w:after="0" w:line="203" w:lineRule="exact"/>
              <w:rPr>
                <w:rFonts w:ascii="Arial" w:cs="Arial" w:eastAsia="Arial" w:hAnsi="Arial"/>
                <w:sz w:val="18"/>
                <w:szCs w:val="18"/>
                <w:color w:val="0000FF"/>
                <w:w w:val="86"/>
              </w:rPr>
            </w:pPr>
            <w:hyperlink w:anchor="page64">
              <w:r>
                <w:rPr>
                  <w:rFonts w:ascii="Arial" w:cs="Arial" w:eastAsia="Arial" w:hAnsi="Arial"/>
                  <w:sz w:val="18"/>
                  <w:szCs w:val="18"/>
                  <w:color w:val="0000FF"/>
                  <w:w w:val="86"/>
                </w:rPr>
                <w:t xml:space="preserve">Consolidated Statements of Cash Flows for the fiscal years ended September 30, </w:t>
              </w:r>
            </w:hyperlink>
            <w:r>
              <w:rPr>
                <w:rFonts w:ascii="Arial" w:cs="Arial" w:eastAsia="Arial" w:hAnsi="Arial"/>
                <w:sz w:val="18"/>
                <w:szCs w:val="18"/>
                <w:color w:val="0000FF"/>
                <w:w w:val="86"/>
              </w:rPr>
              <w:t xml:space="preserve">2021, 2020 </w:t>
            </w:r>
            <w:hyperlink w:anchor="page64">
              <w:r>
                <w:rPr>
                  <w:rFonts w:ascii="Arial" w:cs="Arial" w:eastAsia="Arial" w:hAnsi="Arial"/>
                  <w:sz w:val="18"/>
                  <w:szCs w:val="18"/>
                  <w:color w:val="0000FF"/>
                  <w:w w:val="86"/>
                </w:rPr>
                <w:t>and 2019</w:t>
              </w:r>
            </w:hyperlink>
          </w:p>
        </w:tc>
        <w:tc>
          <w:tcPr>
            <w:tcW w:w="2860" w:type="dxa"/>
            <w:vAlign w:val="bottom"/>
            <w:gridSpan w:val="3"/>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rFonts w:ascii="Arial" w:cs="Arial" w:eastAsia="Arial" w:hAnsi="Arial"/>
                <w:sz w:val="18"/>
                <w:szCs w:val="18"/>
                <w:color w:val="0000FF"/>
                <w:w w:val="79"/>
              </w:rPr>
            </w:pPr>
            <w:hyperlink w:anchor="page64">
              <w:r>
                <w:rPr>
                  <w:rFonts w:ascii="Arial" w:cs="Arial" w:eastAsia="Arial" w:hAnsi="Arial"/>
                  <w:sz w:val="18"/>
                  <w:szCs w:val="18"/>
                  <w:color w:val="0000FF"/>
                  <w:w w:val="79"/>
                </w:rPr>
                <w:t>64</w:t>
              </w:r>
            </w:hyperlink>
          </w:p>
        </w:tc>
        <w:tc>
          <w:tcPr>
            <w:tcW w:w="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10040" w:type="dxa"/>
            <w:vAlign w:val="bottom"/>
            <w:gridSpan w:val="9"/>
          </w:tcPr>
          <w:p>
            <w:pPr>
              <w:spacing w:after="0" w:line="203" w:lineRule="exact"/>
              <w:rPr>
                <w:rFonts w:ascii="Arial" w:cs="Arial" w:eastAsia="Arial" w:hAnsi="Arial"/>
                <w:sz w:val="18"/>
                <w:szCs w:val="18"/>
                <w:color w:val="0000FF"/>
              </w:rPr>
            </w:pPr>
            <w:hyperlink w:anchor="page65">
              <w:r>
                <w:rPr>
                  <w:rFonts w:ascii="Arial" w:cs="Arial" w:eastAsia="Arial" w:hAnsi="Arial"/>
                  <w:sz w:val="18"/>
                  <w:szCs w:val="18"/>
                  <w:color w:val="0000FF"/>
                </w:rPr>
                <w:t>Consolidated Balance Sheets at September 30, 2021 and 2020</w:t>
              </w:r>
            </w:hyperlink>
          </w:p>
        </w:tc>
        <w:tc>
          <w:tcPr>
            <w:tcW w:w="840" w:type="dxa"/>
            <w:vAlign w:val="bottom"/>
            <w:gridSpan w:val="4"/>
          </w:tcPr>
          <w:p>
            <w:pPr>
              <w:jc w:val="right"/>
              <w:ind w:right="20"/>
              <w:spacing w:after="0" w:line="203" w:lineRule="exact"/>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320" w:type="dxa"/>
            <w:vAlign w:val="bottom"/>
          </w:tcPr>
          <w:p>
            <w:pPr>
              <w:spacing w:after="0"/>
              <w:rPr>
                <w:sz w:val="17"/>
                <w:szCs w:val="17"/>
                <w:color w:val="auto"/>
              </w:rPr>
            </w:pPr>
          </w:p>
        </w:tc>
        <w:tc>
          <w:tcPr>
            <w:tcW w:w="7840" w:type="dxa"/>
            <w:vAlign w:val="bottom"/>
            <w:tcBorders>
              <w:bottom w:val="single" w:sz="8" w:color="0000FF"/>
            </w:tcBorders>
            <w:gridSpan w:val="7"/>
          </w:tcPr>
          <w:p>
            <w:pPr>
              <w:spacing w:after="0" w:line="203" w:lineRule="exact"/>
              <w:rPr>
                <w:rFonts w:ascii="Arial" w:cs="Arial" w:eastAsia="Arial" w:hAnsi="Arial"/>
                <w:sz w:val="18"/>
                <w:szCs w:val="18"/>
                <w:color w:val="0000FF"/>
                <w:w w:val="87"/>
              </w:rPr>
            </w:pPr>
            <w:hyperlink w:anchor="page66">
              <w:r>
                <w:rPr>
                  <w:rFonts w:ascii="Arial" w:cs="Arial" w:eastAsia="Arial" w:hAnsi="Arial"/>
                  <w:sz w:val="18"/>
                  <w:szCs w:val="18"/>
                  <w:color w:val="0000FF"/>
                  <w:w w:val="87"/>
                </w:rPr>
                <w:t xml:space="preserve">Consolidated Statements of Shareholders’ Equity for the fiscal years ended September 30, </w:t>
              </w:r>
            </w:hyperlink>
            <w:r>
              <w:rPr>
                <w:rFonts w:ascii="Arial" w:cs="Arial" w:eastAsia="Arial" w:hAnsi="Arial"/>
                <w:sz w:val="18"/>
                <w:szCs w:val="18"/>
                <w:color w:val="0000FF"/>
                <w:w w:val="87"/>
              </w:rPr>
              <w:t xml:space="preserve">2021, 2020 </w:t>
            </w:r>
            <w:hyperlink w:anchor="page66">
              <w:r>
                <w:rPr>
                  <w:rFonts w:ascii="Arial" w:cs="Arial" w:eastAsia="Arial" w:hAnsi="Arial"/>
                  <w:sz w:val="18"/>
                  <w:szCs w:val="18"/>
                  <w:color w:val="0000FF"/>
                  <w:w w:val="87"/>
                </w:rPr>
                <w:t>and 2019</w:t>
              </w:r>
            </w:hyperlink>
          </w:p>
        </w:tc>
        <w:tc>
          <w:tcPr>
            <w:tcW w:w="2200" w:type="dxa"/>
            <w:vAlign w:val="bottom"/>
            <w:gridSpan w:val="2"/>
          </w:tcPr>
          <w:p>
            <w:pPr>
              <w:spacing w:after="0"/>
              <w:rPr>
                <w:sz w:val="17"/>
                <w:szCs w:val="17"/>
                <w:color w:val="auto"/>
              </w:rPr>
            </w:pPr>
          </w:p>
        </w:tc>
        <w:tc>
          <w:tcPr>
            <w:tcW w:w="640" w:type="dxa"/>
            <w:vAlign w:val="bottom"/>
            <w:gridSpan w:val="2"/>
          </w:tcPr>
          <w:p>
            <w:pPr>
              <w:spacing w:after="0"/>
              <w:rPr>
                <w:sz w:val="17"/>
                <w:szCs w:val="17"/>
                <w:color w:val="auto"/>
              </w:rPr>
            </w:pPr>
          </w:p>
        </w:tc>
        <w:tc>
          <w:tcPr>
            <w:tcW w:w="180" w:type="dxa"/>
            <w:vAlign w:val="bottom"/>
            <w:tcBorders>
              <w:bottom w:val="single" w:sz="8" w:color="0000FF"/>
            </w:tcBorders>
          </w:tcPr>
          <w:p>
            <w:pPr>
              <w:jc w:val="right"/>
              <w:spacing w:after="0" w:line="203" w:lineRule="exact"/>
              <w:rPr>
                <w:rFonts w:ascii="Arial" w:cs="Arial" w:eastAsia="Arial" w:hAnsi="Arial"/>
                <w:sz w:val="18"/>
                <w:szCs w:val="18"/>
                <w:color w:val="0000FF"/>
                <w:w w:val="79"/>
              </w:rPr>
            </w:pPr>
            <w:hyperlink w:anchor="page66">
              <w:r>
                <w:rPr>
                  <w:rFonts w:ascii="Arial" w:cs="Arial" w:eastAsia="Arial" w:hAnsi="Arial"/>
                  <w:sz w:val="18"/>
                  <w:szCs w:val="18"/>
                  <w:color w:val="0000FF"/>
                  <w:w w:val="79"/>
                </w:rPr>
                <w:t>66</w:t>
              </w:r>
            </w:hyperlink>
          </w:p>
        </w:tc>
        <w:tc>
          <w:tcPr>
            <w:tcW w:w="20" w:type="dxa"/>
            <w:vAlign w:val="bottom"/>
          </w:tcPr>
          <w:p>
            <w:pPr>
              <w:spacing w:after="0"/>
              <w:rPr>
                <w:sz w:val="17"/>
                <w:szCs w:val="17"/>
                <w:color w:val="auto"/>
              </w:rPr>
            </w:pPr>
          </w:p>
        </w:tc>
      </w:tr>
      <w:tr>
        <w:trPr>
          <w:trHeight w:val="203"/>
        </w:trPr>
        <w:tc>
          <w:tcPr>
            <w:tcW w:w="320" w:type="dxa"/>
            <w:vAlign w:val="bottom"/>
          </w:tcPr>
          <w:p>
            <w:pPr>
              <w:spacing w:after="0"/>
              <w:rPr>
                <w:sz w:val="17"/>
                <w:szCs w:val="17"/>
                <w:color w:val="auto"/>
              </w:rPr>
            </w:pPr>
          </w:p>
        </w:tc>
        <w:tc>
          <w:tcPr>
            <w:tcW w:w="10040" w:type="dxa"/>
            <w:vAlign w:val="bottom"/>
            <w:gridSpan w:val="9"/>
          </w:tcPr>
          <w:p>
            <w:pPr>
              <w:spacing w:after="0" w:line="203" w:lineRule="exact"/>
              <w:rPr>
                <w:rFonts w:ascii="Arial" w:cs="Arial" w:eastAsia="Arial" w:hAnsi="Arial"/>
                <w:sz w:val="18"/>
                <w:szCs w:val="18"/>
                <w:color w:val="0000FF"/>
              </w:rPr>
            </w:pPr>
            <w:hyperlink w:anchor="page67">
              <w:r>
                <w:rPr>
                  <w:rFonts w:ascii="Arial" w:cs="Arial" w:eastAsia="Arial" w:hAnsi="Arial"/>
                  <w:sz w:val="18"/>
                  <w:szCs w:val="18"/>
                  <w:color w:val="0000FF"/>
                </w:rPr>
                <w:t>Notes to Consolidated Financial Statements</w:t>
              </w:r>
            </w:hyperlink>
          </w:p>
        </w:tc>
        <w:tc>
          <w:tcPr>
            <w:tcW w:w="840" w:type="dxa"/>
            <w:vAlign w:val="bottom"/>
            <w:gridSpan w:val="4"/>
          </w:tcPr>
          <w:p>
            <w:pPr>
              <w:jc w:val="right"/>
              <w:ind w:right="20"/>
              <w:spacing w:after="0" w:line="203" w:lineRule="exact"/>
              <w:rPr>
                <w:rFonts w:ascii="Arial" w:cs="Arial" w:eastAsia="Arial" w:hAnsi="Arial"/>
                <w:sz w:val="18"/>
                <w:szCs w:val="18"/>
                <w:color w:val="0000FF"/>
              </w:rPr>
            </w:pPr>
            <w:hyperlink w:anchor="page67">
              <w:r>
                <w:rPr>
                  <w:rFonts w:ascii="Arial" w:cs="Arial" w:eastAsia="Arial" w:hAnsi="Arial"/>
                  <w:sz w:val="18"/>
                  <w:szCs w:val="18"/>
                  <w:color w:val="0000FF"/>
                </w:rPr>
                <w:t>67</w:t>
              </w:r>
            </w:hyperlink>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2"/>
        </w:trPr>
        <w:tc>
          <w:tcPr>
            <w:tcW w:w="10360" w:type="dxa"/>
            <w:vAlign w:val="bottom"/>
            <w:gridSpan w:val="10"/>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5"/>
        </w:trPr>
        <w:tc>
          <w:tcPr>
            <w:tcW w:w="320" w:type="dxa"/>
            <w:vAlign w:val="bottom"/>
          </w:tcPr>
          <w:p>
            <w:pPr>
              <w:spacing w:after="0"/>
              <w:rPr>
                <w:sz w:val="16"/>
                <w:szCs w:val="16"/>
                <w:color w:val="auto"/>
              </w:rPr>
            </w:pPr>
          </w:p>
        </w:tc>
        <w:tc>
          <w:tcPr>
            <w:tcW w:w="7840" w:type="dxa"/>
            <w:vAlign w:val="bottom"/>
            <w:gridSpan w:val="7"/>
          </w:tcPr>
          <w:p>
            <w:pPr>
              <w:spacing w:after="0" w:line="185" w:lineRule="exact"/>
              <w:rPr>
                <w:rFonts w:ascii="Arial" w:cs="Arial" w:eastAsia="Arial" w:hAnsi="Arial"/>
                <w:sz w:val="18"/>
                <w:szCs w:val="18"/>
                <w:color w:val="0000FF"/>
                <w:w w:val="88"/>
              </w:rPr>
            </w:pPr>
            <w:hyperlink w:anchor="page108">
              <w:r>
                <w:rPr>
                  <w:rFonts w:ascii="Arial" w:cs="Arial" w:eastAsia="Arial" w:hAnsi="Arial"/>
                  <w:sz w:val="18"/>
                  <w:szCs w:val="18"/>
                  <w:color w:val="0000FF"/>
                  <w:w w:val="88"/>
                </w:rPr>
                <w:t xml:space="preserve">Schedule II—Valuation and Qualifying Accounts for the fiscal years ended September 30, 2021, </w:t>
              </w:r>
            </w:hyperlink>
            <w:r>
              <w:rPr>
                <w:rFonts w:ascii="Arial" w:cs="Arial" w:eastAsia="Arial" w:hAnsi="Arial"/>
                <w:sz w:val="18"/>
                <w:szCs w:val="18"/>
                <w:color w:val="0000FF"/>
                <w:w w:val="88"/>
              </w:rPr>
              <w:t xml:space="preserve">2020 </w:t>
            </w:r>
            <w:hyperlink w:anchor="page108">
              <w:r>
                <w:rPr>
                  <w:rFonts w:ascii="Arial" w:cs="Arial" w:eastAsia="Arial" w:hAnsi="Arial"/>
                  <w:sz w:val="18"/>
                  <w:szCs w:val="18"/>
                  <w:color w:val="0000FF"/>
                  <w:w w:val="88"/>
                </w:rPr>
                <w:t>and 2019</w:t>
              </w:r>
            </w:hyperlink>
          </w:p>
        </w:tc>
        <w:tc>
          <w:tcPr>
            <w:tcW w:w="2200" w:type="dxa"/>
            <w:vAlign w:val="bottom"/>
            <w:gridSpan w:val="2"/>
          </w:tcPr>
          <w:p>
            <w:pPr>
              <w:spacing w:after="0"/>
              <w:rPr>
                <w:sz w:val="16"/>
                <w:szCs w:val="16"/>
                <w:color w:val="auto"/>
              </w:rPr>
            </w:pPr>
          </w:p>
        </w:tc>
        <w:tc>
          <w:tcPr>
            <w:tcW w:w="840" w:type="dxa"/>
            <w:vAlign w:val="bottom"/>
            <w:gridSpan w:val="4"/>
          </w:tcPr>
          <w:p>
            <w:pPr>
              <w:jc w:val="right"/>
              <w:ind w:right="20"/>
              <w:spacing w:after="0" w:line="185" w:lineRule="exact"/>
              <w:rPr>
                <w:rFonts w:ascii="Arial" w:cs="Arial" w:eastAsia="Arial" w:hAnsi="Arial"/>
                <w:sz w:val="18"/>
                <w:szCs w:val="18"/>
                <w:color w:val="0000FF"/>
              </w:rPr>
            </w:pPr>
            <w:hyperlink w:anchor="page108">
              <w:r>
                <w:rPr>
                  <w:rFonts w:ascii="Arial" w:cs="Arial" w:eastAsia="Arial" w:hAnsi="Arial"/>
                  <w:sz w:val="18"/>
                  <w:szCs w:val="18"/>
                  <w:color w:val="0000FF"/>
                </w:rPr>
                <w:t>108</w:t>
              </w:r>
            </w:hyperlink>
          </w:p>
        </w:tc>
      </w:tr>
      <w:tr>
        <w:trPr>
          <w:trHeight w:val="20"/>
        </w:trPr>
        <w:tc>
          <w:tcPr>
            <w:tcW w:w="32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CONTROL OVER FINANCIAL REPORTING</w:t>
      </w:r>
    </w:p>
    <w:p>
      <w:pPr>
        <w:spacing w:after="0" w:line="149" w:lineRule="exact"/>
        <w:rPr>
          <w:sz w:val="20"/>
          <w:szCs w:val="20"/>
          <w:color w:val="auto"/>
        </w:rPr>
      </w:pPr>
    </w:p>
    <w:p>
      <w:pPr>
        <w:jc w:val="both"/>
        <w:ind w:right="100" w:firstLine="434"/>
        <w:spacing w:after="0" w:line="27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2" w:lineRule="exact"/>
        <w:rPr>
          <w:sz w:val="20"/>
          <w:szCs w:val="20"/>
          <w:color w:val="auto"/>
        </w:rPr>
      </w:pPr>
    </w:p>
    <w:p>
      <w:pPr>
        <w:jc w:val="both"/>
        <w:ind w:right="100" w:firstLine="434"/>
        <w:spacing w:after="0" w:line="281"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2021, the end of our fiscal year. Management based its assessment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Management’s assessment included</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 As allowed by the SEC guidance, management excluded from the assessment the internal control over financial reporting at Hydro-Logic Purification Systems, Inc. and Rhizoflora, Inc., which were acquired in fiscal 2021. These acquisitions constituted 2.1% of total assets and 0% of revenues and net income included in our consolidated financial statements as of and for the fiscal year ended September 30, 2021.</w:t>
      </w:r>
    </w:p>
    <w:p>
      <w:pPr>
        <w:spacing w:after="0" w:line="117" w:lineRule="exact"/>
        <w:rPr>
          <w:sz w:val="20"/>
          <w:szCs w:val="20"/>
          <w:color w:val="auto"/>
        </w:rPr>
      </w:pPr>
    </w:p>
    <w:p>
      <w:pPr>
        <w:jc w:val="both"/>
        <w:ind w:right="100" w:firstLine="434"/>
        <w:spacing w:after="0" w:line="24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40" w:lineRule="exact"/>
        <w:rPr>
          <w:sz w:val="20"/>
          <w:szCs w:val="20"/>
          <w:color w:val="auto"/>
        </w:rPr>
      </w:pPr>
    </w:p>
    <w:p>
      <w:pPr>
        <w:jc w:val="both"/>
        <w:ind w:right="100" w:firstLine="434"/>
        <w:spacing w:after="0" w:line="24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2021,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40" w:lineRule="exact"/>
        <w:rPr>
          <w:sz w:val="20"/>
          <w:szCs w:val="20"/>
          <w:color w:val="auto"/>
        </w:rPr>
      </w:pPr>
    </w:p>
    <w:p>
      <w:pPr>
        <w:jc w:val="both"/>
        <w:ind w:right="100" w:firstLine="434"/>
        <w:spacing w:after="0" w:line="261"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2021 and has issued their attestation report which appears herein.</w:t>
      </w:r>
    </w:p>
    <w:p>
      <w:pPr>
        <w:spacing w:after="0" w:line="200" w:lineRule="exact"/>
        <w:rPr>
          <w:sz w:val="20"/>
          <w:szCs w:val="20"/>
          <w:color w:val="auto"/>
        </w:rPr>
      </w:pP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55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/s/  JAMES HAGEDORN</w:t>
            </w:r>
          </w:p>
        </w:tc>
        <w:tc>
          <w:tcPr>
            <w:tcW w:w="120" w:type="dxa"/>
            <w:vAlign w:val="bottom"/>
          </w:tcPr>
          <w:p>
            <w:pPr>
              <w:spacing w:after="0"/>
              <w:rPr>
                <w:sz w:val="19"/>
                <w:szCs w:val="19"/>
                <w:color w:val="auto"/>
              </w:rPr>
            </w:pPr>
          </w:p>
        </w:tc>
        <w:tc>
          <w:tcPr>
            <w:tcW w:w="52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/s/  CORY J. MILLER</w:t>
            </w:r>
          </w:p>
        </w:tc>
      </w:tr>
      <w:tr>
        <w:trPr>
          <w:trHeight w:val="216"/>
        </w:trPr>
        <w:tc>
          <w:tcPr>
            <w:tcW w:w="5660" w:type="dxa"/>
            <w:vAlign w:val="bottom"/>
            <w:gridSpan w:val="3"/>
          </w:tcPr>
          <w:p>
            <w:pPr>
              <w:ind w:left="460"/>
              <w:spacing w:after="0"/>
              <w:rPr>
                <w:sz w:val="20"/>
                <w:szCs w:val="20"/>
                <w:color w:val="auto"/>
              </w:rPr>
            </w:pPr>
            <w:r>
              <w:rPr>
                <w:rFonts w:ascii="Arial" w:cs="Arial" w:eastAsia="Arial" w:hAnsi="Arial"/>
                <w:sz w:val="18"/>
                <w:szCs w:val="18"/>
                <w:color w:val="auto"/>
              </w:rPr>
              <w:t>James Hagedorn</w:t>
            </w:r>
          </w:p>
        </w:tc>
        <w:tc>
          <w:tcPr>
            <w:tcW w:w="5240" w:type="dxa"/>
            <w:vAlign w:val="bottom"/>
            <w:gridSpan w:val="2"/>
          </w:tcPr>
          <w:p>
            <w:pPr>
              <w:ind w:left="440"/>
              <w:spacing w:after="0"/>
              <w:rPr>
                <w:sz w:val="20"/>
                <w:szCs w:val="20"/>
                <w:color w:val="auto"/>
              </w:rPr>
            </w:pPr>
            <w:r>
              <w:rPr>
                <w:rFonts w:ascii="Arial" w:cs="Arial" w:eastAsia="Arial" w:hAnsi="Arial"/>
                <w:sz w:val="18"/>
                <w:szCs w:val="18"/>
                <w:color w:val="auto"/>
              </w:rPr>
              <w:t>Cory J. Miller</w:t>
            </w:r>
          </w:p>
        </w:tc>
      </w:tr>
      <w:tr>
        <w:trPr>
          <w:trHeight w:val="223"/>
        </w:trPr>
        <w:tc>
          <w:tcPr>
            <w:tcW w:w="5660" w:type="dxa"/>
            <w:vAlign w:val="bottom"/>
            <w:gridSpan w:val="3"/>
          </w:tcPr>
          <w:p>
            <w:pPr>
              <w:ind w:left="460"/>
              <w:spacing w:after="0"/>
              <w:rPr>
                <w:sz w:val="20"/>
                <w:szCs w:val="20"/>
                <w:color w:val="auto"/>
              </w:rPr>
            </w:pPr>
            <w:r>
              <w:rPr>
                <w:rFonts w:ascii="Arial" w:cs="Arial" w:eastAsia="Arial" w:hAnsi="Arial"/>
                <w:sz w:val="18"/>
                <w:szCs w:val="18"/>
                <w:color w:val="auto"/>
              </w:rPr>
              <w:t>Chief Executive Officer and Chairman of the Board</w:t>
            </w:r>
          </w:p>
        </w:tc>
        <w:tc>
          <w:tcPr>
            <w:tcW w:w="5240" w:type="dxa"/>
            <w:vAlign w:val="bottom"/>
            <w:gridSpan w:val="2"/>
          </w:tcPr>
          <w:p>
            <w:pPr>
              <w:ind w:left="4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6"/>
        </w:trPr>
        <w:tc>
          <w:tcPr>
            <w:tcW w:w="1160" w:type="dxa"/>
            <w:vAlign w:val="bottom"/>
          </w:tcPr>
          <w:p>
            <w:pPr>
              <w:ind w:left="460"/>
              <w:spacing w:after="0"/>
              <w:rPr>
                <w:sz w:val="20"/>
                <w:szCs w:val="20"/>
                <w:color w:val="auto"/>
              </w:rPr>
            </w:pPr>
            <w:r>
              <w:rPr>
                <w:rFonts w:ascii="Arial" w:cs="Arial" w:eastAsia="Arial" w:hAnsi="Arial"/>
                <w:sz w:val="18"/>
                <w:szCs w:val="18"/>
                <w:color w:val="auto"/>
              </w:rPr>
              <w:t>Dated:</w:t>
            </w: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November 23, 2021</w:t>
            </w:r>
          </w:p>
        </w:tc>
        <w:tc>
          <w:tcPr>
            <w:tcW w:w="1140" w:type="dxa"/>
            <w:vAlign w:val="bottom"/>
          </w:tcPr>
          <w:p>
            <w:pPr>
              <w:ind w:left="440"/>
              <w:spacing w:after="0"/>
              <w:rPr>
                <w:sz w:val="20"/>
                <w:szCs w:val="20"/>
                <w:color w:val="auto"/>
              </w:rPr>
            </w:pPr>
            <w:r>
              <w:rPr>
                <w:rFonts w:ascii="Arial" w:cs="Arial" w:eastAsia="Arial" w:hAnsi="Arial"/>
                <w:sz w:val="18"/>
                <w:szCs w:val="18"/>
                <w:color w:val="auto"/>
              </w:rPr>
              <w:t>Dated:</w:t>
            </w:r>
          </w:p>
        </w:tc>
        <w:tc>
          <w:tcPr>
            <w:tcW w:w="4100" w:type="dxa"/>
            <w:vAlign w:val="bottom"/>
          </w:tcPr>
          <w:p>
            <w:pPr>
              <w:ind w:left="240"/>
              <w:spacing w:after="0"/>
              <w:rPr>
                <w:sz w:val="20"/>
                <w:szCs w:val="20"/>
                <w:color w:val="auto"/>
              </w:rPr>
            </w:pPr>
            <w:r>
              <w:rPr>
                <w:rFonts w:ascii="Arial" w:cs="Arial" w:eastAsia="Arial" w:hAnsi="Arial"/>
                <w:sz w:val="18"/>
                <w:szCs w:val="18"/>
                <w:color w:val="auto"/>
              </w:rPr>
              <w:t>November 23,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8" w:name="page59"/>
    <w:bookmarkEnd w:id="5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audited the accompanying consolidated balance sheets of The Scotts Miracle-Gro Company and subsidiaries (the “Company”) as of September 30, 2021 and 2020, the related consolidated statements of operations, comprehensive income (loss), shareholders’ equity, and cash flows, for each of the three years in the period ended September 30, 2021, and the related notes and the schedules listed in the Index at Item 15 (collectively referred to as the “financial statements”). In our opinion, the financial statements present fairly, in all material respects, the financial position of the Company as of September 30, 2021 and 2020, and the results of its operations and its cash flows for each of the three years in the period ended September 30, 2021, in conformity with accounting principles generally accepted in the United States of America.</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September 30, 2021, based on criteria established in Internal Control—Integrated Framework (2013) issued by the Committee of Sponsoring Organizations of the Treadway Commission and our report dated November 23, 2021, expressed an unqualified opinion on the Company’s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Principle</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discussed in Note 1 to the financial statements, on October 1, 2019, the Company adopted Financial Accounting Standards Board Accounting Standards Codification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 to the financial statements, during the three months ended December 28, 2019, the Company adopted accounting guidance related to inventory valuation for the change in accounting for a portion of its inventories to the first-in, first-out method which was determined to be a preferable accounting principle for such inventories.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 Hawthorne Reporting Unit — Refer to Notes 1 and 5 to the financial statements</w:t>
      </w:r>
      <w:r>
        <w:rPr>
          <w:rFonts w:ascii="Arial" w:cs="Arial" w:eastAsia="Arial" w:hAnsi="Arial"/>
          <w:sz w:val="18"/>
          <w:szCs w:val="18"/>
          <w:i w:val="1"/>
          <w:iCs w:val="1"/>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When evaluating goodwill for impairment, the Company performs either an initial qualitative or quantitative evaluation for each of its reporting units. For the quantitative evaluation, the Company compares the fair value of each reporting unit to its carrying value. The Company determines the fair value of its reporting units using a combination of income-based and market-based approaches and incorporates assumptions it believes market participants would utilize. Under the income-based approach, the Company determines fair value using a discounted cash flow approach that requires significant judgment with respect to revenue growth rates based upon annual budgets and longer-range strategic plans and the selection of an appropriate discount rate. Under the market-based approach, the Company determines fair value by comparing its reporting units to similar businesses or guideline companies whose securities are actively traded in public markets. The use of different assumptions would increase or decrease discounted cash flows or earnings projections and could, therefore, change impairment determinations. The goodwill balance was $605.2 million as of September 30, 2021, of which $350.2 million was allocated to the Hawthorne reporting unit. The fair value of the Hawthorne reporting unit exceeded its carrying value as of the measurement date and, therefore, no impairment was recognized. Hawthorne’s operations are sensitive to changes in the U.S. retail hydroponic market as the demand for its products depends on the uncertain growth of the market.</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Given the significant estimates and assumptions management makes to estimate the fair value of Hawthorne and the sensitivity of Hawthorne’s operations to changes in the U.S. retail hydroponic market, performing audit procedures to evaluate the reasonableness of management’s estimates and assumptions with respect to the revenue growth rates, and the selection of an appropriate discount rate for Hawthorne required a high degree of auditor judgment and an increased extent of effort, including the need to involve our fair value specialists.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audit procedures with respect to revenue growth rates, and the selection of an appropriate discount rate for Hawthorne included the following, among others:</w:t>
      </w:r>
    </w:p>
    <w:p>
      <w:pPr>
        <w:spacing w:after="0" w:line="207" w:lineRule="exact"/>
        <w:rPr>
          <w:sz w:val="20"/>
          <w:szCs w:val="20"/>
          <w:color w:val="auto"/>
        </w:rPr>
      </w:pPr>
    </w:p>
    <w:p>
      <w:pPr>
        <w:ind w:left="320" w:hanging="315"/>
        <w:spacing w:after="0" w:line="261"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Hawthorne, such as controls related to the revenue growth rates and the selection of an appropriate discount rate.</w:t>
      </w:r>
    </w:p>
    <w:p>
      <w:pPr>
        <w:spacing w:after="0" w:line="206" w:lineRule="exact"/>
        <w:rPr>
          <w:rFonts w:ascii="Arial" w:cs="Arial" w:eastAsia="Arial" w:hAnsi="Arial"/>
          <w:sz w:val="18"/>
          <w:szCs w:val="18"/>
          <w:color w:val="auto"/>
        </w:rPr>
      </w:pPr>
    </w:p>
    <w:p>
      <w:pPr>
        <w:jc w:val="both"/>
        <w:ind w:left="320" w:hanging="315"/>
        <w:spacing w:after="0" w:line="252" w:lineRule="auto"/>
        <w:tabs>
          <w:tab w:leader="none" w:pos="3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long-term growth rate, including testing the source information underlying the determination of the long-term growth rate, testing the mathematical accuracy of the calculation, and developing a range of independent estimates and comparing those to the long-term growth rate selected by management.</w:t>
      </w:r>
    </w:p>
    <w:p>
      <w:pPr>
        <w:spacing w:after="0" w:line="215" w:lineRule="exact"/>
        <w:rPr>
          <w:rFonts w:ascii="Arial" w:cs="Arial" w:eastAsia="Arial" w:hAnsi="Arial"/>
          <w:sz w:val="18"/>
          <w:szCs w:val="18"/>
          <w:color w:val="auto"/>
        </w:rPr>
      </w:pPr>
    </w:p>
    <w:p>
      <w:pPr>
        <w:jc w:val="both"/>
        <w:ind w:left="320" w:hanging="315"/>
        <w:spacing w:after="0" w:line="300" w:lineRule="auto"/>
        <w:tabs>
          <w:tab w:leader="none" w:pos="315" w:val="left"/>
        </w:tabs>
        <w:numPr>
          <w:ilvl w:val="0"/>
          <w:numId w:val="33"/>
        </w:numPr>
        <w:rPr>
          <w:rFonts w:ascii="Arial" w:cs="Arial" w:eastAsia="Arial" w:hAnsi="Arial"/>
          <w:sz w:val="15"/>
          <w:szCs w:val="15"/>
          <w:color w:val="auto"/>
        </w:rPr>
      </w:pPr>
      <w:r>
        <w:rPr>
          <w:rFonts w:ascii="Arial" w:cs="Arial" w:eastAsia="Arial" w:hAnsi="Arial"/>
          <w:sz w:val="15"/>
          <w:szCs w:val="15"/>
          <w:color w:val="auto"/>
        </w:rPr>
        <w:t>We evaluated management’s ability to accurately forecast the revenue growth rates by comparing actual results to management’s historical forecasts. We evaluated the reasonableness of management’s forecasts of the revenue growth rates by comparing the forecasts to (1) the historical results of Hawthorne,</w:t>
      </w:r>
    </w:p>
    <w:p>
      <w:pPr>
        <w:spacing w:after="0" w:line="1" w:lineRule="exact"/>
        <w:rPr>
          <w:rFonts w:ascii="Arial" w:cs="Arial" w:eastAsia="Arial" w:hAnsi="Arial"/>
          <w:sz w:val="15"/>
          <w:szCs w:val="15"/>
          <w:color w:val="auto"/>
        </w:rPr>
      </w:pPr>
    </w:p>
    <w:p>
      <w:pPr>
        <w:ind w:left="580" w:hanging="259"/>
        <w:spacing w:after="0"/>
        <w:tabs>
          <w:tab w:leader="none" w:pos="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internal communications to management and the board of directors, (3) external communications made by management to analysts and investors, and</w:t>
      </w:r>
    </w:p>
    <w:p>
      <w:pPr>
        <w:spacing w:after="0" w:line="26" w:lineRule="exact"/>
        <w:rPr>
          <w:rFonts w:ascii="Arial" w:cs="Arial" w:eastAsia="Arial" w:hAnsi="Arial"/>
          <w:sz w:val="16"/>
          <w:szCs w:val="16"/>
          <w:color w:val="auto"/>
        </w:rPr>
      </w:pPr>
    </w:p>
    <w:p>
      <w:pPr>
        <w:ind w:left="560" w:hanging="239"/>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industry reports containing analyses of the Company’s markets.</w:t>
      </w:r>
    </w:p>
    <w:p>
      <w:pPr>
        <w:spacing w:after="0" w:line="228" w:lineRule="exact"/>
        <w:rPr>
          <w:rFonts w:ascii="Arial" w:cs="Arial" w:eastAsia="Arial" w:hAnsi="Arial"/>
          <w:sz w:val="18"/>
          <w:szCs w:val="18"/>
          <w:color w:val="auto"/>
        </w:rPr>
      </w:pPr>
    </w:p>
    <w:p>
      <w:pPr>
        <w:ind w:left="320" w:hanging="315"/>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considered the impact of changes in the regulatory environment on management’s forecasts of the revenue growth rates.</w:t>
      </w:r>
    </w:p>
    <w:p>
      <w:pPr>
        <w:spacing w:after="0" w:line="239" w:lineRule="exact"/>
        <w:rPr>
          <w:rFonts w:ascii="Arial" w:cs="Arial" w:eastAsia="Arial" w:hAnsi="Arial"/>
          <w:sz w:val="18"/>
          <w:szCs w:val="18"/>
          <w:color w:val="auto"/>
        </w:rPr>
      </w:pPr>
    </w:p>
    <w:p>
      <w:pPr>
        <w:jc w:val="both"/>
        <w:ind w:left="320" w:hanging="315"/>
        <w:spacing w:after="0" w:line="252"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reasonableness of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23, 2021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2620" w:firstLine="2619"/>
        <w:spacing w:after="0" w:line="45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The Scotts Miracle-Gro Company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have audited the internal control over financial reporting of The Scotts Miracle-Gro Company and subsidiaries (the “Company”) as of September 30,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September 30,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consolidated financial statements as of and for the year ended September 30, 2021, of the Company and our report dated November 23, 2021, expressed an unqualified opinion on those financial statements and included an explanatory paragraph regarding the Company’s adoption of the Financial Accounting Standards Board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and accounting guidance related to inventory valuation for its change in accounting for a portion of its inventories to the first-in, first-out method which was determined to be a preferable accounting principle for such inventories.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described in the Annual Report of Management on Internal Control Over Financial Reporting, management excluded from its assessment the internal control over financial reporting at Hydro-Logic Purification Systems, Inc. and Rhizoflora, Inc., which were acquired in fiscal 2021. These acquisitions constituted 2.1% of total assets and 0% of revenues and net income included in the consolidated financial statements as of and for the fiscal year ended September 30, 2021. Accordingly, our audit did not include the internal control over financial reporting at Hydro-Logic Purification Systems, Inc. and Rhizoflora, Inc.</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Columbus, Ohio</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SCOTTS MIRACLE-GRO COMPANY</w:t>
      </w:r>
    </w:p>
    <w:p>
      <w:pPr>
        <w:spacing w:after="0" w:line="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2,130.5</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700" w:type="dxa"/>
            <w:vAlign w:val="bottom"/>
          </w:tcPr>
          <w:p>
            <w:pPr>
              <w:ind w:left="340"/>
              <w:spacing w:after="0" w:line="203" w:lineRule="exact"/>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1,019.6</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Equity in income of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refinancing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6700" w:type="dxa"/>
            <w:vAlign w:val="bottom"/>
          </w:tcPr>
          <w:p>
            <w:pPr>
              <w:ind w:left="340"/>
              <w:spacing w:after="0" w:line="203" w:lineRule="exact"/>
              <w:rPr>
                <w:sz w:val="20"/>
                <w:szCs w:val="20"/>
                <w:color w:val="auto"/>
              </w:rPr>
            </w:pPr>
            <w:r>
              <w:rPr>
                <w:rFonts w:ascii="Arial" w:cs="Arial" w:eastAsia="Arial" w:hAnsi="Arial"/>
                <w:sz w:val="18"/>
                <w:szCs w:val="18"/>
                <w:color w:val="auto"/>
              </w:rPr>
              <w:t>Income from continuing operations before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6700" w:type="dxa"/>
            <w:vAlign w:val="bottom"/>
          </w:tcPr>
          <w:p>
            <w:pPr>
              <w:ind w:left="340"/>
              <w:spacing w:after="0" w:line="203" w:lineRule="exact"/>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6700" w:type="dxa"/>
            <w:vAlign w:val="bottom"/>
          </w:tcPr>
          <w:p>
            <w:pPr>
              <w:ind w:left="340"/>
              <w:spacing w:after="0" w:line="203" w:lineRule="exact"/>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513.4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17"/>
        </w:trPr>
        <w:tc>
          <w:tcPr>
            <w:tcW w:w="670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 loss attributable to noncontrolling interest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Net income attributable to controlling interest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512.5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Basic income (loss) per common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Basic net income per common share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income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Diluted net income per common share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3" w:name="page64"/>
    <w:bookmarkEnd w:id="63"/>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SCOTTS MIRACLE-GRO COMPANY</w:t>
      </w:r>
    </w:p>
    <w:p>
      <w:pPr>
        <w:spacing w:after="0" w:line="14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192"/>
              <w:spacing w:after="0"/>
              <w:rPr>
                <w:sz w:val="20"/>
                <w:szCs w:val="20"/>
                <w:color w:val="auto"/>
              </w:rPr>
            </w:pPr>
            <w:r>
              <w:rPr>
                <w:rFonts w:ascii="Arial" w:cs="Arial" w:eastAsia="Arial" w:hAnsi="Arial"/>
                <w:sz w:val="14"/>
                <w:szCs w:val="14"/>
                <w:b w:val="1"/>
                <w:bCs w:val="1"/>
                <w:color w:val="auto"/>
              </w:rPr>
              <w:t>Year Ended September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513.4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foreign currency translation adjustment</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7060" w:type="dxa"/>
            <w:vAlign w:val="bottom"/>
          </w:tcPr>
          <w:p>
            <w:pPr>
              <w:ind w:left="460"/>
              <w:spacing w:after="0"/>
              <w:rPr>
                <w:sz w:val="20"/>
                <w:szCs w:val="20"/>
                <w:color w:val="auto"/>
              </w:rPr>
            </w:pPr>
            <w:r>
              <w:rPr>
                <w:rFonts w:ascii="Arial" w:cs="Arial" w:eastAsia="Arial" w:hAnsi="Arial"/>
                <w:sz w:val="18"/>
                <w:szCs w:val="18"/>
                <w:color w:val="auto"/>
              </w:rPr>
              <w:t>Net unrealized gain (loss) on derivative instruments, net of tax</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72"/>
        </w:trPr>
        <w:tc>
          <w:tcPr>
            <w:tcW w:w="7060" w:type="dxa"/>
            <w:vAlign w:val="bottom"/>
            <w:shd w:val="clear" w:color="auto" w:fill="CCEEFF"/>
          </w:tcPr>
          <w:p>
            <w:pPr>
              <w:ind w:left="460"/>
              <w:spacing w:after="0" w:line="172" w:lineRule="exact"/>
              <w:rPr>
                <w:sz w:val="20"/>
                <w:szCs w:val="20"/>
                <w:color w:val="auto"/>
              </w:rPr>
            </w:pPr>
            <w:r>
              <w:rPr>
                <w:rFonts w:ascii="Arial" w:cs="Arial" w:eastAsia="Arial" w:hAnsi="Arial"/>
                <w:sz w:val="18"/>
                <w:szCs w:val="18"/>
                <w:color w:val="auto"/>
                <w:w w:val="89"/>
              </w:rPr>
              <w:t>Reclassification of net unrealized (gains) losses on derivative instruments to net income, net</w:t>
            </w:r>
          </w:p>
        </w:tc>
        <w:tc>
          <w:tcPr>
            <w:tcW w:w="8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of tax</w:t>
            </w:r>
          </w:p>
        </w:tc>
        <w:tc>
          <w:tcPr>
            <w:tcW w:w="82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60"/>
              <w:spacing w:after="0"/>
              <w:rPr>
                <w:sz w:val="20"/>
                <w:szCs w:val="20"/>
                <w:color w:val="auto"/>
              </w:rPr>
            </w:pPr>
            <w:r>
              <w:rPr>
                <w:rFonts w:ascii="Arial" w:cs="Arial" w:eastAsia="Arial" w:hAnsi="Arial"/>
                <w:sz w:val="18"/>
                <w:szCs w:val="18"/>
                <w:color w:val="auto"/>
              </w:rPr>
              <w:t>Net unrealized loss on securities, net of tax</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unrealized gain (loss) in pension and other post-retirement benefits, net of tax</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Pension and other post-retirement benefit adjustments, net of tax</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other comprehensive income (loss)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060" w:type="dxa"/>
            <w:vAlign w:val="bottom"/>
          </w:tcPr>
          <w:p>
            <w:pPr>
              <w:ind w:left="20"/>
              <w:spacing w:after="0" w:line="203" w:lineRule="exact"/>
              <w:rPr>
                <w:sz w:val="20"/>
                <w:szCs w:val="20"/>
                <w:color w:val="auto"/>
              </w:rPr>
            </w:pPr>
            <w:r>
              <w:rPr>
                <w:rFonts w:ascii="Arial" w:cs="Arial" w:eastAsia="Arial" w:hAnsi="Arial"/>
                <w:sz w:val="18"/>
                <w:szCs w:val="18"/>
                <w:color w:val="auto"/>
              </w:rPr>
              <w:t>Comprehensive income attributable to controlling interest</w:t>
            </w:r>
          </w:p>
        </w:tc>
        <w:tc>
          <w:tcPr>
            <w:tcW w:w="820" w:type="dxa"/>
            <w:vAlign w:val="bottom"/>
            <w:tcBorders>
              <w:bottom w:val="single" w:sz="8" w:color="auto"/>
            </w:tcBorders>
          </w:tcPr>
          <w:p>
            <w:pPr>
              <w:jc w:val="right"/>
              <w:ind w:right="638"/>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545.3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4" w:name="page65"/>
    <w:bookmarkEnd w:id="64"/>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SCOTTS MIRACLE-GRO COMPANY</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27"/>
              <w:spacing w:after="0"/>
              <w:rPr>
                <w:sz w:val="20"/>
                <w:szCs w:val="20"/>
                <w:color w:val="auto"/>
              </w:rPr>
            </w:pPr>
            <w:r>
              <w:rPr>
                <w:rFonts w:ascii="Arial" w:cs="Arial" w:eastAsia="Arial" w:hAnsi="Arial"/>
                <w:sz w:val="14"/>
                <w:szCs w:val="14"/>
                <w:b w:val="1"/>
                <w:bCs w:val="1"/>
                <w:color w:val="auto"/>
              </w:rPr>
              <w:t>Year Ended September 30,</w:t>
            </w:r>
          </w:p>
        </w:tc>
        <w:tc>
          <w:tcPr>
            <w:tcW w:w="760" w:type="dxa"/>
            <w:vAlign w:val="bottom"/>
            <w:tcBorders>
              <w:bottom w:val="single" w:sz="8" w:color="auto"/>
            </w:tcBorders>
          </w:tcPr>
          <w:p>
            <w:pPr>
              <w:spacing w:after="0"/>
              <w:rPr>
                <w:sz w:val="16"/>
                <w:szCs w:val="16"/>
                <w:color w:val="auto"/>
              </w:rPr>
            </w:pPr>
          </w:p>
        </w:tc>
      </w:tr>
      <w:tr>
        <w:trPr>
          <w:trHeight w:val="182"/>
        </w:trPr>
        <w:tc>
          <w:tcPr>
            <w:tcW w:w="78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r>
      <w:tr>
        <w:trPr>
          <w:trHeight w:val="191"/>
        </w:trPr>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513.4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388.6</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460.2</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7860" w:type="dxa"/>
            <w:vAlign w:val="bottom"/>
          </w:tcPr>
          <w:p>
            <w:pPr>
              <w:ind w:left="520"/>
              <w:spacing w:after="0"/>
              <w:rPr>
                <w:sz w:val="20"/>
                <w:szCs w:val="20"/>
                <w:color w:val="auto"/>
              </w:rPr>
            </w:pPr>
            <w:r>
              <w:rPr>
                <w:rFonts w:ascii="Arial" w:cs="Arial" w:eastAsia="Arial" w:hAnsi="Arial"/>
                <w:sz w:val="16"/>
                <w:szCs w:val="16"/>
                <w:color w:val="auto"/>
              </w:rPr>
              <w:t>Costs related to refinancing</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8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07"/>
        </w:trPr>
        <w:tc>
          <w:tcPr>
            <w:tcW w:w="7860" w:type="dxa"/>
            <w:vAlign w:val="bottom"/>
          </w:tcPr>
          <w:p>
            <w:pPr>
              <w:ind w:left="520"/>
              <w:spacing w:after="0"/>
              <w:rPr>
                <w:sz w:val="20"/>
                <w:szCs w:val="20"/>
                <w:color w:val="auto"/>
              </w:rPr>
            </w:pPr>
            <w:r>
              <w:rPr>
                <w:rFonts w:ascii="Arial" w:cs="Arial" w:eastAsia="Arial" w:hAnsi="Arial"/>
                <w:sz w:val="16"/>
                <w:szCs w:val="16"/>
                <w:color w:val="auto"/>
              </w:rPr>
              <w:t>Depreciation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4"/>
        </w:trPr>
        <w:tc>
          <w:tcPr>
            <w:tcW w:w="78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r>
      <w:tr>
        <w:trPr>
          <w:trHeight w:val="207"/>
        </w:trPr>
        <w:tc>
          <w:tcPr>
            <w:tcW w:w="7860" w:type="dxa"/>
            <w:vAlign w:val="bottom"/>
          </w:tcPr>
          <w:p>
            <w:pPr>
              <w:ind w:left="520"/>
              <w:spacing w:after="0"/>
              <w:rPr>
                <w:sz w:val="20"/>
                <w:szCs w:val="20"/>
                <w:color w:val="auto"/>
              </w:rPr>
            </w:pPr>
            <w:r>
              <w:rPr>
                <w:rFonts w:ascii="Arial" w:cs="Arial" w:eastAsia="Arial" w:hAnsi="Arial"/>
                <w:sz w:val="16"/>
                <w:szCs w:val="16"/>
                <w:color w:val="auto"/>
              </w:rPr>
              <w:t>Deferred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4"/>
        </w:trPr>
        <w:tc>
          <w:tcPr>
            <w:tcW w:w="78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Gain on sale of unconsolidated affiliate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07"/>
        </w:trPr>
        <w:tc>
          <w:tcPr>
            <w:tcW w:w="7860" w:type="dxa"/>
            <w:vAlign w:val="bottom"/>
          </w:tcPr>
          <w:p>
            <w:pPr>
              <w:ind w:left="5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4"/>
        </w:trPr>
        <w:tc>
          <w:tcPr>
            <w:tcW w:w="78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Changes in assets and liabilities, net of acquisitions: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7860" w:type="dxa"/>
            <w:vAlign w:val="bottom"/>
          </w:tcPr>
          <w:p>
            <w:pPr>
              <w:ind w:left="94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4"/>
        </w:trPr>
        <w:tc>
          <w:tcPr>
            <w:tcW w:w="78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07"/>
        </w:trPr>
        <w:tc>
          <w:tcPr>
            <w:tcW w:w="7860" w:type="dxa"/>
            <w:vAlign w:val="bottom"/>
          </w:tcPr>
          <w:p>
            <w:pPr>
              <w:ind w:left="940"/>
              <w:spacing w:after="0"/>
              <w:rPr>
                <w:sz w:val="20"/>
                <w:szCs w:val="20"/>
                <w:color w:val="auto"/>
              </w:rPr>
            </w:pPr>
            <w:r>
              <w:rPr>
                <w:rFonts w:ascii="Arial" w:cs="Arial" w:eastAsia="Arial" w:hAnsi="Arial"/>
                <w:sz w:val="16"/>
                <w:szCs w:val="16"/>
                <w:color w:val="auto"/>
              </w:rPr>
              <w:t>Prepaid and other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4"/>
        </w:trPr>
        <w:tc>
          <w:tcPr>
            <w:tcW w:w="78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07"/>
        </w:trPr>
        <w:tc>
          <w:tcPr>
            <w:tcW w:w="7860" w:type="dxa"/>
            <w:vAlign w:val="bottom"/>
          </w:tcPr>
          <w:p>
            <w:pPr>
              <w:ind w:left="94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4"/>
        </w:trPr>
        <w:tc>
          <w:tcPr>
            <w:tcW w:w="78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Restructuring and other</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r>
      <w:tr>
        <w:trPr>
          <w:trHeight w:val="207"/>
        </w:trPr>
        <w:tc>
          <w:tcPr>
            <w:tcW w:w="7860" w:type="dxa"/>
            <w:vAlign w:val="bottom"/>
          </w:tcPr>
          <w:p>
            <w:pPr>
              <w:ind w:left="940"/>
              <w:spacing w:after="0"/>
              <w:rPr>
                <w:sz w:val="20"/>
                <w:szCs w:val="20"/>
                <w:color w:val="auto"/>
              </w:rPr>
            </w:pPr>
            <w:r>
              <w:rPr>
                <w:rFonts w:ascii="Arial" w:cs="Arial" w:eastAsia="Arial" w:hAnsi="Arial"/>
                <w:sz w:val="16"/>
                <w:szCs w:val="16"/>
                <w:color w:val="auto"/>
              </w:rPr>
              <w:t>Other non-current items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4"/>
        </w:trPr>
        <w:tc>
          <w:tcPr>
            <w:tcW w:w="78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0"/>
        </w:trPr>
        <w:tc>
          <w:tcPr>
            <w:tcW w:w="786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r>
      <w:tr>
        <w:trPr>
          <w:trHeight w:val="194"/>
        </w:trPr>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Proceeds from sale of long-lived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Investments in property, plant and equipment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(Investments in) proceeds from loans receivable</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brand extension assets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(Investments in) proceeds from sale of unconsolidated affiliates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274.3</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 for acquisitions, net of cash acquired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3"/>
        </w:trPr>
        <w:tc>
          <w:tcPr>
            <w:tcW w:w="7860" w:type="dxa"/>
            <w:vAlign w:val="bottom"/>
          </w:tcPr>
          <w:p>
            <w:pPr>
              <w:ind w:left="200"/>
              <w:spacing w:after="0"/>
              <w:rPr>
                <w:sz w:val="20"/>
                <w:szCs w:val="20"/>
                <w:color w:val="auto"/>
              </w:rPr>
            </w:pPr>
            <w:r>
              <w:rPr>
                <w:rFonts w:ascii="Arial" w:cs="Arial" w:eastAsia="Arial" w:hAnsi="Arial"/>
                <w:sz w:val="16"/>
                <w:szCs w:val="16"/>
                <w:color w:val="auto"/>
              </w:rPr>
              <w:t>Purchase of convertible debt investments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1"/>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investing, net</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00"/>
        </w:trPr>
        <w:tc>
          <w:tcPr>
            <w:tcW w:w="786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Net cash (used in) provided by investing activities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255.2</w:t>
            </w:r>
          </w:p>
        </w:tc>
      </w:tr>
      <w:tr>
        <w:trPr>
          <w:trHeight w:val="194"/>
        </w:trPr>
        <w:tc>
          <w:tcPr>
            <w:tcW w:w="78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Borrowings under revolving and bank lines of credit and term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1,243.2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1,056.2</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under revolving and bank lines of credit and term loans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23"/>
        </w:trPr>
        <w:tc>
          <w:tcPr>
            <w:tcW w:w="7860" w:type="dxa"/>
            <w:vAlign w:val="bottom"/>
          </w:tcPr>
          <w:p>
            <w:pPr>
              <w:ind w:left="200"/>
              <w:spacing w:after="0"/>
              <w:rPr>
                <w:sz w:val="20"/>
                <w:szCs w:val="20"/>
                <w:color w:val="auto"/>
              </w:rPr>
            </w:pPr>
            <w:r>
              <w:rPr>
                <w:rFonts w:ascii="Arial" w:cs="Arial" w:eastAsia="Arial" w:hAnsi="Arial"/>
                <w:sz w:val="16"/>
                <w:szCs w:val="16"/>
                <w:color w:val="auto"/>
              </w:rPr>
              <w:t>Proceeds from issuance of 4.000% Senior Notes</w:t>
            </w:r>
          </w:p>
        </w:tc>
        <w:tc>
          <w:tcPr>
            <w:tcW w:w="240" w:type="dxa"/>
            <w:vAlign w:val="bottom"/>
          </w:tcPr>
          <w:p>
            <w:pPr>
              <w:spacing w:after="0"/>
              <w:rPr>
                <w:sz w:val="19"/>
                <w:szCs w:val="19"/>
                <w:color w:val="auto"/>
              </w:rPr>
            </w:pPr>
          </w:p>
        </w:tc>
        <w:tc>
          <w:tcPr>
            <w:tcW w:w="800" w:type="dxa"/>
            <w:vAlign w:val="bottom"/>
          </w:tcPr>
          <w:p>
            <w:pPr>
              <w:jc w:val="right"/>
              <w:ind w:right="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issuance of 4.375% Senior Notes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Proceeds from issuance of 4.500% Senior Notes</w:t>
            </w: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 of 6.000% Senior Notes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Financing and issuance fees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Purchase of Common Shares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on seller notes</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7"/>
        </w:trPr>
        <w:tc>
          <w:tcPr>
            <w:tcW w:w="7860" w:type="dxa"/>
            <w:vAlign w:val="bottom"/>
          </w:tcPr>
          <w:p>
            <w:pPr>
              <w:ind w:left="200"/>
              <w:spacing w:after="0"/>
              <w:rPr>
                <w:sz w:val="20"/>
                <w:szCs w:val="20"/>
                <w:color w:val="auto"/>
              </w:rPr>
            </w:pPr>
            <w:r>
              <w:rPr>
                <w:rFonts w:ascii="Arial" w:cs="Arial" w:eastAsia="Arial" w:hAnsi="Arial"/>
                <w:sz w:val="16"/>
                <w:szCs w:val="16"/>
                <w:color w:val="auto"/>
              </w:rPr>
              <w:t>Cash received from exercise of stock options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4"/>
        </w:trPr>
        <w:tc>
          <w:tcPr>
            <w:tcW w:w="7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Acquisition of noncontrolling interests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860" w:type="dxa"/>
            <w:vAlign w:val="bottom"/>
            <w:tcBorders>
              <w:bottom w:val="single" w:sz="8" w:color="CCEEFF"/>
            </w:tcBorders>
          </w:tcPr>
          <w:p>
            <w:pPr>
              <w:ind w:left="126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(607.1)</w:t>
            </w: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(496.5)</w:t>
            </w:r>
          </w:p>
        </w:tc>
      </w:tr>
      <w:tr>
        <w:trPr>
          <w:trHeight w:val="207"/>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4"/>
        </w:trPr>
        <w:tc>
          <w:tcPr>
            <w:tcW w:w="78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r>
      <w:tr>
        <w:trPr>
          <w:trHeight w:val="200"/>
        </w:trPr>
        <w:tc>
          <w:tcPr>
            <w:tcW w:w="7860" w:type="dxa"/>
            <w:vAlign w:val="bottom"/>
          </w:tcPr>
          <w:p>
            <w:pPr>
              <w:spacing w:after="0"/>
              <w:rPr>
                <w:sz w:val="20"/>
                <w:szCs w:val="20"/>
                <w:color w:val="auto"/>
              </w:rPr>
            </w:pPr>
            <w:r>
              <w:rPr>
                <w:rFonts w:ascii="Arial" w:cs="Arial" w:eastAsia="Arial" w:hAnsi="Arial"/>
                <w:sz w:val="16"/>
                <w:szCs w:val="16"/>
                <w:color w:val="auto"/>
              </w:rPr>
              <w:t>Cash and cash equivalents at end of year</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r>
      <w:tr>
        <w:trPr>
          <w:trHeight w:val="23"/>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5" w:name="page66"/>
    <w:bookmarkEnd w:id="65"/>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SCOTTS MIRACLE-GRO COMPANY</w:t>
      </w:r>
    </w:p>
    <w:p>
      <w:pPr>
        <w:spacing w:after="0" w:line="9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8240" w:type="dxa"/>
            <w:vAlign w:val="bottom"/>
            <w:shd w:val="clear" w:color="auto" w:fill="CCEEFF"/>
          </w:tcPr>
          <w:p>
            <w:pPr>
              <w:ind w:left="5280"/>
              <w:spacing w:after="0" w:line="204"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Accounts receivable, less allowances of $16.8 in 2021 and $7.5 in 2020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pledged</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8240" w:type="dxa"/>
            <w:vAlign w:val="bottom"/>
          </w:tcPr>
          <w:p>
            <w:pPr>
              <w:ind w:left="660"/>
              <w:spacing w:after="0" w:line="203" w:lineRule="exact"/>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1,216.6</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6"/>
        </w:trPr>
        <w:tc>
          <w:tcPr>
            <w:tcW w:w="8240" w:type="dxa"/>
            <w:vAlign w:val="bottom"/>
          </w:tcPr>
          <w:p>
            <w:pPr>
              <w:ind w:left="660"/>
              <w:spacing w:after="0" w:line="203"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40" w:type="dxa"/>
            <w:vAlign w:val="bottom"/>
            <w:shd w:val="clear" w:color="auto" w:fill="CCEEFF"/>
          </w:tcPr>
          <w:p>
            <w:pPr>
              <w:ind w:left="4500"/>
              <w:spacing w:after="0" w:line="190" w:lineRule="exact"/>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8240" w:type="dxa"/>
            <w:vAlign w:val="bottom"/>
          </w:tcPr>
          <w:p>
            <w:pPr>
              <w:ind w:left="660"/>
              <w:spacing w:after="0" w:line="203" w:lineRule="exact"/>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7"/>
        </w:trPr>
        <w:tc>
          <w:tcPr>
            <w:tcW w:w="82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Arial" w:cs="Arial" w:eastAsia="Arial" w:hAnsi="Arial"/>
                <w:sz w:val="18"/>
                <w:szCs w:val="18"/>
                <w:color w:val="auto"/>
              </w:rPr>
              <w:t>Commitments and contingencies (Notes 18, 19 and 20)</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240" w:type="dxa"/>
            <w:vAlign w:val="bottom"/>
          </w:tcPr>
          <w:p>
            <w:pPr>
              <w:ind w:left="340"/>
              <w:spacing w:after="0" w:line="172" w:lineRule="exact"/>
              <w:rPr>
                <w:sz w:val="20"/>
                <w:szCs w:val="20"/>
                <w:color w:val="auto"/>
              </w:rPr>
            </w:pPr>
            <w:r>
              <w:rPr>
                <w:rFonts w:ascii="Arial" w:cs="Arial" w:eastAsia="Arial" w:hAnsi="Arial"/>
                <w:sz w:val="18"/>
                <w:szCs w:val="18"/>
                <w:color w:val="auto"/>
                <w:w w:val="92"/>
              </w:rPr>
              <w:t>Common shares and capital in excess of $.01 stated value per share; shares outstanding of 55.6 and 55.8,</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22"/>
        </w:trPr>
        <w:tc>
          <w:tcPr>
            <w:tcW w:w="82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w:t>
            </w:r>
          </w:p>
        </w:tc>
        <w:tc>
          <w:tcPr>
            <w:tcW w:w="0" w:type="dxa"/>
            <w:vAlign w:val="bottom"/>
          </w:tcPr>
          <w:p>
            <w:pPr>
              <w:spacing w:after="0"/>
              <w:rPr>
                <w:sz w:val="1"/>
                <w:szCs w:val="1"/>
                <w:color w:val="auto"/>
              </w:rPr>
            </w:pPr>
          </w:p>
        </w:tc>
      </w:tr>
      <w:tr>
        <w:trPr>
          <w:trHeight w:val="223"/>
        </w:trPr>
        <w:tc>
          <w:tcPr>
            <w:tcW w:w="8240" w:type="dxa"/>
            <w:vAlign w:val="bottom"/>
          </w:tcPr>
          <w:p>
            <w:pPr>
              <w:ind w:left="340"/>
              <w:spacing w:after="0"/>
              <w:rPr>
                <w:sz w:val="20"/>
                <w:szCs w:val="20"/>
                <w:color w:val="auto"/>
              </w:rPr>
            </w:pPr>
            <w:r>
              <w:rPr>
                <w:rFonts w:ascii="Arial" w:cs="Arial" w:eastAsia="Arial" w:hAnsi="Arial"/>
                <w:sz w:val="18"/>
                <w:szCs w:val="18"/>
                <w:color w:val="auto"/>
              </w:rPr>
              <w:t>Treasury shares, at cost; 12.6 and 12.4 shares, respectively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8240" w:type="dxa"/>
            <w:vAlign w:val="bottom"/>
          </w:tcPr>
          <w:p>
            <w:pPr>
              <w:ind w:left="660"/>
              <w:spacing w:after="0" w:line="203" w:lineRule="exact"/>
              <w:rPr>
                <w:sz w:val="20"/>
                <w:szCs w:val="20"/>
                <w:color w:val="auto"/>
              </w:rPr>
            </w:pPr>
            <w:r>
              <w:rPr>
                <w:rFonts w:ascii="Arial" w:cs="Arial" w:eastAsia="Arial" w:hAnsi="Arial"/>
                <w:sz w:val="18"/>
                <w:szCs w:val="18"/>
                <w:color w:val="auto"/>
              </w:rPr>
              <w:t>Total equity—controlling interest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42"/>
        </w:trPr>
        <w:tc>
          <w:tcPr>
            <w:tcW w:w="8240" w:type="dxa"/>
            <w:vAlign w:val="bottom"/>
            <w:tcBorders>
              <w:bottom w:val="single" w:sz="8" w:color="CCEEFF"/>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6" w:name="page67"/>
    <w:bookmarkEnd w:id="66"/>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33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SCOTTS MIRACLE-GRO COMPANY</w:t>
      </w:r>
    </w:p>
    <w:p>
      <w:pPr>
        <w:spacing w:after="0" w:line="9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40" w:type="dxa"/>
            <w:vAlign w:val="bottom"/>
          </w:tcPr>
          <w:p>
            <w:pPr>
              <w:spacing w:after="0"/>
              <w:rPr>
                <w:sz w:val="13"/>
                <w:szCs w:val="13"/>
                <w:color w:val="auto"/>
              </w:rPr>
            </w:pPr>
          </w:p>
        </w:tc>
        <w:tc>
          <w:tcPr>
            <w:tcW w:w="1500" w:type="dxa"/>
            <w:vAlign w:val="bottom"/>
            <w:gridSpan w:val="5"/>
          </w:tcPr>
          <w:p>
            <w:pPr>
              <w:ind w:left="260"/>
              <w:spacing w:after="0"/>
              <w:rPr>
                <w:sz w:val="20"/>
                <w:szCs w:val="20"/>
                <w:color w:val="auto"/>
              </w:rPr>
            </w:pPr>
            <w:r>
              <w:rPr>
                <w:rFonts w:ascii="Arial" w:cs="Arial" w:eastAsia="Arial" w:hAnsi="Arial"/>
                <w:sz w:val="12"/>
                <w:szCs w:val="12"/>
                <w:b w:val="1"/>
                <w:bCs w:val="1"/>
                <w:color w:val="auto"/>
              </w:rPr>
              <w:t>Common Shares</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 in</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89"/>
              </w:rPr>
              <w:t>Treasury Shares</w:t>
            </w:r>
          </w:p>
        </w:tc>
        <w:tc>
          <w:tcPr>
            <w:tcW w:w="12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2"/>
              </w:rPr>
              <w:t>Accumulated Other</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Non-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44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Excess of</w:t>
            </w:r>
          </w:p>
        </w:tc>
        <w:tc>
          <w:tcPr>
            <w:tcW w:w="120" w:type="dxa"/>
            <w:vAlign w:val="bottom"/>
          </w:tcPr>
          <w:p>
            <w:pPr>
              <w:spacing w:after="0"/>
              <w:rPr>
                <w:sz w:val="4"/>
                <w:szCs w:val="4"/>
                <w:color w:val="auto"/>
              </w:rPr>
            </w:pPr>
          </w:p>
        </w:tc>
        <w:tc>
          <w:tcPr>
            <w:tcW w:w="78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Retained</w:t>
            </w: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Comprehensive</w:t>
            </w: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controlling</w:t>
            </w: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Stated Value</w:t>
            </w: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Income (Loss)</w:t>
            </w:r>
          </w:p>
        </w:tc>
        <w:tc>
          <w:tcPr>
            <w:tcW w:w="18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6"/>
                <w:szCs w:val="16"/>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Interest</w:t>
            </w:r>
          </w:p>
        </w:tc>
        <w:tc>
          <w:tcPr>
            <w:tcW w:w="180" w:type="dxa"/>
            <w:vAlign w:val="bottom"/>
          </w:tcPr>
          <w:p>
            <w:pPr>
              <w:spacing w:after="0"/>
              <w:rPr>
                <w:sz w:val="16"/>
                <w:szCs w:val="16"/>
                <w:color w:val="auto"/>
              </w:rPr>
            </w:pPr>
          </w:p>
        </w:tc>
        <w:tc>
          <w:tcPr>
            <w:tcW w:w="620" w:type="dxa"/>
            <w:vAlign w:val="bottom"/>
          </w:tcPr>
          <w:p>
            <w:pPr>
              <w:jc w:val="right"/>
              <w:ind w:right="19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3"/>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420.0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919.9</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131"/>
        </w:trPr>
        <w:tc>
          <w:tcPr>
            <w:tcW w:w="2440" w:type="dxa"/>
            <w:vAlign w:val="bottom"/>
          </w:tcPr>
          <w:p>
            <w:pPr>
              <w:ind w:left="20"/>
              <w:spacing w:after="0" w:line="131" w:lineRule="exact"/>
              <w:rPr>
                <w:sz w:val="20"/>
                <w:szCs w:val="20"/>
                <w:color w:val="auto"/>
              </w:rPr>
            </w:pPr>
            <w:r>
              <w:rPr>
                <w:rFonts w:ascii="Arial" w:cs="Arial" w:eastAsia="Arial" w:hAnsi="Arial"/>
                <w:sz w:val="14"/>
                <w:szCs w:val="14"/>
                <w:color w:val="auto"/>
              </w:rPr>
              <w:t>Adoption of new accounting</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4"/>
        </w:trPr>
        <w:tc>
          <w:tcPr>
            <w:tcW w:w="244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pronouncements </w:t>
            </w:r>
            <w:r>
              <w:rPr>
                <w:rFonts w:ascii="Arial" w:cs="Arial" w:eastAsia="Arial" w:hAnsi="Arial"/>
                <w:sz w:val="18"/>
                <w:szCs w:val="18"/>
                <w:color w:val="auto"/>
                <w:vertAlign w:val="superscript"/>
              </w:rPr>
              <w:t>(a)(b)</w:t>
            </w: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460.2</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Dividends declared ($2.23 per share)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0"/>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441.9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1,274.7</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387.4</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388.6</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declared ($7.36 per share)</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(426.5)</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59" w:lineRule="exact"/>
              <w:rPr>
                <w:sz w:val="20"/>
                <w:szCs w:val="20"/>
                <w:color w:val="auto"/>
              </w:rPr>
            </w:pPr>
            <w:r>
              <w:rPr>
                <w:rFonts w:ascii="Arial" w:cs="Arial" w:eastAsia="Arial" w:hAnsi="Arial"/>
                <w:sz w:val="14"/>
                <w:szCs w:val="14"/>
                <w:color w:val="auto"/>
              </w:rPr>
              <w:t>Balance at September 30, 2020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482.2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1,235.6</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(921.8)</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513.4</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Dividends declared ($2.52 per share)</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(143.0)</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share purchases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81"/>
        </w:trPr>
        <w:tc>
          <w:tcPr>
            <w:tcW w:w="2440" w:type="dxa"/>
            <w:vAlign w:val="bottom"/>
          </w:tcPr>
          <w:p>
            <w:pPr>
              <w:ind w:left="20"/>
              <w:spacing w:after="0"/>
              <w:rPr>
                <w:sz w:val="20"/>
                <w:szCs w:val="20"/>
                <w:color w:val="auto"/>
              </w:rPr>
            </w:pPr>
            <w:r>
              <w:rPr>
                <w:rFonts w:ascii="Arial" w:cs="Arial" w:eastAsia="Arial" w:hAnsi="Arial"/>
                <w:sz w:val="14"/>
                <w:szCs w:val="14"/>
                <w:color w:val="auto"/>
              </w:rPr>
              <w:t>Treasury share issuances</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34"/>
        </w:trPr>
        <w:tc>
          <w:tcPr>
            <w:tcW w:w="2440" w:type="dxa"/>
            <w:vAlign w:val="bottom"/>
            <w:shd w:val="clear" w:color="auto" w:fill="CCEEFF"/>
          </w:tcPr>
          <w:p>
            <w:pPr>
              <w:ind w:left="20"/>
              <w:spacing w:after="0" w:line="134" w:lineRule="exact"/>
              <w:rPr>
                <w:sz w:val="20"/>
                <w:szCs w:val="20"/>
                <w:color w:val="auto"/>
              </w:rPr>
            </w:pPr>
            <w:r>
              <w:rPr>
                <w:rFonts w:ascii="Arial" w:cs="Arial" w:eastAsia="Arial" w:hAnsi="Arial"/>
                <w:sz w:val="14"/>
                <w:szCs w:val="14"/>
                <w:color w:val="auto"/>
              </w:rPr>
              <w:t>Acquisition of remaining noncontrolling</w:t>
            </w:r>
          </w:p>
        </w:tc>
        <w:tc>
          <w:tcPr>
            <w:tcW w:w="7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 Aerogrow</w:t>
            </w: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40" w:type="dxa"/>
            <w:vAlign w:val="bottom"/>
          </w:tcPr>
          <w:p>
            <w:pPr>
              <w:ind w:left="20"/>
              <w:spacing w:after="0" w:line="159" w:lineRule="exact"/>
              <w:rPr>
                <w:sz w:val="20"/>
                <w:szCs w:val="20"/>
                <w:color w:val="auto"/>
              </w:rPr>
            </w:pPr>
            <w:r>
              <w:rPr>
                <w:rFonts w:ascii="Arial" w:cs="Arial" w:eastAsia="Arial" w:hAnsi="Arial"/>
                <w:sz w:val="14"/>
                <w:szCs w:val="14"/>
                <w:color w:val="auto"/>
              </w:rPr>
              <w:t>Balance at September 30, 2021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476.7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1,605.1</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1,013.3</w:t>
            </w:r>
          </w:p>
        </w:tc>
        <w:tc>
          <w:tcPr>
            <w:tcW w:w="0" w:type="dxa"/>
            <w:vAlign w:val="bottom"/>
          </w:tcPr>
          <w:p>
            <w:pPr>
              <w:spacing w:after="0"/>
              <w:rPr>
                <w:sz w:val="1"/>
                <w:szCs w:val="1"/>
                <w:color w:val="auto"/>
              </w:rPr>
            </w:pPr>
          </w:p>
        </w:tc>
      </w:tr>
      <w:tr>
        <w:trPr>
          <w:trHeight w:val="22"/>
        </w:trPr>
        <w:tc>
          <w:tcPr>
            <w:tcW w:w="2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components may not equal due to rounding.</w:t>
      </w:r>
    </w:p>
    <w:p>
      <w:pPr>
        <w:spacing w:after="0" w:line="234" w:lineRule="exact"/>
        <w:rPr>
          <w:sz w:val="20"/>
          <w:szCs w:val="20"/>
          <w:color w:val="auto"/>
        </w:rPr>
      </w:pPr>
    </w:p>
    <w:p>
      <w:pPr>
        <w:ind w:left="640" w:hanging="635"/>
        <w:spacing w:after="0" w:line="282" w:lineRule="auto"/>
        <w:tabs>
          <w:tab w:leader="none" w:pos="63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a result of adopting ASU No. 2014-09, “Revenue from Contracts with Customers (ASC 606),” on October 1, 2018, the Company recorded a $9.1 cumulative effect of initially applying the new guidance as an adjustment to the fiscal year 2019 opening balance of retained earnings.</w:t>
      </w:r>
    </w:p>
    <w:p>
      <w:pPr>
        <w:ind w:left="640" w:hanging="635"/>
        <w:spacing w:after="0" w:line="308" w:lineRule="auto"/>
        <w:tabs>
          <w:tab w:leader="none" w:pos="6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a result of adopting ASU No. 2018-02, “Reclassification of Certain Tax Effects from Accumulated Other Comprehensive Income,” on October 1, 2018, the Company reclassified $13.8 from accumulated other comprehensive loss to retained earnings in the fiscal year 2019 opening balances.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Consolidated Financial Statements.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tbl>
      <w:tblPr>
        <w:tblLayout w:type="fixed"/>
        <w:tblInd w:w="20" w:type="dxa"/>
        <w:tblCellMar>
          <w:top w:w="0" w:type="dxa"/>
          <w:left w:w="0" w:type="dxa"/>
          <w:bottom w:w="0" w:type="dxa"/>
          <w:right w:w="0" w:type="dxa"/>
        </w:tblCellMar>
      </w:tblPr>
      <w:tr>
        <w:trPr>
          <w:trHeight w:val="210"/>
        </w:trPr>
        <w:tc>
          <w:tcPr>
            <w:tcW w:w="21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5740" w:type="dxa"/>
            <w:vAlign w:val="bottom"/>
          </w:tcPr>
          <w:p>
            <w:pPr>
              <w:jc w:val="center"/>
              <w:ind w:left="105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2160" w:type="dxa"/>
            <w:vAlign w:val="bottom"/>
          </w:tcPr>
          <w:p>
            <w:pPr>
              <w:spacing w:after="0"/>
              <w:rPr>
                <w:sz w:val="15"/>
                <w:szCs w:val="15"/>
                <w:color w:val="auto"/>
              </w:rPr>
            </w:pPr>
          </w:p>
        </w:tc>
        <w:tc>
          <w:tcPr>
            <w:tcW w:w="5740" w:type="dxa"/>
            <w:vAlign w:val="bottom"/>
          </w:tcPr>
          <w:p>
            <w:pPr>
              <w:jc w:val="center"/>
              <w:ind w:left="1058"/>
              <w:spacing w:after="0" w:line="176" w:lineRule="exact"/>
              <w:rPr>
                <w:sz w:val="20"/>
                <w:szCs w:val="20"/>
                <w:color w:val="auto"/>
              </w:rPr>
            </w:pPr>
            <w:r>
              <w:rPr>
                <w:rFonts w:ascii="Arial" w:cs="Arial" w:eastAsia="Arial" w:hAnsi="Arial"/>
                <w:sz w:val="18"/>
                <w:szCs w:val="18"/>
                <w:b w:val="1"/>
                <w:bCs w:val="1"/>
                <w:color w:val="auto"/>
                <w:w w:val="97"/>
              </w:rPr>
              <w:t>NOTES TO CONSOLIDATED FINANCIAL STATEMENTS</w:t>
            </w:r>
          </w:p>
        </w:tc>
      </w:tr>
      <w:tr>
        <w:trPr>
          <w:trHeight w:val="183"/>
        </w:trPr>
        <w:tc>
          <w:tcPr>
            <w:tcW w:w="2160" w:type="dxa"/>
            <w:vAlign w:val="bottom"/>
          </w:tcPr>
          <w:p>
            <w:pPr>
              <w:spacing w:after="0"/>
              <w:rPr>
                <w:sz w:val="15"/>
                <w:szCs w:val="15"/>
                <w:color w:val="auto"/>
              </w:rPr>
            </w:pPr>
          </w:p>
        </w:tc>
        <w:tc>
          <w:tcPr>
            <w:tcW w:w="5740" w:type="dxa"/>
            <w:vAlign w:val="bottom"/>
          </w:tcPr>
          <w:p>
            <w:pPr>
              <w:jc w:val="center"/>
              <w:ind w:left="107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and hydroponic gardening. The Company’s products are sold in North America, Europe and Asia.</w:t>
      </w:r>
    </w:p>
    <w:p>
      <w:pPr>
        <w:spacing w:after="0" w:line="5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Company’s North America consumer lawn and garden business is highly seasonal, with more than 75% of its annual net sales occurring in the second and third fiscal quarters.</w:t>
      </w:r>
    </w:p>
    <w:p>
      <w:pPr>
        <w:spacing w:after="0" w:line="6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follows a 13-week quarterly accounting cycle pursuant to which the first three fiscal quarters end on a Saturday and the fiscal year always ends on September 30. This fiscal calendar convention requires the Company to cycle forward the first three fiscal quarter ends every six years. Fiscal 2021 was impacted by this process and, as a result, the first quarter of fiscal 2021 had five additional days and the fourth quarter of fiscal 2021 had six fewer days compared to the respective quarters of fiscal 2020.</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95"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On February 26, 2021, the Company acquired the remaining outstanding shares of AeroGrow International, Inc. (“AeroGrow”). Prior to this date, the equity owned by other shareholders was shown as noncontrolling interest in the Consolidated Balance Sheets, and the other shareholders’ portion of net earnings and other comprehensive income was shown as net (income) loss or comprehensive (income) loss attributable to noncontrolling interest in the Consolidated Statements of Operations and Consolidated Statements of Comprehensive Income (Loss), respectively. The results of businesses acquired or disposed of are included in the consolidated financial statements from the date of each acquisition or up to the date of disposal, respectively.</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82"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Advertising costs incurred during the year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 Costs deferred at September 30, 2021 and 2020 were not material. Advertising expenses were $165.7, $147.4 and $120.3 for fiscal 2021, fiscal 2020 and fiscal 2019, respectively.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Costs associated with research and development are generally charged to expense as incurred. Expenses for fiscal 2021, fiscal 2020 and fiscal 2019 were $45.4, $39.7 and $39.6, respectively, including product registration costs of $12.3, $11.0 and $11.0, respectively.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8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Basic income (loss) per common share of Scotts Miracle-Gro (“Common Share”) is computed by dividing income attributable to controlling interest from continuing operations, income (loss) from discontinued operations or net income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attributable to controlling interest by the weighted average number of Common Shares outstanding each period. Diluted income (loss) per Common Share is computed by dividing income attributable to controlling interest from continuing operations, income (loss) from discontinued operations or net income attributable to controlling interest by the weighted average number of Common Shares outstanding plus all dilutive potential Common Shares (stock options, restricted stock units, deferred stock units and performance-based award units) outstanding each period.</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 units. All of these share-based awards have been made under plans approved by the shareholders. The fair value of awards is expensed over the requisite service period which is typically the vesting period, generally three to five years for awards granted to officers and other employees and one year for awards granted to non-employee directors.</w:t>
      </w:r>
    </w:p>
    <w:p>
      <w:pPr>
        <w:spacing w:after="0" w:line="74"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For restricted stock units, deferred stock units and performance-based award units, the fair value of each award is estimated on the date of grant based on the current market price of the Common Shares. 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w:t>
      </w:r>
    </w:p>
    <w:p>
      <w:pPr>
        <w:spacing w:after="0" w:line="34"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Vesting of performance-based award units is dependent on service and achievement of specified performance targets. Based on the extent to which the targets are achieved, vested shares may range from 50 to 250 percent of the target award amount. The total amount of compensation expense recognized reflects management’s assessment of the probability that performance goals will be achieved. A cumulative adjustment is recognized to compensation expense in the current period to reflect any changes in the probability of achievement of performance goals.</w:t>
      </w:r>
    </w:p>
    <w:p>
      <w:pPr>
        <w:spacing w:after="0" w:line="44"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Restricted stock units, deferred stock units and performance-based award units receive dividend equivalents equal to the cash dividends earned during the vesting period that are only paid out upon vesting. Share-based award units are generally forfeited if a holder terminates employment or service with the Company prior to the vesting date, except in cases where employees are eligible for accelerated vesting based on having satisfied retirement requirements relating to age and years of service. The Company estimates that 15% of its share-based awards will be forfeited based on an analysis of historical trends. The Company evaluates the estimated forfeiture rate on an annual basis and makes adjustments as appropriate. Stock options have exercise prices equal to the market price of the underlying Common Shares on the date of grant and a term of 10 years. If available, Scotts Miracle-Gro typically uses treasury shares, or if not available, newly-issued Common Shares, to settle vested share-based awards. The Company classifies share-based compensation expense within selling, general and administrative expenses to correspond with the same line item as cash compensation paid to employees. Cash flows resulting from tax deductions in excess of the cumulative compensation cost recognized for share-based awards (excess tax benefits) are classified as operating cash inflows.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Cash and cash equivalents were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8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ongoing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82"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valued using the first in, first out method. Inventories acquired through the acquisition of or subsequently produced by Sunlight Supply (as defined below) were initially recorded at fair value at the date of the acquisition and subsequently were measured using the average costing method of inventory valuation. During fiscal 2020, the Company determined it was preferable to use the first in, first out inventory valuation method and adopted this method for the remaining Sunlight Supply inventories not subject to the first in, first out method. This change in accounting principle resulted in an increase in inventories of $0.2, with a corresponding decrease in cost of goods sold for fiscal 2020. The change in accounting principle was not material to prior periods so it was not retrospectively applied. Adjustments to reflect inventories at net realizable values were $22.5 and $31.3 at September 30, 2021 and 2020, respectively.</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Loans Receivable</w:t>
      </w:r>
    </w:p>
    <w:p>
      <w:pPr>
        <w:spacing w:after="0" w:line="95"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Loans receivable are carried at outstanding principal amount, and are recognized in the “Other assets” line in the Consolidated Balance Sheets. Loans receivable are impaired when, based on current information and events, it is probable that the Company will be unable to collect all amounts due according to the contractual terms of the loan agreement. If it is determined that an impairment has occurred, an impairment loss is recognized for the amount by which the carrying value of the asset exceeds the present value of expected future cash flows. Interest income was $3.8, $7.6 and $8.6 for fiscal 2021, fiscal 2020 and fiscal 2019, respectively. Interest income is recorded on an accrual basis and is classified in the “Other non-operating income, net” line in the Consolidated Statements of Operations.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Investment in Unconsolidated Affiliates</w:t>
      </w:r>
    </w:p>
    <w:p>
      <w:pPr>
        <w:spacing w:after="0" w:line="95"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Condensed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8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$0.8, $0.4 and $0.5 during fiscal 2021, fiscal 2020 and fiscal 2019,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7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improvements</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25 years</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Buildings</w:t>
            </w:r>
          </w:p>
        </w:tc>
        <w:tc>
          <w:tcPr>
            <w:tcW w:w="438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40 years</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 years</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38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10 years</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 – 8 years</w:t>
            </w:r>
          </w:p>
        </w:tc>
      </w:tr>
    </w:tbl>
    <w:p>
      <w:pPr>
        <w:spacing w:after="0" w:line="303"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Intangible assets subject to amortization include technology, patents, customer relationships, non-compete agreements and certain tradenames. These intangible assets are being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Company had non-cash investing activities of $41.6, $26.4 and $22.1 during fiscal 2021, fiscal 2020 and fiscal 2019, respectively, representing unpaid liabilities to acquire property, plant and equipment.</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2021 and 2020, the Company had $17.0 and $18.8, respectively, in unamortized capitalized internal use software costs. Amortization of these costs was $4.5, $4.0 and $2.9 during fiscal 2021, fiscal 2020 and fiscal 2019, respectively.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5"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determines the fair value of its reporting units using a combination of income-based and market-based approaches and incorporates assumptions it believes market participants would utilize. The income-based approach utilizes discounted cash flows while the market-based approach utilizes market multiples. These approaches depend upon internally-developed forecasts that are based upon annual budgets and longer-range strategic plans. The Company uses discount rates that are commensurate with the risks and uncertainties inherent in the respective reporting units and in the internally-developed forecasts. To further substantiate fair value, the Company compares the aggregate fair value of the reporting units to the Company’s total market capitalization.</w:t>
      </w:r>
    </w:p>
    <w:p>
      <w:pPr>
        <w:spacing w:after="0" w:line="39"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With respect to indefinite-lived intangible assets, the Company performs either a qualitative or quantitative evaluation for each asset. Factors considered in the qualitative test include asset specific operating results as well as new events and circumstances impacting the cash flows of the assets. For the quantitative test, the fair value of the Company’s indefinite-lived intangible assets is determined under the income-based approach utilizing discounted cash flows and incorporating assumptions the Company believes market participants would utilize. For tradenames, fair value is determined using a royalty savings methodology similar to that employed when the associated businesses were acquired but using updated estimates of sales, cash flow and profitability.</w:t>
      </w:r>
    </w:p>
    <w:p>
      <w:pPr>
        <w:spacing w:after="0" w:line="47"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Investments in Securities</w:t>
      </w:r>
    </w:p>
    <w:p>
      <w:pPr>
        <w:spacing w:after="0" w:line="9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Convertible debt investments are classified as “available for sale,” are reported at fair value and are presented in the “Other assets” line in the Consolidated Balance Sheets. Unrealized gains and losses on these investments are included in accumulated other comprehensive loss (“AOCL”) in the Consolidated Balance Sheets. When a decline in fair value is considered to be other-than-temporary at the balance sheet date, an allowance for credit losses (impairment), including any write-off of accrued interest receivable, is charged to earnings. If management can assert that it does not intend to sell the security and it is not more likely than not that it will have to sell the security before recovering its amortized cost basis (net of allowance), then the impairment allowance is separated into two components: (i) the amount related to credit losses (recorded in earnings) and (ii) the amount related to all other factors (recorded in other comprehensive income). Interest income is recorded on an accrual basis and is classified in the “Other non-operating income, net” line in the Consolidated Statements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82"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8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40"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13"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5"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AOCL within shareholders’ equity. Foreign exchange transaction gains and losses are included in the determination of net income and classified as “Other (income) expense, net” in the Consolidated Statements of Operations. The Company recognized foreign exchange transaction (gains) losses of $(1.8), $0.9 and $1.6 during fiscal 2021, fiscal 2020 and fiscal 2019, respectively.</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A variety of financial instruments, including forwards, futures and swap contracts, are used to manage these exposures. These financial instruments are recognized at fair value in the Consolidated Balance Sheets, and all changes in fair value are recognized in net income or shareholders’ equity through AOCL. The Company’s objective in managing these exposures is to better control these elements of cost and mitigate the earnings and cash flow volatility associated with changes in the applicable rates and prices.</w:t>
      </w:r>
    </w:p>
    <w:p>
      <w:pPr>
        <w:spacing w:after="0" w:line="6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 instrument usage, counterparty credit approval, and the monitoring and reporting of derivative activity. The Company does not enter into derivative instruments for the purpose of speculation.</w:t>
      </w:r>
    </w:p>
    <w:p>
      <w:pPr>
        <w:spacing w:after="0" w:line="71"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 Changes in the fair value of derivative contracts that qualify for hedge accounting are recorded in AOCL. For commodity hedges, realized gains or losses remain as a component of AOCL until the related inventory is sold.</w:t>
      </w:r>
    </w:p>
    <w:p>
      <w:pPr>
        <w:spacing w:after="0" w:line="51"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During the second quarter of fiscal 2016, the Company entered into definitive agreements with Bonnie Plants, Inc. and its sole shareholder, Alabama Farmers Cooperative, Inc. (“AFC”), that included options beginning in fiscal 2020 providing for either (i) the Company to increase its economic interest in Bonnie’s business of planting, growing, developing, manufacturing, distributing, marketing, and selling live plants, plant food, fertilizer and potting soil (the “Bonnie Business”) or (ii) AFC and Bonnie to repurchase the Company’s economic interest in the Bonnie Business (collectively, the “Bonnie Option”). The Bonnie Option was surrendered at the time of the formation of the Bonnie Plants, LLC joint venture on December 31, 2020.</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361" w:lineRule="auto"/>
        <w:rPr>
          <w:sz w:val="20"/>
          <w:szCs w:val="20"/>
          <w:color w:val="auto"/>
        </w:rPr>
      </w:pPr>
      <w:r>
        <w:rPr>
          <w:rFonts w:ascii="Arial" w:cs="Arial" w:eastAsia="Arial" w:hAnsi="Arial"/>
          <w:sz w:val="15"/>
          <w:szCs w:val="15"/>
          <w:color w:val="auto"/>
        </w:rPr>
        <w:t>Prior to this, the Bonnie Option was required to be accounted for as a derivative instrument and was recorded at fair value in the “Other assets” line in the Consolidated Balance Sheets, with changes in fair value recognized in the “Other non-operating income, net” line in the Consolidated Statements of Operations.</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95"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6"/>
          <w:szCs w:val="16"/>
          <w:color w:val="auto"/>
        </w:rPr>
        <w:t>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Consolidated Balance Sheets.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2"/>
        </w:trPr>
        <w:tc>
          <w:tcPr>
            <w:tcW w:w="67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r>
      <w:tr>
        <w:trPr>
          <w:trHeight w:val="217"/>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Interest paid</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23"/>
        </w:trPr>
        <w:tc>
          <w:tcPr>
            <w:tcW w:w="674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166.2</w:t>
            </w:r>
          </w:p>
        </w:tc>
      </w:tr>
    </w:tbl>
    <w:p>
      <w:pPr>
        <w:spacing w:after="0" w:line="23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Fiscal 2021 cash flow from operating activities was impacted by extended payment terms with several major vendors across the U.S. Consumer and Hawthorne segments, as well as Monsanto Company, a subsidiary of Bayer AG (“Monsanto”), for payments originally due in the final weeks of fiscal 2021 and paid in the first quarter of fiscal 2022. During fiscal 2019, the Company paid a post-closing net working capital adjustment obligation of $6.6 related to the fiscal 2018 acquisition of Sunlight Supply, Inc., Sunlight Garden Supply, Inc., Sunlight Garden Supply, ULC, and IP Holdings, LLC, and all of the issued and outstanding equity interests of Columbia River Industrial Holdings, LLC (collectively “Sunlight Supply”), which was classified as an investing activity in the “Payment for acquisitions, net of cash acquired” line in the Consolidated Statements of Cash Flows.</w:t>
      </w:r>
    </w:p>
    <w:p>
      <w:pPr>
        <w:spacing w:after="0" w:line="47"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88"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In February 2016, the Financial Accounting Standards Board (“FASB”) issued its final standard on lease accounting, ASC 842. This guidance requires lessees to recognize a lease liability for the obligation to make lease payments and a ROU asset for the right to use the underlying asset for the lease term. The Company elected the optional transition method and adopted the new guidance on October 1, 2019 on a modified retrospective basis with no restatement of prior period amounts. Fiscal 2019 balances and related disclosures supporting those comparative period balances continue to be presented under ASC 840, “Leases.” As allowed under the new accounting standard, the Company elected to apply practical expedients to carry forward the original lease determinations, lease classifications and accounting of initial direct costs for all asset classes at the time of adoption. The Company also elected to exclude short-term leases from its Consolidated Balance Sheets. The Company’s adoption of the new standard resulted in the recognition of ROU assets of $129.6 in the “Other assets” line in the Consolidated Balance Sheets, liabilities of $45.4 in the “Other current liabilities” line in the Consolidated Balance Sheet and liabilities of $88.8 in the “Other liabilities” line in the Consolidated Balance Sheets as of the October 1, 2019 adoption date. Adoption of the new standard did not result in a material cumulative effect adjustment to equity as of the date of adoption and did not have 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material impact on the Company’s Consolidated Statements of Operations or Cash Flows. Refer to “NOTE 18. LEASES” for more information.</w:t>
      </w:r>
    </w:p>
    <w:p>
      <w:pPr>
        <w:spacing w:after="0" w:line="11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In June 2016, the FASB issued Accounting Standards Update (“ASU”) No. 2016-13, “Financial Instruments - Credit Losses (Topic 326),” which changes the impairment model for most financial assets to require measurement and recognition of expected credit losses for financial assets held. The Company adopted this guidance on October 1, 2020. The adoption of this guidance did not have a material impact on the Company’s consolidated financial position, results of operations or cash flows.</w:t>
      </w:r>
    </w:p>
    <w:p>
      <w:pPr>
        <w:spacing w:after="0" w:line="74"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In August 2018, the FASB issued ASU No. 2018-14, “Compensation-Retirement Benefits-Defined Benefit Plans-General (Topic 715): Disclosure Framework–Changes to the Disclosure Requirements for Defined Benefit Plans,” which removes certain disclosures that are not considered cost beneficial, clarifies certain required disclosures and requires certain additional disclosures related to defined benefit pension and other postretirement plans. The Company adopted this guidance on October 1, 2020. The adoption of this guidance did not have a material impact on the Company’s consolidated financial position, results of operations or cash flows.</w:t>
      </w:r>
    </w:p>
    <w:p>
      <w:pPr>
        <w:spacing w:after="0" w:line="61"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In August 2018, the FASB issued ASU No. 2018-15, “Intangibles-Goodwill and Other-Internal-Use Software (Topic 350):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Company adopted this guidance on October 1, 2020. The adoption of this guidance did not have a material impact on the Company’s consolidated financial position,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01"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In December 2019, the FASB issued ASU No. 2019-12, “Income taxes (Topic 740): Simplifying the Accounting for Income Taxes,” which simplifies the accounting for income taxes by removing certain exceptions to the general principles in ASC 740 and also clarifies and amends existing guidance to improve consistent application. The provisions are effective for the Company’s financial statements no later than the fiscal year beginning October 1, 2021. Adoption of this guidance is not expected to have a material impact on the Company’s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Goods and Services</w:t>
      </w:r>
    </w:p>
    <w:p>
      <w:pPr>
        <w:spacing w:after="0" w:line="95"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5"/>
          <w:szCs w:val="15"/>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for the marketing and distribution of certain of Monsanto’s consumer Roundup</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branded products in the United States and certain other specified countries, and performs certain other services under ancillary agreements with Monsanto. Prior to December 31, 2020, the Company also provided marketing, research and development and certain ancillary services to Bonnie. Refer to “NOTE 21. SEGMENT INFORMATION” for disaggregated revenue information and “NOTE 7. MARKETING AGREEMENT” for revenue information related to the Monsanto agreements.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and Satisfaction of Performance Obligations</w:t>
      </w:r>
    </w:p>
    <w:p>
      <w:pPr>
        <w:spacing w:after="0" w:line="82"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Product sales are recognized at a point in time when control of products transfers to customers and the Company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therefore revenue is primarily recorded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51" w:lineRule="exact"/>
        <w:rPr>
          <w:sz w:val="20"/>
          <w:szCs w:val="20"/>
          <w:color w:val="auto"/>
        </w:rPr>
      </w:pPr>
    </w:p>
    <w:p>
      <w:pPr>
        <w:jc w:val="both"/>
        <w:ind w:firstLine="434"/>
        <w:spacing w:after="0" w:line="270" w:lineRule="auto"/>
        <w:rPr>
          <w:sz w:val="20"/>
          <w:szCs w:val="20"/>
          <w:color w:val="auto"/>
        </w:rPr>
      </w:pPr>
      <w:r>
        <w:rPr>
          <w:rFonts w:ascii="Arial" w:cs="Arial" w:eastAsia="Arial" w:hAnsi="Arial"/>
          <w:sz w:val="16"/>
          <w:szCs w:val="16"/>
          <w:color w:val="auto"/>
        </w:rPr>
        <w:t>Under the terms of the Second Amended and Restated Exclusive Agency and Marketing Agreement (the “Restated Marketing Agreement”), as amended by the Third Amended and Restated Exclusive Agency and Marketing Agreement (the “Third Restated Agreement”), pursuant to which the Company serves as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the Company is entitled to receive an annual commission from Monsanto as consideration for the performance of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Company’s duties as agent. The Restated Marketing Agreement and Third Restated Agreement also require the Company to make annual payments to Monsanto as a contribution against the overall expenses of its consumer Roundup</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The gross commission earned under the Restated Marketing Agreement and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73"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Prior to December 31, 2020, in exchange for services performed pursuant to the terms of the Marketing, R&amp;D and Ancillary Services Agreement (the “Services Agreement”) between the Company and AFC, Bonnie reimbursed the Company for certain costs and provided a commission fee earned based on a percentage of the growth in earnings before interest, income taxes and amortization of the Bonnie Business. The commission earned under the Services Agreement was included in the “Net sales” line in the Consolidated Statements of Operations. Additionally, the Company recorded costs incurred under the Services Agreement for which the Company is the primary obligor on a gross basis, recognizing such costs in the “Cost of sales” line and the reimbursement of these costs in the “Net sales” line in the Consolidated Statements of Operations, with no effect on gross profit dollars or net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Transactional Price and Promotional Allowances</w:t>
      </w:r>
    </w:p>
    <w:p>
      <w:pPr>
        <w:spacing w:after="0" w:line="9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and Bonnie agreements is recognized over the program year as the services are performed based upon the commission income formula in the agreements.</w:t>
      </w:r>
    </w:p>
    <w:p>
      <w:pPr>
        <w:spacing w:after="0" w:line="31"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95"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Prior to August 31, 2017, the Company operated consumer lawn and garden businesses located in Australia, Austria, Belgium, Luxembourg, Czech Republic, France, Germany, Poland and the United Kingdom (the “International Business”). On August 31, 2017, the Company completed the sale of the International Business. As a result, effective in its fourth quarter of fiscal 2017, the Company classified its results of operations for all periods presented to reflect the International Business as a discontinued operation. The sale proceeds were net of seller financing provided by the Company in the form of a $29.7 loan for seven years bearing interest at 5% for the first three years, with annual 2.5% increases thereafter. The seller financing loan receivable is recorded in the “Other assets” line in the Consolidated Balance Sheets as of September 30, 2021. The transaction also included contingent consideration with a maximum payout of $23.8 and an initial fair value of $18.2, the payment of which depended on the achievement of certain performance criteria by the International Business following the closing of the transaction through fiscal 2020. During fiscal 2021, the Company agreed to accept a contingent consideration payout of $6.0, which will be paid to the Company prior to March 31, 2022. This amount is recorded in the “Prepaid and other current assets” line in the Consolidated Balance Sheets as of September 30, 2021. The Company recorded a pre-tax charge of $12.2 during fiscal 2021 to write-down the contingent consideration receivable to the agreed upon payout amount.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95"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During fiscal 2014, the Company completed the sale of its U.S. and Canadian wild bird food business. As a result, effective in fiscal 2014, the Company classified its results of operations for all periods presented to reflect the wild bird food business as a discontinued operation. During fiscal 2019, the Company recognized a favorable adjustment of $22.5 as a result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of the final resolution of the previously disclosed settlement agreement related to the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legal matter. This matter relates to a class-action lawsuit filed in 2012 in connection with the sale of wild bird food products that were the subject of a voluntary recall in 2008 by the Company’s previously sold wild bird food business. In addition, during fiscal 2020 and fiscal 2019, the Company recognized insurance recoveries of $1.5 and $13.4, respectively, related to this matter. Refer to “NOTE 20. CONTINGENCIES” for more information.</w:t>
      </w:r>
    </w:p>
    <w:p>
      <w:pPr>
        <w:spacing w:after="0" w:line="4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consolidated financial statements for each of the periods presented: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9"/>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7"/>
        </w:trPr>
        <w:tc>
          <w:tcPr>
            <w:tcW w:w="67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and exit costs</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 (recoveries)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Write-down of contingent consideration receivable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tcPr>
          <w:p>
            <w:pPr>
              <w:ind w:left="20"/>
              <w:spacing w:after="0" w:line="203" w:lineRule="exact"/>
              <w:rPr>
                <w:sz w:val="20"/>
                <w:szCs w:val="20"/>
                <w:color w:val="auto"/>
              </w:rPr>
            </w:pPr>
            <w:r>
              <w:rPr>
                <w:rFonts w:ascii="Arial" w:cs="Arial" w:eastAsia="Arial" w:hAnsi="Arial"/>
                <w:sz w:val="18"/>
                <w:szCs w:val="18"/>
                <w:color w:val="auto"/>
              </w:rPr>
              <w:t>Income (loss) from discontinued operations before income taxes</w:t>
            </w: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from discontinued operations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6720" w:type="dxa"/>
            <w:vAlign w:val="bottom"/>
          </w:tcPr>
          <w:p>
            <w:pPr>
              <w:ind w:left="20"/>
              <w:spacing w:after="0" w:line="203" w:lineRule="exact"/>
              <w:rPr>
                <w:sz w:val="20"/>
                <w:szCs w:val="20"/>
                <w:color w:val="auto"/>
              </w:rPr>
            </w:pPr>
            <w:r>
              <w:rPr>
                <w:rFonts w:ascii="Arial" w:cs="Arial" w:eastAsia="Arial" w:hAnsi="Arial"/>
                <w:sz w:val="18"/>
                <w:szCs w:val="18"/>
                <w:color w:val="auto"/>
              </w:rPr>
              <w:t>Income (loss) from discontinued operations, net of tax</w:t>
            </w: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6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Consolidated Statements of Cash Flows do not present the cash flows from discontinued operations separately from cash flows from continuing operations. Cash provided by (used in) operating activities related to discontinued operations was zero, $3.6 and $(38.6) for fiscal 2021, fiscal 2020 and fiscal 2019, respectively. Cash (used in) provided by investing activities related to discontinued operations was zero for fiscal 2021, fiscal 2020 and fiscal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Consolidated Statements of Operations. The following table details impairment, restructuring and other charges (recoveries) for each of the periods presented: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Cost of sales—impairment, restructuring and other:</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Intangible asset and property, plant and equipment impairments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Arial" w:cs="Arial" w:eastAsia="Arial" w:hAnsi="Arial"/>
                <w:sz w:val="18"/>
                <w:szCs w:val="18"/>
                <w:color w:val="auto"/>
              </w:rPr>
              <w:t>COVID-19 related costs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(recoveries),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line="203" w:lineRule="exact"/>
              <w:rPr>
                <w:sz w:val="20"/>
                <w:szCs w:val="20"/>
                <w:color w:val="auto"/>
              </w:rPr>
            </w:pPr>
            <w:r>
              <w:rPr>
                <w:rFonts w:ascii="Arial" w:cs="Arial" w:eastAsia="Arial" w:hAnsi="Arial"/>
                <w:sz w:val="18"/>
                <w:szCs w:val="18"/>
                <w:color w:val="auto"/>
              </w:rPr>
              <w:t>Impairment, restructuring and other charges from continuing operations</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 (recoveries), net, from discontinued operations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6740" w:type="dxa"/>
            <w:vAlign w:val="bottom"/>
          </w:tcPr>
          <w:p>
            <w:pPr>
              <w:ind w:left="20"/>
              <w:spacing w:after="0" w:line="203" w:lineRule="exact"/>
              <w:rPr>
                <w:sz w:val="20"/>
                <w:szCs w:val="20"/>
                <w:color w:val="auto"/>
              </w:rPr>
            </w:pPr>
            <w:r>
              <w:rPr>
                <w:rFonts w:ascii="Arial" w:cs="Arial" w:eastAsia="Arial" w:hAnsi="Arial"/>
                <w:sz w:val="18"/>
                <w:szCs w:val="18"/>
                <w:color w:val="auto"/>
              </w:rPr>
              <w:t>Total impairment, restructuring and other charges (recoveries)</w:t>
            </w:r>
          </w:p>
        </w:tc>
        <w:tc>
          <w:tcPr>
            <w:tcW w:w="960" w:type="dxa"/>
            <w:vAlign w:val="bottom"/>
          </w:tcPr>
          <w:p>
            <w:pPr>
              <w:jc w:val="right"/>
              <w:ind w:right="778"/>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40"/>
              <w:spacing w:after="0"/>
              <w:rPr>
                <w:sz w:val="20"/>
                <w:szCs w:val="20"/>
                <w:color w:val="auto"/>
              </w:rPr>
            </w:pPr>
            <w:r>
              <w:rPr>
                <w:rFonts w:ascii="Arial" w:cs="Arial" w:eastAsia="Arial" w:hAnsi="Arial"/>
                <w:sz w:val="18"/>
                <w:szCs w:val="18"/>
                <w:color w:val="auto"/>
              </w:rPr>
              <w:t>75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3"/>
        </w:trPr>
        <w:tc>
          <w:tcPr>
            <w:tcW w:w="6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7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firstLine="434"/>
        <w:spacing w:after="0" w:line="260"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for each of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Year Ended September 30,</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2"/>
        </w:trPr>
        <w:tc>
          <w:tcPr>
            <w:tcW w:w="57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17"/>
        </w:trPr>
        <w:tc>
          <w:tcPr>
            <w:tcW w:w="57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Amounts accrued for restructuring and other at beginning of year</w:t>
            </w:r>
          </w:p>
        </w:tc>
        <w:tc>
          <w:tcPr>
            <w:tcW w:w="1260" w:type="dxa"/>
            <w:vAlign w:val="bottom"/>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23"/>
        </w:trPr>
        <w:tc>
          <w:tcPr>
            <w:tcW w:w="5720" w:type="dxa"/>
            <w:vAlign w:val="bottom"/>
          </w:tcPr>
          <w:p>
            <w:pPr>
              <w:ind w:left="460"/>
              <w:spacing w:after="0"/>
              <w:rPr>
                <w:sz w:val="20"/>
                <w:szCs w:val="20"/>
                <w:color w:val="auto"/>
              </w:rPr>
            </w:pPr>
            <w:r>
              <w:rPr>
                <w:rFonts w:ascii="Arial" w:cs="Arial" w:eastAsia="Arial" w:hAnsi="Arial"/>
                <w:sz w:val="18"/>
                <w:szCs w:val="18"/>
                <w:color w:val="auto"/>
              </w:rPr>
              <w:t>Restructuring and other charges from continuing operations</w:t>
            </w:r>
          </w:p>
        </w:tc>
        <w:tc>
          <w:tcPr>
            <w:tcW w:w="1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4"/>
        </w:trPr>
        <w:tc>
          <w:tcPr>
            <w:tcW w:w="5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Restructuring and other charges (recoveries) from discontinued operations</w:t>
            </w:r>
          </w:p>
        </w:tc>
        <w:tc>
          <w:tcPr>
            <w:tcW w:w="12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57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Payments and other</w:t>
            </w: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(31.0)</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42"/>
        </w:trPr>
        <w:tc>
          <w:tcPr>
            <w:tcW w:w="5720" w:type="dxa"/>
            <w:vAlign w:val="bottom"/>
            <w:tcBorders>
              <w:bottom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Amounts accrued for restructuring and other at end of year</w:t>
            </w:r>
          </w:p>
        </w:tc>
        <w:tc>
          <w:tcPr>
            <w:tcW w:w="126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Included in restructuring accruals, as of September 30, 2021, is $0.8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COVID-19</w:t>
      </w:r>
    </w:p>
    <w:p>
      <w:pPr>
        <w:spacing w:after="0" w:line="82" w:lineRule="exact"/>
        <w:rPr>
          <w:sz w:val="20"/>
          <w:szCs w:val="20"/>
          <w:color w:val="auto"/>
        </w:rPr>
      </w:pPr>
    </w:p>
    <w:p>
      <w:pPr>
        <w:jc w:val="both"/>
        <w:ind w:firstLine="434"/>
        <w:spacing w:after="0" w:line="279" w:lineRule="auto"/>
        <w:rPr>
          <w:sz w:val="20"/>
          <w:szCs w:val="20"/>
          <w:color w:val="auto"/>
        </w:rPr>
      </w:pPr>
      <w:r>
        <w:rPr>
          <w:rFonts w:ascii="Arial" w:cs="Arial" w:eastAsia="Arial" w:hAnsi="Arial"/>
          <w:sz w:val="16"/>
          <w:szCs w:val="16"/>
          <w:color w:val="auto"/>
        </w:rPr>
        <w:t>The COVID-19 pandemic has had, and continues to have, an impact on financial markets, economic conditions, and portions of the Company’s business and industry. The Company has actively addressed the pandemic’s ongoing impact on its employees, operations, customers, consumers, and communities, by, among other things, implementing contingency plans, making operational adjustments where necessary, and providing assistance to organizations that support front-line workers. Many of the Company’s employees continue to work from home. In those instances where the Company’s employees cannot perform their work at home, the Company has implemented additional health and safety measures and social distancing protocols, consistent with government recommendations and/or requirements, to help to ensure their safety. In addition, the Company implemented an interim premium pay allowance for certain associates in its field sales force and its manufacturing or distribution centers. During fiscal 2021, the Company incurred costs of $29.2 associated with the COVID-19 pandemic primarily related to premium pay. The Company incurred costs of $21.2 in its U.S. Consumer segment, $3.2 in its Hawthorne segment and $0.6 in its Other segment in the “Cost of sales—impairment, restructuring and other” line in the Consolidated Statements of Operations during fiscal 2021. The Company incurred costs of $4.0 in its U.S. Consumer segment and $0.2 in its Other segment in the “Impairment, restructuring and other” line in the Consolidated Statements of Operations during fiscal 2021.</w:t>
      </w:r>
    </w:p>
    <w:p>
      <w:pPr>
        <w:spacing w:after="0" w:line="197" w:lineRule="exact"/>
        <w:rPr>
          <w:sz w:val="20"/>
          <w:szCs w:val="20"/>
          <w:color w:val="auto"/>
        </w:rPr>
      </w:pPr>
    </w:p>
    <w:p>
      <w:pPr>
        <w:jc w:val="both"/>
        <w:ind w:firstLine="394"/>
        <w:spacing w:after="0" w:line="290" w:lineRule="auto"/>
        <w:rPr>
          <w:sz w:val="20"/>
          <w:szCs w:val="20"/>
          <w:color w:val="auto"/>
        </w:rPr>
      </w:pPr>
      <w:r>
        <w:rPr>
          <w:rFonts w:ascii="Arial" w:cs="Arial" w:eastAsia="Arial" w:hAnsi="Arial"/>
          <w:sz w:val="16"/>
          <w:szCs w:val="16"/>
          <w:color w:val="auto"/>
        </w:rPr>
        <w:t>During fiscal 2020, the Company incurred costs of $19.4 associated with the COVID-19 pandemic primarily related to premium pay. The Company incurred costs of $12.4 in its U.S. Consumer segment, $2.6 in its Hawthorne segment and $0.5 in its Other segment in the “Cost of sales—impairment, restructuring and other” line in the Consolidated Statements of Operations during fiscal 2020. The Company incurred costs of $3.8 in its U.S. Consumer segment and $0.1 in its Other segment in the “Impairment, restructuring and other” line in the Consolidated Statements of Operations during fiscal 2020.</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95" w:lineRule="exact"/>
        <w:rPr>
          <w:sz w:val="20"/>
          <w:szCs w:val="20"/>
          <w:color w:val="auto"/>
        </w:rPr>
      </w:pPr>
    </w:p>
    <w:p>
      <w:pPr>
        <w:jc w:val="both"/>
        <w:ind w:firstLine="434"/>
        <w:spacing w:after="0" w:line="306" w:lineRule="auto"/>
        <w:rPr>
          <w:sz w:val="20"/>
          <w:szCs w:val="20"/>
          <w:color w:val="auto"/>
        </w:rPr>
      </w:pPr>
      <w:r>
        <w:rPr>
          <w:rFonts w:ascii="Arial" w:cs="Arial" w:eastAsia="Arial" w:hAnsi="Arial"/>
          <w:sz w:val="15"/>
          <w:szCs w:val="15"/>
          <w:color w:val="auto"/>
        </w:rPr>
        <w:t>In connection with the acquisition of Sunlight Supply during the third quarter of fiscal 2018, the Company announced the launch of an initiative called Project Catalyst, which was a company-wide restructuring effort to reduce operating costs throughout the U.S. Consumer, Hawthorne and Other segments and drive synergies from acquisitions within the Hawthorne segment. Costs incurred during fiscal 2021 and fiscal 2020 related to Project Catalyst were not material. Costs incurred to date since the inception of Project Catalyst are $24.5 for the Hawthorne segment, $13.9 for the U.S. Consumer segment, $1.3 for the Other segment and $2.8 for Corporate. Additionally, during fiscal 2020, the Company received $2.6 from the final settlement of escrow funds related to a previous acquisition within the Hawthorne segment that was recognized in the “Impairment, restructuring and other” line in the Consolidated Statements of Operations.</w:t>
      </w:r>
    </w:p>
    <w:p>
      <w:pPr>
        <w:spacing w:after="0" w:line="34"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During fiscal 2019, the Company incurred charges of $13.7 related to Project Catalyst. The Company incurred charges of $1.1 in its U.S. Consumer segment, $4.2 in its Hawthorne segment and $0.6 in its Other Segment in the “Cost of sales—impairment, restructuring and other” line in the Consolidated Statements of Operations during fiscal 2019 related to employee termination benefits, facility closure costs and impairment of property, plant and equipment. The Company incurred charges of $0.5 in its U.S. Consumer segment, $3.9 in its Hawthorne segment, $0.6 in its Other segment and $2.8 at Corporate in the “Impairment, restructuring and other” line in the Consolidated Statements of Operations during fiscal 2019 related to employee termination benefits and facility closure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8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 xml:space="preserve">The Company recognized insurance recoveries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of $1.5 and $13.4 during fiscal 2020 and fiscal 2019, respectively, in the “Income (loss) from discontinued operations, net of tax” line in the Consolidated Statements of Operations. In addition, during fiscal 2019, the Company recognized a favorable adjustment of $22.5 in the “Income (loss) from discontinued operations, net of tax” line in the Consolidated Statements of Operations as a result of the final resolution of the previously disclosed settlement agreement related to this matter. Refer to “NOTE 20. CONTINGENCIES”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displays a rollforward of the carrying amount of goodwill by reportable segment: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U.S. Consumer</w:t>
            </w:r>
          </w:p>
        </w:tc>
        <w:tc>
          <w:tcPr>
            <w:tcW w:w="60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Hawthorne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Other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r>
      <w:tr>
        <w:trPr>
          <w:trHeight w:val="222"/>
        </w:trPr>
        <w:tc>
          <w:tcPr>
            <w:tcW w:w="4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Goodwill</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r>
      <w:tr>
        <w:trPr>
          <w:trHeight w:val="223"/>
        </w:trPr>
        <w:tc>
          <w:tcPr>
            <w:tcW w:w="4580" w:type="dxa"/>
            <w:vAlign w:val="bottom"/>
          </w:tcPr>
          <w:p>
            <w:pPr>
              <w:ind w:left="460"/>
              <w:spacing w:after="0"/>
              <w:rPr>
                <w:sz w:val="20"/>
                <w:szCs w:val="20"/>
                <w:color w:val="auto"/>
              </w:rPr>
            </w:pPr>
            <w:r>
              <w:rPr>
                <w:rFonts w:ascii="Arial" w:cs="Arial" w:eastAsia="Arial" w:hAnsi="Arial"/>
                <w:sz w:val="18"/>
                <w:szCs w:val="18"/>
                <w:color w:val="auto"/>
              </w:rPr>
              <w:t>Accumulated impairment losses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17"/>
        </w:trPr>
        <w:tc>
          <w:tcPr>
            <w:tcW w:w="45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Balance at September 30, 2019</w:t>
            </w: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10.6</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r>
      <w:tr>
        <w:trPr>
          <w:trHeight w:val="223"/>
        </w:trPr>
        <w:tc>
          <w:tcPr>
            <w:tcW w:w="4580" w:type="dxa"/>
            <w:vAlign w:val="bottom"/>
          </w:tcPr>
          <w:p>
            <w:pPr>
              <w:ind w:left="46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50"/>
        </w:trPr>
        <w:tc>
          <w:tcPr>
            <w:tcW w:w="4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3"/>
        </w:trPr>
        <w:tc>
          <w:tcPr>
            <w:tcW w:w="4580" w:type="dxa"/>
            <w:vAlign w:val="bottom"/>
          </w:tcPr>
          <w:p>
            <w:pPr>
              <w:ind w:left="460"/>
              <w:spacing w:after="0"/>
              <w:rPr>
                <w:sz w:val="20"/>
                <w:szCs w:val="20"/>
                <w:color w:val="auto"/>
              </w:rPr>
            </w:pPr>
            <w:r>
              <w:rPr>
                <w:rFonts w:ascii="Arial" w:cs="Arial" w:eastAsia="Arial" w:hAnsi="Arial"/>
                <w:sz w:val="18"/>
                <w:szCs w:val="18"/>
                <w:color w:val="auto"/>
              </w:rPr>
              <w:t>Goodwill</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9"/>
                <w:szCs w:val="19"/>
                <w:color w:val="auto"/>
              </w:rPr>
            </w:pPr>
          </w:p>
        </w:tc>
        <w:tc>
          <w:tcPr>
            <w:tcW w:w="1180" w:type="dxa"/>
            <w:vAlign w:val="bottom"/>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9"/>
                <w:szCs w:val="19"/>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640.5</w:t>
            </w:r>
          </w:p>
        </w:tc>
      </w:tr>
      <w:tr>
        <w:trPr>
          <w:trHeight w:val="224"/>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Accumulated impairment losses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b w:val="1"/>
                <w:bCs w:val="1"/>
                <w:color w:val="auto"/>
              </w:rPr>
              <w:t>Balance at September 30, 2020</w:t>
            </w: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544.1</w:t>
            </w:r>
          </w:p>
        </w:tc>
      </w:tr>
      <w:tr>
        <w:trPr>
          <w:trHeight w:val="224"/>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Acquisitions, net of purchase price adjustments</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4580" w:type="dxa"/>
            <w:vAlign w:val="bottom"/>
          </w:tcPr>
          <w:p>
            <w:pPr>
              <w:ind w:left="460"/>
              <w:spacing w:after="0"/>
              <w:rPr>
                <w:sz w:val="20"/>
                <w:szCs w:val="20"/>
                <w:color w:val="auto"/>
              </w:rPr>
            </w:pPr>
            <w:r>
              <w:rPr>
                <w:rFonts w:ascii="Arial" w:cs="Arial" w:eastAsia="Arial" w:hAnsi="Arial"/>
                <w:sz w:val="18"/>
                <w:szCs w:val="18"/>
                <w:color w:val="auto"/>
              </w:rPr>
              <w:t>Foreign currency translation</w:t>
            </w:r>
          </w:p>
        </w:tc>
        <w:tc>
          <w:tcPr>
            <w:tcW w:w="5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4"/>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Reallocation</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3"/>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r>
      <w:tr>
        <w:trPr>
          <w:trHeight w:val="223"/>
        </w:trPr>
        <w:tc>
          <w:tcPr>
            <w:tcW w:w="4580" w:type="dxa"/>
            <w:vAlign w:val="bottom"/>
          </w:tcPr>
          <w:p>
            <w:pPr>
              <w:ind w:left="460"/>
              <w:spacing w:after="0"/>
              <w:rPr>
                <w:sz w:val="20"/>
                <w:szCs w:val="20"/>
                <w:color w:val="auto"/>
              </w:rPr>
            </w:pPr>
            <w:r>
              <w:rPr>
                <w:rFonts w:ascii="Arial" w:cs="Arial" w:eastAsia="Arial" w:hAnsi="Arial"/>
                <w:sz w:val="18"/>
                <w:szCs w:val="18"/>
                <w:color w:val="auto"/>
              </w:rPr>
              <w:t>Accumulated impairment losses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(96.4)</w:t>
            </w:r>
          </w:p>
        </w:tc>
      </w:tr>
      <w:tr>
        <w:trPr>
          <w:trHeight w:val="242"/>
        </w:trPr>
        <w:tc>
          <w:tcPr>
            <w:tcW w:w="45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Balance at September 30,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Company performed annual impairment testing as of the first day of its fourth fiscal quarter and concluded that there were no impairments of goodwill as the estimated fair value of each reporting unit exceeded its carrying value.</w:t>
      </w:r>
    </w:p>
    <w:p>
      <w:pPr>
        <w:spacing w:after="0" w:line="62"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6"/>
          <w:szCs w:val="16"/>
          <w:color w:val="auto"/>
        </w:rPr>
        <w:t>During fiscal 2021, the Company changed its internal organization structure such that AeroGrow is now managed by and reported within the U.S. Consumer segment. Within the U.S. Consumer segment, AeroGrow is integrated into the Company’s overall direct to consumer focus and strategy. AeroGrow was previously managed by and reported within the Hawthorne segment. This change in organization structure resulted in a change in the Company’s reporting units. As a result, goodwill included in impacted reporting units was reallocated using a relative fair value approach, resulting in $15.8 of goodwill reallocated from the Hawthorne segment to the U.S. Consumer segment during fiscal 2021. In addition, the Company completed an assessment of potential goodwill impairment immediately before and after the reallocation and determined that no impairment existed.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intangible assets, net: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2020</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20"/>
              <w:spacing w:after="0" w:line="13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1"/>
                <w:szCs w:val="11"/>
                <w:color w:val="auto"/>
              </w:rPr>
            </w:pPr>
          </w:p>
        </w:tc>
        <w:tc>
          <w:tcPr>
            <w:tcW w:w="96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20"/>
              <w:spacing w:after="0" w:line="130"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1"/>
                <w:szCs w:val="11"/>
                <w:color w:val="auto"/>
              </w:rPr>
            </w:pPr>
          </w:p>
        </w:tc>
        <w:tc>
          <w:tcPr>
            <w:tcW w:w="960" w:type="dxa"/>
            <w:vAlign w:val="bottom"/>
          </w:tcPr>
          <w:p>
            <w:pPr>
              <w:jc w:val="center"/>
              <w:ind w:right="117"/>
              <w:spacing w:after="0" w:line="130"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20"/>
              <w:spacing w:after="0" w:line="131"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20"/>
              <w:spacing w:after="0" w:line="131"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4"/>
        </w:trPr>
        <w:tc>
          <w:tcPr>
            <w:tcW w:w="3720" w:type="dxa"/>
            <w:vAlign w:val="bottom"/>
            <w:tcBorders>
              <w:top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Tradenames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accounts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3720" w:type="dxa"/>
            <w:vAlign w:val="bottom"/>
          </w:tcPr>
          <w:p>
            <w:pPr>
              <w:ind w:left="340"/>
              <w:spacing w:after="0" w:line="203" w:lineRule="exact"/>
              <w:rPr>
                <w:sz w:val="20"/>
                <w:szCs w:val="20"/>
                <w:color w:val="auto"/>
              </w:rPr>
            </w:pPr>
            <w:r>
              <w:rPr>
                <w:rFonts w:ascii="Arial" w:cs="Arial" w:eastAsia="Arial" w:hAnsi="Arial"/>
                <w:sz w:val="18"/>
                <w:szCs w:val="18"/>
                <w:color w:val="auto"/>
              </w:rPr>
              <w:t>Total finite-lived intangible assets, net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340"/>
              <w:spacing w:after="0"/>
              <w:rPr>
                <w:sz w:val="20"/>
                <w:szCs w:val="20"/>
                <w:color w:val="auto"/>
              </w:rPr>
            </w:pPr>
            <w:r>
              <w:rPr>
                <w:rFonts w:ascii="Arial" w:cs="Arial" w:eastAsia="Arial" w:hAnsi="Arial"/>
                <w:sz w:val="18"/>
                <w:szCs w:val="18"/>
                <w:color w:val="auto"/>
              </w:rPr>
              <w:t>Indefinite-lived tradenames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340"/>
              <w:spacing w:after="0" w:line="224" w:lineRule="exact"/>
              <w:rPr>
                <w:sz w:val="20"/>
                <w:szCs w:val="20"/>
                <w:color w:val="auto"/>
              </w:rPr>
            </w:pPr>
            <w:r>
              <w:rPr>
                <w:rFonts w:ascii="Arial" w:cs="Arial" w:eastAsia="Arial" w:hAnsi="Arial"/>
                <w:sz w:val="18"/>
                <w:szCs w:val="18"/>
                <w:color w:val="auto"/>
                <w:w w:val="93"/>
              </w:rPr>
              <w:t>Roundup</w:t>
            </w:r>
            <w:r>
              <w:rPr>
                <w:rFonts w:ascii="Arial" w:cs="Arial" w:eastAsia="Arial" w:hAnsi="Arial"/>
                <w:sz w:val="22"/>
                <w:szCs w:val="22"/>
                <w:color w:val="auto"/>
                <w:w w:val="93"/>
                <w:vertAlign w:val="superscript"/>
              </w:rPr>
              <w:t>®</w:t>
            </w:r>
            <w:r>
              <w:rPr>
                <w:rFonts w:ascii="Arial" w:cs="Arial" w:eastAsia="Arial" w:hAnsi="Arial"/>
                <w:sz w:val="18"/>
                <w:szCs w:val="18"/>
                <w:color w:val="auto"/>
                <w:w w:val="93"/>
              </w:rPr>
              <w:t xml:space="preserve"> marketing agreement amendment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indefinite-lived intangible assets</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42"/>
        </w:trPr>
        <w:tc>
          <w:tcPr>
            <w:tcW w:w="3720" w:type="dxa"/>
            <w:vAlign w:val="bottom"/>
            <w:tcBorders>
              <w:bottom w:val="single" w:sz="8" w:color="CCEEFF"/>
            </w:tcBorders>
            <w:shd w:val="clear" w:color="auto" w:fill="CCEEFF"/>
          </w:tcPr>
          <w:p>
            <w:pPr>
              <w:ind w:left="140"/>
              <w:spacing w:after="0" w:line="203" w:lineRule="exact"/>
              <w:rPr>
                <w:sz w:val="20"/>
                <w:szCs w:val="20"/>
                <w:color w:val="auto"/>
              </w:rPr>
            </w:pPr>
            <w:r>
              <w:rPr>
                <w:rFonts w:ascii="Arial" w:cs="Arial" w:eastAsia="Arial" w:hAnsi="Arial"/>
                <w:sz w:val="18"/>
                <w:szCs w:val="18"/>
                <w:color w:val="auto"/>
              </w:rPr>
              <w:t>Total intangible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Total amortization expense was $30.9, $32.5 and $33.4 for fiscal 2021, fiscal 2020 and fiscal 2019, respectively. Amortization expense is estimated to be as follows for the years ending September 30: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0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w w:val="89"/>
              </w:rPr>
              <w:t>2022</w:t>
            </w:r>
          </w:p>
        </w:tc>
        <w:tc>
          <w:tcPr>
            <w:tcW w:w="53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23"/>
        </w:trPr>
        <w:tc>
          <w:tcPr>
            <w:tcW w:w="4900" w:type="dxa"/>
            <w:vAlign w:val="bottom"/>
          </w:tcPr>
          <w:p>
            <w:pPr>
              <w:jc w:val="right"/>
              <w:ind w:right="4432"/>
              <w:spacing w:after="0"/>
              <w:rPr>
                <w:sz w:val="20"/>
                <w:szCs w:val="20"/>
                <w:color w:val="auto"/>
              </w:rPr>
            </w:pPr>
            <w:r>
              <w:rPr>
                <w:rFonts w:ascii="Arial" w:cs="Arial" w:eastAsia="Arial" w:hAnsi="Arial"/>
                <w:sz w:val="18"/>
                <w:szCs w:val="18"/>
                <w:color w:val="auto"/>
                <w:w w:val="89"/>
              </w:rPr>
              <w:t>2023</w:t>
            </w:r>
          </w:p>
        </w:tc>
        <w:tc>
          <w:tcPr>
            <w:tcW w:w="5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4"/>
        </w:trPr>
        <w:tc>
          <w:tcPr>
            <w:tcW w:w="490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w w:val="89"/>
              </w:rPr>
              <w:t>2024</w:t>
            </w:r>
          </w:p>
        </w:tc>
        <w:tc>
          <w:tcPr>
            <w:tcW w:w="5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23"/>
        </w:trPr>
        <w:tc>
          <w:tcPr>
            <w:tcW w:w="4900" w:type="dxa"/>
            <w:vAlign w:val="bottom"/>
          </w:tcPr>
          <w:p>
            <w:pPr>
              <w:jc w:val="right"/>
              <w:ind w:right="4432"/>
              <w:spacing w:after="0"/>
              <w:rPr>
                <w:sz w:val="20"/>
                <w:szCs w:val="20"/>
                <w:color w:val="auto"/>
              </w:rPr>
            </w:pPr>
            <w:r>
              <w:rPr>
                <w:rFonts w:ascii="Arial" w:cs="Arial" w:eastAsia="Arial" w:hAnsi="Arial"/>
                <w:sz w:val="18"/>
                <w:szCs w:val="18"/>
                <w:color w:val="auto"/>
                <w:w w:val="89"/>
              </w:rPr>
              <w:t>2025</w:t>
            </w:r>
          </w:p>
        </w:tc>
        <w:tc>
          <w:tcPr>
            <w:tcW w:w="5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4"/>
        </w:trPr>
        <w:tc>
          <w:tcPr>
            <w:tcW w:w="4900" w:type="dxa"/>
            <w:vAlign w:val="bottom"/>
            <w:shd w:val="clear" w:color="auto" w:fill="CCEEFF"/>
          </w:tcPr>
          <w:p>
            <w:pPr>
              <w:jc w:val="right"/>
              <w:ind w:right="4432"/>
              <w:spacing w:after="0"/>
              <w:rPr>
                <w:sz w:val="20"/>
                <w:szCs w:val="20"/>
                <w:color w:val="auto"/>
              </w:rPr>
            </w:pPr>
            <w:r>
              <w:rPr>
                <w:rFonts w:ascii="Arial" w:cs="Arial" w:eastAsia="Arial" w:hAnsi="Arial"/>
                <w:sz w:val="18"/>
                <w:szCs w:val="18"/>
                <w:color w:val="auto"/>
                <w:w w:val="89"/>
              </w:rPr>
              <w:t>2026</w:t>
            </w:r>
          </w:p>
        </w:tc>
        <w:tc>
          <w:tcPr>
            <w:tcW w:w="5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10"/>
        </w:trPr>
        <w:tc>
          <w:tcPr>
            <w:tcW w:w="3800" w:type="dxa"/>
            <w:vAlign w:val="bottom"/>
            <w:gridSpan w:val="2"/>
          </w:tcPr>
          <w:p>
            <w:pPr>
              <w:ind w:left="20"/>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480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8"/>
              </w:rPr>
              <w:t>THE SCOTTS MIRACLE-GRO COMPANY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560" w:type="dxa"/>
            <w:vAlign w:val="bottom"/>
            <w:gridSpan w:val="4"/>
          </w:tcPr>
          <w:p>
            <w:pPr>
              <w:jc w:val="center"/>
              <w:ind w:left="2512"/>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480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0"/>
              </w:rPr>
              <w:t>(Dollars in millions, except per share data)</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9"/>
        </w:trPr>
        <w:tc>
          <w:tcPr>
            <w:tcW w:w="8600" w:type="dxa"/>
            <w:vAlign w:val="bottom"/>
            <w:gridSpan w:val="5"/>
          </w:tcPr>
          <w:p>
            <w:pPr>
              <w:spacing w:after="0"/>
              <w:rPr>
                <w:sz w:val="20"/>
                <w:szCs w:val="20"/>
                <w:color w:val="auto"/>
              </w:rPr>
            </w:pPr>
            <w:r>
              <w:rPr>
                <w:rFonts w:ascii="Arial" w:cs="Arial" w:eastAsia="Arial" w:hAnsi="Arial"/>
                <w:sz w:val="18"/>
                <w:szCs w:val="18"/>
                <w:b w:val="1"/>
                <w:bCs w:val="1"/>
                <w:color w:val="auto"/>
              </w:rPr>
              <w:t>NOTE 6. DETAIL OF CERTAIN FINANCIAL STATEMENT ACCOUNTS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8560" w:type="dxa"/>
            <w:vAlign w:val="bottom"/>
            <w:gridSpan w:val="4"/>
          </w:tcPr>
          <w:p>
            <w:pPr>
              <w:ind w:left="400"/>
              <w:spacing w:after="0"/>
              <w:rPr>
                <w:sz w:val="20"/>
                <w:szCs w:val="20"/>
                <w:color w:val="auto"/>
              </w:rPr>
            </w:pPr>
            <w:r>
              <w:rPr>
                <w:rFonts w:ascii="Arial" w:cs="Arial" w:eastAsia="Arial" w:hAnsi="Arial"/>
                <w:sz w:val="18"/>
                <w:szCs w:val="18"/>
                <w:color w:val="auto"/>
              </w:rPr>
              <w:t>The following is detail of certain financial statement accounts: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3760" w:type="dxa"/>
            <w:vAlign w:val="bottom"/>
            <w:shd w:val="clear" w:color="auto" w:fill="CCEEFF"/>
          </w:tcPr>
          <w:p>
            <w:pPr>
              <w:ind w:left="420"/>
              <w:spacing w:after="0" w:line="204" w:lineRule="exact"/>
              <w:rPr>
                <w:sz w:val="20"/>
                <w:szCs w:val="20"/>
                <w:color w:val="auto"/>
              </w:rPr>
            </w:pPr>
            <w:r>
              <w:rPr>
                <w:rFonts w:ascii="Arial" w:cs="Arial" w:eastAsia="Arial" w:hAnsi="Arial"/>
                <w:sz w:val="18"/>
                <w:szCs w:val="18"/>
                <w:b w:val="1"/>
                <w:bCs w:val="1"/>
                <w:color w:val="auto"/>
              </w:rPr>
              <w:t>INVENTORIES:</w:t>
            </w:r>
          </w:p>
        </w:tc>
        <w:tc>
          <w:tcPr>
            <w:tcW w:w="3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740"/>
              <w:spacing w:after="0"/>
              <w:rPr>
                <w:sz w:val="20"/>
                <w:szCs w:val="20"/>
                <w:color w:val="auto"/>
              </w:rPr>
            </w:pPr>
            <w:r>
              <w:rPr>
                <w:rFonts w:ascii="Arial" w:cs="Arial" w:eastAsia="Arial" w:hAnsi="Arial"/>
                <w:sz w:val="18"/>
                <w:szCs w:val="18"/>
                <w:color w:val="auto"/>
              </w:rPr>
              <w:t>Finished goods</w:t>
            </w:r>
          </w:p>
        </w:tc>
        <w:tc>
          <w:tcPr>
            <w:tcW w:w="4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37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Raw materials</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376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Work-in-progress</w:t>
            </w:r>
          </w:p>
        </w:tc>
        <w:tc>
          <w:tcPr>
            <w:tcW w:w="34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p>
        </w:tc>
        <w:tc>
          <w:tcPr>
            <w:tcW w:w="34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1,126.6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w w:val="89"/>
              </w:rPr>
              <w:t>September 30,</w:t>
            </w:r>
          </w:p>
        </w:tc>
        <w:tc>
          <w:tcPr>
            <w:tcW w:w="100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7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99"/>
              </w:rPr>
              <w:t>PROPERTY, PLANT AND EQUIPMENT, NET:</w:t>
            </w:r>
          </w:p>
        </w:tc>
        <w:tc>
          <w:tcPr>
            <w:tcW w:w="3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Land and improvements</w:t>
            </w:r>
          </w:p>
        </w:tc>
        <w:tc>
          <w:tcPr>
            <w:tcW w:w="4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Buildings</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3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Furniture and fixtures</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Software</w:t>
            </w:r>
          </w:p>
        </w:tc>
        <w:tc>
          <w:tcPr>
            <w:tcW w:w="3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Finance leases</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Aircraft</w:t>
            </w:r>
          </w:p>
        </w:tc>
        <w:tc>
          <w:tcPr>
            <w:tcW w:w="3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Construction in progress</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accumulated depreciation</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37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OTHER ASSETS:</w:t>
            </w:r>
          </w:p>
        </w:tc>
        <w:tc>
          <w:tcPr>
            <w:tcW w:w="34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Operating lease right-of-use assets</w:t>
            </w:r>
          </w:p>
        </w:tc>
        <w:tc>
          <w:tcPr>
            <w:tcW w:w="48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Convertible debt investments</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560" w:type="dxa"/>
            <w:vAlign w:val="bottom"/>
            <w:gridSpan w:val="4"/>
          </w:tcPr>
          <w:p>
            <w:pPr>
              <w:ind w:left="320"/>
              <w:spacing w:after="0"/>
              <w:rPr>
                <w:sz w:val="20"/>
                <w:szCs w:val="20"/>
                <w:color w:val="auto"/>
              </w:rPr>
            </w:pPr>
            <w:r>
              <w:rPr>
                <w:rFonts w:ascii="Arial" w:cs="Arial" w:eastAsia="Arial" w:hAnsi="Arial"/>
                <w:sz w:val="18"/>
                <w:szCs w:val="18"/>
                <w:color w:val="auto"/>
              </w:rPr>
              <w:t>Accrued pension, postretirement and executive retirement assets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receivable</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ind w:left="320"/>
              <w:spacing w:after="0"/>
              <w:rPr>
                <w:sz w:val="20"/>
                <w:szCs w:val="20"/>
                <w:color w:val="auto"/>
              </w:rPr>
            </w:pPr>
            <w:r>
              <w:rPr>
                <w:rFonts w:ascii="Arial" w:cs="Arial" w:eastAsia="Arial" w:hAnsi="Arial"/>
                <w:sz w:val="18"/>
                <w:szCs w:val="18"/>
                <w:color w:val="auto"/>
              </w:rPr>
              <w:t>Bonnie Option</w:t>
            </w:r>
          </w:p>
        </w:tc>
        <w:tc>
          <w:tcPr>
            <w:tcW w:w="3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Contingent consideration receivable</w:t>
            </w:r>
          </w:p>
        </w:tc>
        <w:tc>
          <w:tcPr>
            <w:tcW w:w="3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w:t>
            </w:r>
          </w:p>
        </w:tc>
        <w:tc>
          <w:tcPr>
            <w:tcW w:w="348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4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4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center"/>
              <w:ind w:left="95"/>
              <w:spacing w:after="0"/>
              <w:rPr>
                <w:sz w:val="20"/>
                <w:szCs w:val="20"/>
                <w:color w:val="auto"/>
              </w:rPr>
            </w:pPr>
            <w:r>
              <w:rPr>
                <w:rFonts w:ascii="Arial" w:cs="Arial" w:eastAsia="Arial" w:hAnsi="Arial"/>
                <w:sz w:val="18"/>
                <w:szCs w:val="18"/>
                <w:color w:val="auto"/>
                <w:w w:val="89"/>
              </w:rPr>
              <w:t>79</w:t>
            </w:r>
          </w:p>
        </w:tc>
        <w:tc>
          <w:tcPr>
            <w:tcW w:w="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0" w:name="page81"/>
    <w:bookmarkEnd w:id="80"/>
    <w:tbl>
      <w:tblPr>
        <w:tblLayout w:type="fixed"/>
        <w:tblInd w:w="20" w:type="dxa"/>
        <w:tblCellMar>
          <w:top w:w="0" w:type="dxa"/>
          <w:left w:w="0" w:type="dxa"/>
          <w:bottom w:w="0" w:type="dxa"/>
          <w:right w:w="0" w:type="dxa"/>
        </w:tblCellMar>
      </w:tblPr>
      <w:tr>
        <w:trPr>
          <w:trHeight w:val="210"/>
        </w:trPr>
        <w:tc>
          <w:tcPr>
            <w:tcW w:w="3560" w:type="dxa"/>
            <w:vAlign w:val="bottom"/>
            <w:gridSpan w:val="2"/>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5480" w:type="dxa"/>
            <w:vAlign w:val="bottom"/>
            <w:gridSpan w:val="2"/>
          </w:tcPr>
          <w:p>
            <w:pPr>
              <w:jc w:val="center"/>
              <w:ind w:right="1330"/>
              <w:spacing w:after="0"/>
              <w:rPr>
                <w:sz w:val="20"/>
                <w:szCs w:val="20"/>
                <w:color w:val="auto"/>
              </w:rPr>
            </w:pPr>
            <w:r>
              <w:rPr>
                <w:rFonts w:ascii="Arial" w:cs="Arial" w:eastAsia="Arial" w:hAnsi="Arial"/>
                <w:sz w:val="18"/>
                <w:szCs w:val="18"/>
                <w:b w:val="1"/>
                <w:bCs w:val="1"/>
                <w:color w:val="auto"/>
                <w:w w:val="98"/>
              </w:rPr>
              <w:t>THE SCOTTS MIRACLE-GRO COMPANY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20" w:type="dxa"/>
            <w:vAlign w:val="bottom"/>
            <w:gridSpan w:val="3"/>
          </w:tcPr>
          <w:p>
            <w:pPr>
              <w:jc w:val="center"/>
              <w:ind w:left="2052"/>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5480" w:type="dxa"/>
            <w:vAlign w:val="bottom"/>
            <w:gridSpan w:val="2"/>
          </w:tcPr>
          <w:p>
            <w:pPr>
              <w:jc w:val="center"/>
              <w:ind w:right="1310"/>
              <w:spacing w:after="0"/>
              <w:rPr>
                <w:sz w:val="20"/>
                <w:szCs w:val="20"/>
                <w:color w:val="auto"/>
              </w:rPr>
            </w:pPr>
            <w:r>
              <w:rPr>
                <w:rFonts w:ascii="Arial" w:cs="Arial" w:eastAsia="Arial" w:hAnsi="Arial"/>
                <w:sz w:val="14"/>
                <w:szCs w:val="14"/>
                <w:b w:val="1"/>
                <w:bCs w:val="1"/>
                <w:color w:val="auto"/>
                <w:w w:val="90"/>
              </w:rPr>
              <w:t>(Dollars in millions, except per share data)</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CURRENT LIABILITIES:</w:t>
            </w:r>
          </w:p>
        </w:tc>
        <w:tc>
          <w:tcPr>
            <w:tcW w:w="4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Advertising and promotional accruals</w:t>
            </w:r>
          </w:p>
        </w:tc>
        <w:tc>
          <w:tcPr>
            <w:tcW w:w="54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Payroll and other compensation accruals</w:t>
            </w:r>
          </w:p>
        </w:tc>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Current operating lease liabilities</w:t>
            </w:r>
          </w:p>
        </w:tc>
        <w:tc>
          <w:tcPr>
            <w:tcW w:w="4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taxes</w:t>
            </w:r>
          </w:p>
        </w:tc>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Accrued interest</w:t>
            </w:r>
          </w:p>
        </w:tc>
        <w:tc>
          <w:tcPr>
            <w:tcW w:w="4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dividends</w:t>
            </w:r>
          </w:p>
        </w:tc>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5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3540" w:type="dxa"/>
            <w:vAlign w:val="bottom"/>
            <w:vMerge w:val="continue"/>
          </w:tcPr>
          <w:p>
            <w:pPr>
              <w:spacing w:after="0"/>
              <w:rPr>
                <w:sz w:val="14"/>
                <w:szCs w:val="14"/>
                <w:color w:val="auto"/>
              </w:rPr>
            </w:pPr>
          </w:p>
        </w:tc>
        <w:tc>
          <w:tcPr>
            <w:tcW w:w="4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operating lease liabilities</w:t>
            </w:r>
          </w:p>
        </w:tc>
        <w:tc>
          <w:tcPr>
            <w:tcW w:w="5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3"/>
          </w:tcPr>
          <w:p>
            <w:pPr>
              <w:ind w:left="340"/>
              <w:spacing w:after="0"/>
              <w:rPr>
                <w:sz w:val="20"/>
                <w:szCs w:val="20"/>
                <w:color w:val="auto"/>
              </w:rPr>
            </w:pPr>
            <w:r>
              <w:rPr>
                <w:rFonts w:ascii="Arial" w:cs="Arial" w:eastAsia="Arial" w:hAnsi="Arial"/>
                <w:sz w:val="18"/>
                <w:szCs w:val="18"/>
                <w:color w:val="auto"/>
              </w:rPr>
              <w:t>Accrued pension, postretirement and executive retirement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45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101"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6"/>
          <w:szCs w:val="16"/>
          <w:color w:val="auto"/>
        </w:rPr>
        <w:t>The Scotts Company LLC (“Scotts LLC”) is the exclusive agent of Monsanto for the marketing and distribution of certain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branded products in the United States and certain other specified countries. Effective August 1, 2019, the Company entered into the Third Restated Agreement which amended, among other things, the provisions of the Restated Marketing Agreement relating to commissions, contributions, noncompetition, and termination. The annual commission payable under the Third Restated Agreement is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by the Third Restated Agreement (“Program EBIT”). Prior to the Third Restated Agreement, the annual commission payable was equal to 50% of the actual earnings before interest and income taxes of Monsanto’s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in the markets covered by the Restated Marketing Agreement in excess of $40.0 for program year 2019. The Third Restated Agreement also requires the Company to make annual payments of $18.0 to Monsanto as a contribution against the overall expenses of its consumer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subject to reduction pursuant to the Third Restated Agreement for any program year in which the Program EBIT does not equal or exceed $36.0. During fiscal 2019, Monsanto agreed to reimburse the Company for $20.0 of additional expenses incurred by the Company for certain activities connected to the Roundup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marketing agreement and this payment was recognized in the “Net sales” line in the Consolidated Statements of Operations.</w:t>
      </w:r>
    </w:p>
    <w:p>
      <w:pPr>
        <w:spacing w:after="0" w:line="76"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49" w:lineRule="exact"/>
        <w:rPr>
          <w:sz w:val="20"/>
          <w:szCs w:val="20"/>
          <w:color w:val="auto"/>
        </w:rPr>
      </w:pPr>
    </w:p>
    <w:p>
      <w:pPr>
        <w:ind w:left="640" w:hanging="319"/>
        <w:spacing w:after="0" w:line="324" w:lineRule="auto"/>
        <w:tabs>
          <w:tab w:leader="none" w:pos="6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may terminate the Third Restated Agreement (i) for any reason effective as of September 30, 2022 by delivery of notice of termination to Monsanto on January 15, 2021 (a “Convenience Termination”) or (ii) upon the insolvency or bankruptcy of Monsanto;</w:t>
      </w:r>
    </w:p>
    <w:p>
      <w:pPr>
        <w:spacing w:after="0" w:line="15" w:lineRule="exact"/>
        <w:rPr>
          <w:rFonts w:ascii="Arial" w:cs="Arial" w:eastAsia="Arial" w:hAnsi="Arial"/>
          <w:sz w:val="16"/>
          <w:szCs w:val="16"/>
          <w:color w:val="auto"/>
        </w:rPr>
      </w:pPr>
    </w:p>
    <w:p>
      <w:pPr>
        <w:jc w:val="both"/>
        <w:ind w:left="640" w:hanging="319"/>
        <w:spacing w:after="0" w:line="231"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80"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15, 2021, the Company declined to exercise its Convenience Termination right.</w:t>
      </w:r>
    </w:p>
    <w:p>
      <w:pPr>
        <w:spacing w:after="0" w:line="95" w:lineRule="exact"/>
        <w:rPr>
          <w:sz w:val="20"/>
          <w:szCs w:val="20"/>
          <w:color w:val="auto"/>
        </w:rPr>
      </w:pPr>
    </w:p>
    <w:p>
      <w:pPr>
        <w:jc w:val="both"/>
        <w:ind w:firstLine="434"/>
        <w:spacing w:after="0" w:line="315" w:lineRule="auto"/>
        <w:rPr>
          <w:sz w:val="20"/>
          <w:szCs w:val="20"/>
          <w:color w:val="auto"/>
        </w:rPr>
      </w:pPr>
      <w:r>
        <w:rPr>
          <w:rFonts w:ascii="Arial" w:cs="Arial" w:eastAsia="Arial" w:hAnsi="Arial"/>
          <w:sz w:val="15"/>
          <w:szCs w:val="15"/>
          <w:color w:val="auto"/>
        </w:rPr>
        <w:t>The termination fee structure requires Monsanto to pay a termination fee to the Company in an amount equal to (i) $175.0 upon a Convenience Termination, which the Company declined to exercise, (ii) $375.0 upon a Brand Decommissioning Termination, and (iii)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34"/>
        <w:spacing w:after="0" w:line="238" w:lineRule="auto"/>
        <w:rPr>
          <w:sz w:val="20"/>
          <w:szCs w:val="20"/>
          <w:color w:val="auto"/>
        </w:rPr>
      </w:pPr>
      <w:r>
        <w:rPr>
          <w:rFonts w:ascii="Arial" w:cs="Arial" w:eastAsia="Arial" w:hAnsi="Arial"/>
          <w:sz w:val="18"/>
          <w:szCs w:val="18"/>
          <w:color w:val="auto"/>
        </w:rPr>
        <w:t>In connection with the signing of the Third Restated Agreement, the Company also entered into the Brand Extension Agreement Asset Purchase Agreement (the “BEA Purchase Agreement”). The BEA Purchase Agreement provides for the sale by the Company to Monsanto of specified assets related to, among other things, the development, manufacture, production, advertising, marketing, promotion, distribution, importation, exportation, offer for sale and sale of specified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branded products sold outside the non-selective weedkiller category within the residential lawn and garden market. The consideration paid by Monsanto was $112.0 plus the value of finished goods inventory of $3.5. This consideration receivable was recorded in the “Prepaid and other current assets” line in the Consolidated Balance Sheets until it was received by the Company on January 13, 2020. The carrying value of the assets sold, which included the brand extension agreement intangible asset with a carrying value of $111.7, approximated the consideration received, resulting in an insignificant gain on the sale.</w:t>
      </w:r>
    </w:p>
    <w:p>
      <w:pPr>
        <w:spacing w:after="0" w:line="87"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elements of the net commission and reimbursements earned under the Restated Marketing Agreement and Third Restated Agreement and included in the “Net sales” line in the Consolidated Statements of Operations are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1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Gross commission</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17"/>
        </w:trPr>
        <w:tc>
          <w:tcPr>
            <w:tcW w:w="67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Net commission</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670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Reimbursements associated with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r>
      <w:tr>
        <w:trPr>
          <w:trHeight w:val="237"/>
        </w:trPr>
        <w:tc>
          <w:tcPr>
            <w:tcW w:w="6700" w:type="dxa"/>
            <w:vAlign w:val="bottom"/>
            <w:shd w:val="clear" w:color="auto" w:fill="CCEEFF"/>
          </w:tcPr>
          <w:p>
            <w:pPr>
              <w:ind w:left="340"/>
              <w:spacing w:after="0" w:line="217" w:lineRule="exact"/>
              <w:rPr>
                <w:sz w:val="20"/>
                <w:szCs w:val="20"/>
                <w:color w:val="auto"/>
              </w:rPr>
            </w:pPr>
            <w:r>
              <w:rPr>
                <w:rFonts w:ascii="Arial" w:cs="Arial" w:eastAsia="Arial" w:hAnsi="Arial"/>
                <w:sz w:val="18"/>
                <w:szCs w:val="18"/>
                <w:color w:val="auto"/>
              </w:rPr>
              <w:t>Total net sales associated with 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ACQUISITIONS AND INVESTMENTS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Rhizoflora</w:t>
      </w:r>
    </w:p>
    <w:p>
      <w:pPr>
        <w:spacing w:after="0" w:line="161" w:lineRule="exact"/>
        <w:rPr>
          <w:sz w:val="20"/>
          <w:szCs w:val="20"/>
          <w:color w:val="auto"/>
        </w:rPr>
      </w:pPr>
    </w:p>
    <w:p>
      <w:pPr>
        <w:jc w:val="both"/>
        <w:ind w:firstLine="394"/>
        <w:spacing w:after="0" w:line="252" w:lineRule="auto"/>
        <w:rPr>
          <w:sz w:val="20"/>
          <w:szCs w:val="20"/>
          <w:color w:val="auto"/>
        </w:rPr>
      </w:pPr>
      <w:r>
        <w:rPr>
          <w:rFonts w:ascii="Arial" w:cs="Arial" w:eastAsia="Arial" w:hAnsi="Arial"/>
          <w:sz w:val="17"/>
          <w:szCs w:val="17"/>
          <w:color w:val="auto"/>
        </w:rPr>
        <w:t>On August 13, 2021, the Company’s Hawthorne segment completed the acquisition of substantially all of the assets of Rhizoflora, Inc., manufacturer of terpene enhancing nutrient products Terpinator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Purpinator</w:t>
      </w:r>
      <w:r>
        <w:rPr>
          <w:rFonts w:ascii="Arial" w:cs="Arial" w:eastAsia="Arial" w:hAnsi="Arial"/>
          <w:sz w:val="21"/>
          <w:szCs w:val="21"/>
          <w:color w:val="auto"/>
          <w:vertAlign w:val="superscript"/>
        </w:rPr>
        <w:t>®</w:t>
      </w:r>
      <w:r>
        <w:rPr>
          <w:rFonts w:ascii="Arial" w:cs="Arial" w:eastAsia="Arial" w:hAnsi="Arial"/>
          <w:sz w:val="17"/>
          <w:szCs w:val="17"/>
          <w:color w:val="auto"/>
        </w:rPr>
        <w:t>, for $33.7. The valuation of the acquired assets included (i) $0.5 of inventory, (ii) $10.9 of finite-lived identifiable intangible assets and (iii) $22.2 of tax-deductible goodwill. Identifiable intangible assets included tradenames,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The Hawthorne Collective</w:t>
      </w:r>
    </w:p>
    <w:p>
      <w:pPr>
        <w:spacing w:after="0" w:line="148" w:lineRule="exact"/>
        <w:rPr>
          <w:sz w:val="20"/>
          <w:szCs w:val="20"/>
          <w:color w:val="auto"/>
        </w:rPr>
      </w:pPr>
    </w:p>
    <w:p>
      <w:pPr>
        <w:jc w:val="both"/>
        <w:ind w:firstLine="394"/>
        <w:spacing w:after="0" w:line="279" w:lineRule="auto"/>
        <w:rPr>
          <w:sz w:val="20"/>
          <w:szCs w:val="20"/>
          <w:color w:val="auto"/>
        </w:rPr>
      </w:pPr>
      <w:r>
        <w:rPr>
          <w:rFonts w:ascii="Arial" w:cs="Arial" w:eastAsia="Arial" w:hAnsi="Arial"/>
          <w:sz w:val="16"/>
          <w:szCs w:val="16"/>
          <w:color w:val="auto"/>
        </w:rPr>
        <w:t>On August 24, 2021, the Company’s newly formed subsidiary, The Hawthorne Collective, Inc., made its initial investment under the Company’s strategic minority non-equity investment initiative in the form of a $150.0 six-year convertible note issued to the Company by Toronto-based RIV Capital Inc. (“RIV Capital”) (CSE: RIV) (OTC: CNPOF), a cannabis investment and acquisition firm listed on the Canadian Securities Exchange. The note accrues interest at 2 percent annually for the first two years and provides additional follow-on investment rights. Accrued interest will be payable to The Hawthorne Collective, Inc. at maturity or will be included in the conversion value of the note at the time of conversion. The conversion feature, which is based upon the RIV Capital closing stock price on August 9, 2021, would provide the Company with approximately 42 percent ownership of RIV Capital if it exercises the conversion feature. In connection with the Company’s investment, RIV Capital increased the size of its Board of Directors from four to seven members, and added three nominees of the Company to the Board of Directors. The Company will not have control of or an active day-to-day role in RIV Capital nor any of the companies in which RIV Capital invests. RIV Capital has agreed to use the funds for general corporate and other lawful purposes, which could include acquisitions, and has agreed that the funds will not be used in connection with or for any cannabis or cannabis-related operations in the U.S. unless and until such operations comply with all applicable U.S. federal laws.</w:t>
      </w:r>
    </w:p>
    <w:p>
      <w:pPr>
        <w:spacing w:after="0" w:line="105" w:lineRule="exact"/>
        <w:rPr>
          <w:sz w:val="20"/>
          <w:szCs w:val="20"/>
          <w:color w:val="auto"/>
        </w:rPr>
      </w:pPr>
    </w:p>
    <w:p>
      <w:pPr>
        <w:jc w:val="both"/>
        <w:ind w:firstLine="394"/>
        <w:spacing w:after="0" w:line="290" w:lineRule="auto"/>
        <w:rPr>
          <w:sz w:val="20"/>
          <w:szCs w:val="20"/>
          <w:color w:val="auto"/>
        </w:rPr>
      </w:pPr>
      <w:r>
        <w:rPr>
          <w:rFonts w:ascii="Arial" w:cs="Arial" w:eastAsia="Arial" w:hAnsi="Arial"/>
          <w:sz w:val="16"/>
          <w:szCs w:val="16"/>
          <w:color w:val="auto"/>
        </w:rPr>
        <w:t>During the fourth quarter of fiscal 2021, The Hawthorne Collective, Inc. made additional minority non-equity investments of $43.1 million in other entities focused on branded cannabis and high quality genetics. These additional investments also include conversion features that would provide the Company with minority ownership interests if it exercises the conversion features. The investments include restrictions that the funds will not be used in connection with or for any cannabis or cannabis-related operations in the U.S. unless and until such operations comply with all applicable U.S. federal laws.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Hydro-Logic</w:t>
      </w:r>
    </w:p>
    <w:p>
      <w:pPr>
        <w:spacing w:after="0" w:line="161" w:lineRule="exact"/>
        <w:rPr>
          <w:sz w:val="20"/>
          <w:szCs w:val="20"/>
          <w:color w:val="auto"/>
        </w:rPr>
      </w:pPr>
    </w:p>
    <w:p>
      <w:pPr>
        <w:jc w:val="both"/>
        <w:ind w:firstLine="394"/>
        <w:spacing w:after="0" w:line="281" w:lineRule="auto"/>
        <w:rPr>
          <w:sz w:val="20"/>
          <w:szCs w:val="20"/>
          <w:color w:val="auto"/>
        </w:rPr>
      </w:pPr>
      <w:r>
        <w:rPr>
          <w:rFonts w:ascii="Arial" w:cs="Arial" w:eastAsia="Arial" w:hAnsi="Arial"/>
          <w:sz w:val="16"/>
          <w:szCs w:val="16"/>
          <w:color w:val="auto"/>
        </w:rPr>
        <w:t>On August 27, 2021, the Company’s Hawthorne segment completed the acquisition of substantially all of the assets of Hydro-Logic Purification Systems, Inc., a leading provider of products, accessories and systems for water filtration and purification, for $66.7. The purchase price is subject to a post-closing net working capital adjustment for which the Company has accrued its expected obligation of $1.7 as of September 30, 2021 in the “Other current liabilities” line in the Consolidated Balance Sheets. The valuation of the acquired assets included (i) $6.1 of inventory and accounts receivable, (ii) $1.7 of noncurrent assets, (iii) $2.5 of other liabilities, (iv) $23.1 of finite-lived identifiable intangible assets and (v) $38.3 of tax-deductible goodwill. Identifiable intangible assets included tradenames, customer relationships and non-complete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AeroGrow</w:t>
      </w:r>
    </w:p>
    <w:p>
      <w:pPr>
        <w:spacing w:after="0" w:line="82"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auto"/>
        </w:rPr>
        <w:t>On November 11, 2020, the Company entered into an agreement and plan of merger to acquire the remaining outstanding shares of AeroGrow for cash consideration of $3.00 per share, or approximately $20.1. The merger closed on February 26, 2021. Prior to closing, SMG Growing Media, Inc., a wholly-owned subsidiary of Scotts Miracle-Gro, was the holder of 80.5% of the outstanding shares of AeroGrow. The closing date carrying value of the noncontrolling interest was $6.7 and the $13.4 difference between the purchase price and carrying value was recognized in the “Common shares and capital in excess of $0.01 stated value per share” line within “Total equity—controlling interest” in the Consolidated Balance Sheets.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IN UNCONSOLIDATED AFFILIATES</w:t>
      </w:r>
    </w:p>
    <w:p>
      <w:pPr>
        <w:spacing w:after="0" w:line="101"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6"/>
          <w:szCs w:val="16"/>
          <w:color w:val="auto"/>
        </w:rPr>
        <w:t>On December 31, 2020, pursuant to the terms of the Contribution and Unit Purchase Agreement between the Company and AFC, the Company acquired a 50% equity interest in the Bonnie Plants business of planting, growing, developing, manufacturing, distributing, marketing, and selling live plants, plant food, fertilizer and potting soil through a newly formed joint venture with AFC (“Bonnie Plants, LLC”) in exchange for cash payments of $102.3, as well as non-cash investing activities that included forgiveness of the Company’s outstanding loan receivable with AFC and surrender of the Company’s options to increase its economic interest in the Bonnie Plants business. The Company’s loan receivable with AFC, which was previously recognized in the “Other assets” line in the Consolidated Balance Sheets, had a carrying value of $66.4 on December 31, 2020 and the Company recognized a gain of $12.5 during the first quarter of fiscal 2021 to write-up the value of the loan to its closing date fair value of $78.9 in the “Other non-operating income, net” line in the Consolidated Statements of Operations. The Company’s options to increase its economic interest in the Bonnie Plants business were previously recognized in the “Other assets” line in the Consolidated Balance Sheets and had an estimated fair value of $23.3 on December 31, 2020. The Company’s interest in Bonnie Plants, LLC had an initial fair value of $202.9 and is recorded in the “Investment in unconsolidated affiliates” line in the Consolidated Balance Sheets. The estimated fair value of the loan receivable with AFC was determined using an income-based approach, which includes market participant expectations of cash flows over the remaining useful life discounted to present value using an appropriate discount rate. The fair value estimate utilized significant unobservable inputs and thus represents a Level 3 nonrecurring fair value measurement.</w:t>
      </w:r>
    </w:p>
    <w:p>
      <w:pPr>
        <w:spacing w:after="0" w:line="5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The Company’s interest is accounted for using the equity method of accounting, with the Company’s proportionate share of Bonnie Plants, LLC earnings subsequent to December 31, 2020 reflected in the Consolidated Statements of Operations. During fiscal 2021, the Company recorded equity in income of unconsolidated affiliates of $14.4 associated with Bonnie Plants, LLC. The Company also received a distribution of $12.0 from Bonnie Plants, LLC during fiscal 2021, which was classified as an operating activity in the Consolidated Statements of Cash Flows.</w:t>
      </w:r>
    </w:p>
    <w:p>
      <w:pPr>
        <w:spacing w:after="0" w:line="31"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On March 19, 2019, the Company entered into an agreement under which it sold, to TruGreen Companies L.L.C., a subsidiary of TruGreen Holdings, all of its approximately 30% equity interest in Outdoor Home Services Holdings LLC, a lawn services joint venture between the Company and TruGreen Holding Corporation (the “TruGreen Joint Venture”). In connection with this transaction, the Company received cash proceeds of $234.2 related to the sale of its equity interest in the TruGreen Joint Venture and $18.4 related to the payoff of second lien term loan financing by the TruGreen Joint Venture. During fiscal 2019, the Company also received a distribution from the TruGreen Joint Venture intended to cover certain required tax payments of $3.5, which was classified as an investing activity in the Consolidated Statements of Cash Flows. During fiscal 2019, the Company recognized a pre-tax gain of $259.8 related to this sale in the “Other non-operating income, net” line in the Consolidated Statements of Operations. The Company made cash tax payments of $99.5 during fiscal 2019 as a result of the sale of the Company’s equity interest.</w:t>
      </w:r>
    </w:p>
    <w:p>
      <w:pPr>
        <w:spacing w:after="0" w:line="5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During the fourth quarter of fiscal 2017, the Company made a $29.4 investment in an unconsolidated subsidiary whose products support the professional U.S. industrial, turf and ornamental market (the “IT&amp;O Joint Venture”). On April 1, 2019, the Company sold all of its noncontrolling equity interest in the IT&amp;O Joint Venture for cash proceeds of $36.6. During fiscal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3" w:name="page84"/>
    <w:bookmarkEnd w:id="83"/>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2019, the Company recognized a pre-tax gain of $2.9 related to this sale in the “Other non-operating income, net” line in the Consolidated Statements of Operations. During fiscal 2019, the Company received a distribution of net earnings from the IT&amp;O Joint Venture of $4.9, which was classified as an operating activity in the Consolidated Statements of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RETIREMENT PLANS</w:t>
      </w:r>
    </w:p>
    <w:p>
      <w:pPr>
        <w:spacing w:after="0" w:line="10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employees on their initial 4% contribution. The Company recorded charges of $30.1, $27.7 and $18.9 under the plan in fiscal 2021, fiscal 2020 and fiscal 2019, respectively.</w:t>
      </w:r>
    </w:p>
    <w:p>
      <w:pPr>
        <w:spacing w:after="0" w:line="74"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consistent with statutory requirements and tax considerations, is based on actuarial computations using the Projected Unit Credit method.</w:t>
      </w:r>
    </w:p>
    <w:p>
      <w:pPr>
        <w:spacing w:after="0" w:line="61"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During fiscal 2021, a defined benefit pension plan associated with the former business in the United Kingdom entered into a buy-in insurance policy in exchange for a premium payment of $67.7, which is subject to adjustment as a result of subsequent data cleansing activities. Under the terms of this buy-in insurance policy, the insurer is liable to pay the benefits to the plan but the plan still retains full legal responsibility to pay the benefits to the members of the plan using the insurance payments. The buy-in policy will be treated as an asset of the plan going forward until such time as the buy-in policy is converted to a buy-out policy, which is when individual insurance policies will be assigned to each member of the plan and the plan will no longer have legal responsibility to pay the benefits to the members.</w:t>
      </w:r>
    </w:p>
    <w:p>
      <w:pPr>
        <w:spacing w:after="0" w:line="76"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U.S. Defined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16"/>
              <w:spacing w:after="0"/>
              <w:rPr>
                <w:sz w:val="20"/>
                <w:szCs w:val="20"/>
                <w:color w:val="auto"/>
              </w:rPr>
            </w:pPr>
            <w:r>
              <w:rPr>
                <w:rFonts w:ascii="Arial" w:cs="Arial" w:eastAsia="Arial" w:hAnsi="Arial"/>
                <w:sz w:val="14"/>
                <w:szCs w:val="14"/>
                <w:b w:val="1"/>
                <w:bCs w:val="1"/>
                <w:color w:val="auto"/>
                <w:w w:val="95"/>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3"/>
          </w:tcPr>
          <w:p>
            <w:pPr>
              <w:jc w:val="center"/>
              <w:ind w:left="516"/>
              <w:spacing w:after="0" w:line="131"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234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rPr>
              <w:t>Benefit Pension Plans</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87"/>
              </w:rPr>
              <w:t>Benefit Pension Plans</w:t>
            </w:r>
          </w:p>
        </w:tc>
        <w:tc>
          <w:tcPr>
            <w:tcW w:w="0" w:type="dxa"/>
            <w:vAlign w:val="bottom"/>
          </w:tcPr>
          <w:p>
            <w:pPr>
              <w:spacing w:after="0"/>
              <w:rPr>
                <w:sz w:val="1"/>
                <w:szCs w:val="1"/>
                <w:color w:val="auto"/>
              </w:rPr>
            </w:pPr>
          </w:p>
        </w:tc>
      </w:tr>
      <w:tr>
        <w:trPr>
          <w:trHeight w:val="177"/>
        </w:trPr>
        <w:tc>
          <w:tcPr>
            <w:tcW w:w="54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5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Change in projected benefit obligation: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109.8</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Actuarial (gain) loss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2"/>
        </w:trPr>
        <w:tc>
          <w:tcPr>
            <w:tcW w:w="546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Projected benefit obligation (“PBO”) at end of year</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Accumulated benefit obligation (“ABO”) at end of year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100.2</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75"/>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109.8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Change in plan assets: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860" w:type="dxa"/>
            <w:vAlign w:val="bottom"/>
          </w:tcPr>
          <w:p>
            <w:pPr>
              <w:jc w:val="right"/>
              <w:ind w:right="67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Employer contribution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2"/>
        </w:trPr>
        <w:tc>
          <w:tcPr>
            <w:tcW w:w="546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Fair value of plan assets at end of year</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Overfunded (underfunded) status at end of year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(18.5)</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75"/>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2"/>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2"/>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5460" w:type="dxa"/>
            <w:vAlign w:val="bottom"/>
          </w:tcPr>
          <w:p>
            <w:pPr>
              <w:spacing w:after="0"/>
              <w:rPr>
                <w:sz w:val="24"/>
                <w:szCs w:val="24"/>
                <w:color w:val="auto"/>
              </w:rPr>
            </w:pPr>
          </w:p>
        </w:tc>
        <w:tc>
          <w:tcPr>
            <w:tcW w:w="860" w:type="dxa"/>
            <w:vAlign w:val="bottom"/>
          </w:tcPr>
          <w:p>
            <w:pPr>
              <w:jc w:val="right"/>
              <w:ind w:right="516"/>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4" w:name="page85"/>
    <w:bookmarkEnd w:id="84"/>
    <w:p>
      <w:pPr>
        <w:ind w:left="20"/>
        <w:spacing w:after="0"/>
        <w:tabs>
          <w:tab w:leader="none" w:pos="3900" w:val="left"/>
        </w:tabs>
        <w:rPr>
          <w:rFonts w:ascii="Arial" w:cs="Arial" w:eastAsia="Arial" w:hAnsi="Arial"/>
          <w:sz w:val="18"/>
          <w:szCs w:val="18"/>
          <w:b w:val="1"/>
          <w:bCs w:val="1"/>
          <w:color w:val="auto"/>
        </w:rPr>
      </w:pPr>
      <w:hyperlink w:anchor="page1">
        <w:r>
          <w:rPr>
            <w:rFonts w:ascii="Arial" w:cs="Arial" w:eastAsia="Arial" w:hAnsi="Arial"/>
            <w:sz w:val="28"/>
            <w:szCs w:val="28"/>
            <w:color w:val="FFFFFF"/>
            <w:vertAlign w:val="superscript"/>
          </w:rPr>
          <w:t>Table of Contents</w:t>
        </w:r>
      </w:hyperlink>
      <w:r>
        <w:rPr>
          <w:rFonts w:ascii="Arial" w:cs="Arial" w:eastAsia="Arial" w:hAnsi="Arial"/>
          <w:sz w:val="18"/>
          <w:szCs w:val="18"/>
          <w:b w:val="1"/>
          <w:bCs w:val="1"/>
          <w:color w:val="auto"/>
        </w:rPr>
        <w:tab/>
      </w:r>
      <w:r>
        <w:rPr>
          <w:rFonts w:ascii="Arial" w:cs="Arial" w:eastAsia="Arial" w:hAnsi="Arial"/>
          <w:sz w:val="16"/>
          <w:szCs w:val="16"/>
          <w:b w:val="1"/>
          <w:bCs w:val="1"/>
          <w:color w:val="auto"/>
        </w:rPr>
        <w:t>THE SCOTTS MIRACLE-GRO COMPANY</w:t>
      </w:r>
    </w:p>
    <w:p>
      <w:pPr>
        <w:jc w:val="center"/>
        <w:spacing w:after="0" w:line="188" w:lineRule="auto"/>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3"/>
            <w:vMerge w:val="restart"/>
          </w:tcPr>
          <w:p>
            <w:pPr>
              <w:jc w:val="right"/>
              <w:ind w:right="435"/>
              <w:spacing w:after="0"/>
              <w:rPr>
                <w:sz w:val="20"/>
                <w:szCs w:val="20"/>
                <w:color w:val="auto"/>
              </w:rPr>
            </w:pPr>
            <w:r>
              <w:rPr>
                <w:rFonts w:ascii="Arial" w:cs="Arial" w:eastAsia="Arial" w:hAnsi="Arial"/>
                <w:sz w:val="14"/>
                <w:szCs w:val="14"/>
                <w:b w:val="1"/>
                <w:bCs w:val="1"/>
                <w:color w:val="auto"/>
              </w:rPr>
              <w:t>U.S. Defined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3"/>
          </w:tcPr>
          <w:p>
            <w:pPr>
              <w:jc w:val="center"/>
              <w:ind w:left="517"/>
              <w:spacing w:after="0"/>
              <w:rPr>
                <w:sz w:val="20"/>
                <w:szCs w:val="20"/>
                <w:color w:val="auto"/>
              </w:rPr>
            </w:pPr>
            <w:r>
              <w:rPr>
                <w:rFonts w:ascii="Arial" w:cs="Arial" w:eastAsia="Arial" w:hAnsi="Arial"/>
                <w:sz w:val="14"/>
                <w:szCs w:val="14"/>
                <w:b w:val="1"/>
                <w:bCs w:val="1"/>
                <w:color w:val="auto"/>
                <w:w w:val="95"/>
              </w:rPr>
              <w:t>International</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0" w:type="dxa"/>
            <w:vAlign w:val="bottom"/>
            <w:gridSpan w:val="3"/>
          </w:tcPr>
          <w:p>
            <w:pPr>
              <w:jc w:val="center"/>
              <w:ind w:left="517"/>
              <w:spacing w:after="0" w:line="131"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232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Benefit Pension Plans</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center"/>
              <w:ind w:right="234"/>
              <w:spacing w:after="0"/>
              <w:rPr>
                <w:sz w:val="20"/>
                <w:szCs w:val="20"/>
                <w:color w:val="auto"/>
              </w:rPr>
            </w:pPr>
            <w:r>
              <w:rPr>
                <w:rFonts w:ascii="Arial" w:cs="Arial" w:eastAsia="Arial" w:hAnsi="Arial"/>
                <w:sz w:val="14"/>
                <w:szCs w:val="14"/>
                <w:b w:val="1"/>
                <w:bCs w:val="1"/>
                <w:color w:val="auto"/>
                <w:w w:val="87"/>
              </w:rPr>
              <w:t>Benefit Pension Plans</w:t>
            </w:r>
          </w:p>
        </w:tc>
        <w:tc>
          <w:tcPr>
            <w:tcW w:w="0" w:type="dxa"/>
            <w:vAlign w:val="bottom"/>
          </w:tcPr>
          <w:p>
            <w:pPr>
              <w:spacing w:after="0"/>
              <w:rPr>
                <w:sz w:val="1"/>
                <w:szCs w:val="1"/>
                <w:color w:val="auto"/>
              </w:rPr>
            </w:pPr>
          </w:p>
        </w:tc>
      </w:tr>
      <w:tr>
        <w:trPr>
          <w:trHeight w:val="177"/>
        </w:trPr>
        <w:tc>
          <w:tcPr>
            <w:tcW w:w="54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w w:val="92"/>
              </w:rPr>
              <w:t>Information for pension plans with an ABO in excess of plan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100.2</w:t>
            </w:r>
          </w:p>
        </w:tc>
        <w:tc>
          <w:tcPr>
            <w:tcW w:w="100" w:type="dxa"/>
            <w:vAlign w:val="bottom"/>
          </w:tcPr>
          <w:p>
            <w:pPr>
              <w:spacing w:after="0"/>
              <w:rPr>
                <w:sz w:val="19"/>
                <w:szCs w:val="19"/>
                <w:color w:val="auto"/>
              </w:rPr>
            </w:pP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109.8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w w:val="94"/>
              </w:rPr>
              <w:t>Information for pension plans with a PBO in excess of plan assets: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Fair value of plan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Amounts recognized in the Consolidated Balance Sheets consist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60" w:type="dxa"/>
            <w:vAlign w:val="bottom"/>
          </w:tcPr>
          <w:p>
            <w:pPr>
              <w:jc w:val="right"/>
              <w:ind w:right="657"/>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5"/>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4"/>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amount accrued</w:t>
            </w:r>
          </w:p>
        </w:tc>
        <w:tc>
          <w:tcPr>
            <w:tcW w:w="86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Amounts recognized in AOCL consist of:</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44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w:t>
            </w:r>
          </w:p>
        </w:tc>
        <w:tc>
          <w:tcPr>
            <w:tcW w:w="86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8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2"/>
        </w:trPr>
        <w:tc>
          <w:tcPr>
            <w:tcW w:w="544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amount recognized</w:t>
            </w:r>
          </w:p>
        </w:tc>
        <w:tc>
          <w:tcPr>
            <w:tcW w:w="860" w:type="dxa"/>
            <w:vAlign w:val="bottom"/>
            <w:tcBorders>
              <w:top w:val="single" w:sz="8" w:color="auto"/>
              <w:bottom w:val="single" w:sz="8" w:color="auto"/>
            </w:tcBorders>
            <w:shd w:val="clear" w:color="auto" w:fill="CCEEFF"/>
          </w:tcPr>
          <w:p>
            <w:pPr>
              <w:jc w:val="right"/>
              <w:ind w:right="65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U.S. Defined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center"/>
              <w:ind w:left="138"/>
              <w:spacing w:after="0"/>
              <w:rPr>
                <w:sz w:val="20"/>
                <w:szCs w:val="20"/>
                <w:color w:val="auto"/>
              </w:rPr>
            </w:pPr>
            <w:r>
              <w:rPr>
                <w:rFonts w:ascii="Arial" w:cs="Arial" w:eastAsia="Arial" w:hAnsi="Arial"/>
                <w:sz w:val="14"/>
                <w:szCs w:val="14"/>
                <w:b w:val="1"/>
                <w:bCs w:val="1"/>
                <w:color w:val="auto"/>
                <w:w w:val="95"/>
              </w:rPr>
              <w:t>International</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5"/>
          </w:tcPr>
          <w:p>
            <w:pPr>
              <w:jc w:val="center"/>
              <w:ind w:left="138"/>
              <w:spacing w:after="0" w:line="131" w:lineRule="exact"/>
              <w:rPr>
                <w:sz w:val="20"/>
                <w:szCs w:val="20"/>
                <w:color w:val="auto"/>
              </w:rPr>
            </w:pPr>
            <w:r>
              <w:rPr>
                <w:rFonts w:ascii="Arial" w:cs="Arial" w:eastAsia="Arial" w:hAnsi="Arial"/>
                <w:sz w:val="14"/>
                <w:szCs w:val="14"/>
                <w:b w:val="1"/>
                <w:bCs w:val="1"/>
                <w:color w:val="auto"/>
                <w:w w:val="93"/>
              </w:rPr>
              <w:t>Defined</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80" w:type="dxa"/>
            <w:vAlign w:val="bottom"/>
            <w:gridSpan w:val="6"/>
          </w:tcPr>
          <w:p>
            <w:pPr>
              <w:ind w:left="660"/>
              <w:spacing w:after="0"/>
              <w:rPr>
                <w:sz w:val="20"/>
                <w:szCs w:val="20"/>
                <w:color w:val="auto"/>
              </w:rPr>
            </w:pPr>
            <w:r>
              <w:rPr>
                <w:rFonts w:ascii="Arial" w:cs="Arial" w:eastAsia="Arial" w:hAnsi="Arial"/>
                <w:sz w:val="14"/>
                <w:szCs w:val="14"/>
                <w:b w:val="1"/>
                <w:bCs w:val="1"/>
                <w:color w:val="auto"/>
              </w:rPr>
              <w:t>Benefit Pension Plans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87"/>
              </w:rPr>
              <w:t>Benefit Pension Plans</w:t>
            </w:r>
          </w:p>
        </w:tc>
        <w:tc>
          <w:tcPr>
            <w:tcW w:w="0" w:type="dxa"/>
            <w:vAlign w:val="bottom"/>
          </w:tcPr>
          <w:p>
            <w:pPr>
              <w:spacing w:after="0"/>
              <w:rPr>
                <w:sz w:val="1"/>
                <w:szCs w:val="1"/>
                <w:color w:val="auto"/>
              </w:rPr>
            </w:pPr>
          </w:p>
        </w:tc>
      </w:tr>
      <w:tr>
        <w:trPr>
          <w:trHeight w:val="177"/>
        </w:trPr>
        <w:tc>
          <w:tcPr>
            <w:tcW w:w="37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6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w w:val="98"/>
              </w:rPr>
              <w:t>Total change in other comprehensive loss attributable to:</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Net gain (loss) during the period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w w:val="71"/>
              </w:rPr>
              <w:t>6.6</w:t>
            </w:r>
          </w:p>
        </w:tc>
        <w:tc>
          <w:tcPr>
            <w:tcW w:w="10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ind w:right="95"/>
              <w:spacing w:after="0"/>
              <w:rPr>
                <w:sz w:val="20"/>
                <w:szCs w:val="20"/>
                <w:color w:val="auto"/>
              </w:rPr>
            </w:pPr>
            <w:r>
              <w:rPr>
                <w:rFonts w:ascii="Arial" w:cs="Arial" w:eastAsia="Arial" w:hAnsi="Arial"/>
                <w:sz w:val="18"/>
                <w:szCs w:val="18"/>
                <w:color w:val="auto"/>
              </w:rPr>
              <w:t>(5.3)</w:t>
            </w: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95"/>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to net 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1"/>
              </w:rPr>
              <w:t>2.1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Total change in other comprehensive loss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
              <w:spacing w:after="0" w:line="190"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w w:val="71"/>
              </w:rPr>
              <w:t>8.7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5"/>
              <w:spacing w:after="0" w:line="190" w:lineRule="exact"/>
              <w:rPr>
                <w:sz w:val="20"/>
                <w:szCs w:val="20"/>
                <w:color w:val="auto"/>
              </w:rPr>
            </w:pPr>
            <w:r>
              <w:rPr>
                <w:rFonts w:ascii="Arial" w:cs="Arial" w:eastAsia="Arial" w:hAnsi="Arial"/>
                <w:sz w:val="18"/>
                <w:szCs w:val="18"/>
                <w:color w:val="auto"/>
              </w:rPr>
              <w:t>(3.5)</w:t>
            </w:r>
          </w:p>
        </w:tc>
        <w:tc>
          <w:tcPr>
            <w:tcW w:w="540" w:type="dxa"/>
            <w:vAlign w:val="bottom"/>
            <w:gridSpan w:val="2"/>
            <w:shd w:val="clear" w:color="auto" w:fill="CCEEFF"/>
          </w:tcPr>
          <w:p>
            <w:pPr>
              <w:jc w:val="right"/>
              <w:ind w:right="270"/>
              <w:spacing w:after="0" w:line="19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8"/>
              <w:spacing w:after="0" w:line="190"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5"/>
              <w:spacing w:after="0" w:line="190"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3"/>
            <w:vMerge w:val="restart"/>
          </w:tcPr>
          <w:p>
            <w:pPr>
              <w:ind w:left="20"/>
              <w:spacing w:after="0" w:line="157" w:lineRule="exact"/>
              <w:rPr>
                <w:sz w:val="20"/>
                <w:szCs w:val="20"/>
                <w:color w:val="auto"/>
              </w:rPr>
            </w:pPr>
            <w:r>
              <w:rPr>
                <w:rFonts w:ascii="Arial" w:cs="Arial" w:eastAsia="Arial" w:hAnsi="Arial"/>
                <w:sz w:val="18"/>
                <w:szCs w:val="18"/>
                <w:b w:val="1"/>
                <w:bCs w:val="1"/>
                <w:color w:val="auto"/>
                <w:w w:val="85"/>
              </w:rPr>
              <w:t>Weighted average assumptions used in development of projected</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8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benefit obligation:</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center"/>
              <w:ind w:right="77"/>
              <w:spacing w:after="0"/>
              <w:rPr>
                <w:sz w:val="20"/>
                <w:szCs w:val="20"/>
                <w:color w:val="auto"/>
              </w:rPr>
            </w:pPr>
            <w:r>
              <w:rPr>
                <w:rFonts w:ascii="Arial" w:cs="Arial" w:eastAsia="Arial" w:hAnsi="Arial"/>
                <w:sz w:val="14"/>
                <w:szCs w:val="14"/>
                <w:b w:val="1"/>
                <w:bCs w:val="1"/>
                <w:color w:val="auto"/>
                <w:w w:val="92"/>
              </w:rPr>
              <w:t>U.S. Defined</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International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87"/>
              </w:rPr>
              <w:t>Benefit Pension Plans</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9"/>
              </w:rPr>
              <w:t>Defined Benefit Pension Plans</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7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Components of net periodic benefit cost</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1.5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137"/>
              <w:spacing w:after="0"/>
              <w:rPr>
                <w:sz w:val="20"/>
                <w:szCs w:val="20"/>
                <w:color w:val="auto"/>
              </w:rPr>
            </w:pPr>
            <w:r>
              <w:rPr>
                <w:rFonts w:ascii="Arial" w:cs="Arial" w:eastAsia="Arial" w:hAnsi="Arial"/>
                <w:sz w:val="18"/>
                <w:szCs w:val="18"/>
                <w:color w:val="auto"/>
              </w:rPr>
              <w:t>2.6</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jc w:val="right"/>
              <w:ind w:right="1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620" w:type="dxa"/>
            <w:vAlign w:val="bottom"/>
          </w:tcPr>
          <w:p>
            <w:pPr>
              <w:jc w:val="right"/>
              <w:ind w:right="435"/>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amortization</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periodic benefit cost (income)</w:t>
            </w:r>
          </w:p>
        </w:tc>
        <w:tc>
          <w:tcPr>
            <w:tcW w:w="280" w:type="dxa"/>
            <w:vAlign w:val="bottom"/>
            <w:shd w:val="clear" w:color="auto" w:fill="CCEEFF"/>
          </w:tcPr>
          <w:p>
            <w:pPr>
              <w:jc w:val="right"/>
              <w:ind w:right="92"/>
              <w:spacing w:after="0" w:line="190"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15"/>
              <w:spacing w:after="0" w:line="190" w:lineRule="exact"/>
              <w:rPr>
                <w:sz w:val="20"/>
                <w:szCs w:val="20"/>
                <w:color w:val="auto"/>
              </w:rPr>
            </w:pPr>
            <w:r>
              <w:rPr>
                <w:rFonts w:ascii="Arial" w:cs="Arial" w:eastAsia="Arial" w:hAnsi="Arial"/>
                <w:sz w:val="18"/>
                <w:szCs w:val="18"/>
                <w:color w:val="auto"/>
              </w:rPr>
              <w:t>0.2</w:t>
            </w:r>
          </w:p>
        </w:tc>
        <w:tc>
          <w:tcPr>
            <w:tcW w:w="280" w:type="dxa"/>
            <w:vAlign w:val="bottom"/>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7"/>
              <w:spacing w:after="0" w:line="190" w:lineRule="exact"/>
              <w:rPr>
                <w:sz w:val="20"/>
                <w:szCs w:val="20"/>
                <w:color w:val="auto"/>
              </w:rPr>
            </w:pPr>
            <w:r>
              <w:rPr>
                <w:rFonts w:ascii="Arial" w:cs="Arial" w:eastAsia="Arial" w:hAnsi="Arial"/>
                <w:sz w:val="18"/>
                <w:szCs w:val="18"/>
                <w:color w:val="auto"/>
              </w:rPr>
              <w:t>0.5</w:t>
            </w:r>
          </w:p>
        </w:tc>
        <w:tc>
          <w:tcPr>
            <w:tcW w:w="42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6"/>
              <w:spacing w:after="0" w:line="190" w:lineRule="exact"/>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5"/>
              <w:spacing w:after="0" w:line="190" w:lineRule="exact"/>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90"/>
              <w:spacing w:after="0" w:line="190" w:lineRule="exact"/>
              <w:rPr>
                <w:sz w:val="20"/>
                <w:szCs w:val="20"/>
                <w:color w:val="auto"/>
              </w:rPr>
            </w:pPr>
            <w:r>
              <w:rPr>
                <w:rFonts w:ascii="Arial" w:cs="Arial" w:eastAsia="Arial" w:hAnsi="Arial"/>
                <w:sz w:val="18"/>
                <w:szCs w:val="18"/>
                <w:color w:val="auto"/>
                <w:w w:val="97"/>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line="190" w:lineRule="exact"/>
              <w:rPr>
                <w:sz w:val="20"/>
                <w:szCs w:val="20"/>
                <w:color w:val="auto"/>
              </w:rPr>
            </w:pPr>
            <w:r>
              <w:rPr>
                <w:rFonts w:ascii="Arial" w:cs="Arial" w:eastAsia="Arial" w:hAnsi="Arial"/>
                <w:sz w:val="18"/>
                <w:szCs w:val="18"/>
                <w:color w:val="auto"/>
              </w:rPr>
              <w:t>(3.2)</w:t>
            </w:r>
          </w:p>
        </w:tc>
        <w:tc>
          <w:tcPr>
            <w:tcW w:w="520" w:type="dxa"/>
            <w:vAlign w:val="bottom"/>
            <w:gridSpan w:val="3"/>
            <w:shd w:val="clear" w:color="auto" w:fill="CCEEFF"/>
          </w:tcPr>
          <w:p>
            <w:pPr>
              <w:jc w:val="right"/>
              <w:ind w:right="140"/>
              <w:spacing w:after="0" w:line="190"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5"/>
              <w:spacing w:after="0" w:line="190"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Arial" w:cs="Arial" w:eastAsia="Arial" w:hAnsi="Arial"/>
                <w:sz w:val="18"/>
                <w:szCs w:val="18"/>
                <w:b w:val="1"/>
                <w:bCs w:val="1"/>
                <w:color w:val="auto"/>
              </w:rPr>
              <w:t>Weighted average assumptions used 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7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20" w:type="dxa"/>
            <w:vAlign w:val="bottom"/>
          </w:tcPr>
          <w:p>
            <w:pPr>
              <w:ind w:left="20"/>
              <w:spacing w:after="0" w:line="171" w:lineRule="exact"/>
              <w:rPr>
                <w:sz w:val="20"/>
                <w:szCs w:val="20"/>
                <w:color w:val="auto"/>
              </w:rPr>
            </w:pPr>
            <w:r>
              <w:rPr>
                <w:rFonts w:ascii="Arial" w:cs="Arial" w:eastAsia="Arial" w:hAnsi="Arial"/>
                <w:sz w:val="18"/>
                <w:szCs w:val="18"/>
                <w:b w:val="1"/>
                <w:bCs w:val="1"/>
                <w:color w:val="auto"/>
              </w:rPr>
              <w:t>development of net periodic benefit cost</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interest cost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2.45 %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7"/>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37"/>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9"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82"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5" w:lineRule="exact"/>
        <w:rPr>
          <w:sz w:val="20"/>
          <w:szCs w:val="20"/>
          <w:color w:val="auto"/>
        </w:rPr>
      </w:pPr>
    </w:p>
    <w:p>
      <w:pPr>
        <w:jc w:val="both"/>
        <w:ind w:firstLine="434"/>
        <w:spacing w:after="0" w:line="283" w:lineRule="auto"/>
        <w:rPr>
          <w:sz w:val="20"/>
          <w:szCs w:val="20"/>
          <w:color w:val="auto"/>
        </w:rPr>
      </w:pPr>
      <w:r>
        <w:rPr>
          <w:rFonts w:ascii="Arial" w:cs="Arial" w:eastAsia="Arial" w:hAnsi="Arial"/>
          <w:sz w:val="16"/>
          <w:szCs w:val="16"/>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tbl>
      <w:tblPr>
        <w:tblLayout w:type="fixed"/>
        <w:tblInd w:w="0" w:type="dxa"/>
        <w:tblCellMar>
          <w:top w:w="0" w:type="dxa"/>
          <w:left w:w="0" w:type="dxa"/>
          <w:bottom w:w="0" w:type="dxa"/>
          <w:right w:w="0" w:type="dxa"/>
        </w:tblCellMar>
      </w:tblPr>
      <w:tr>
        <w:trPr>
          <w:trHeight w:val="143"/>
        </w:trPr>
        <w:tc>
          <w:tcPr>
            <w:tcW w:w="7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U.S. Defined</w:t>
            </w:r>
          </w:p>
        </w:tc>
        <w:tc>
          <w:tcPr>
            <w:tcW w:w="200" w:type="dxa"/>
            <w:vAlign w:val="bottom"/>
          </w:tcPr>
          <w:p>
            <w:pPr>
              <w:spacing w:after="0"/>
              <w:rPr>
                <w:sz w:val="12"/>
                <w:szCs w:val="12"/>
                <w:color w:val="auto"/>
              </w:rPr>
            </w:pPr>
          </w:p>
        </w:tc>
        <w:tc>
          <w:tcPr>
            <w:tcW w:w="1700" w:type="dxa"/>
            <w:vAlign w:val="bottom"/>
          </w:tcPr>
          <w:p>
            <w:pPr>
              <w:jc w:val="center"/>
              <w:ind w:right="135"/>
              <w:spacing w:after="0" w:line="143" w:lineRule="exact"/>
              <w:rPr>
                <w:sz w:val="20"/>
                <w:szCs w:val="20"/>
                <w:color w:val="auto"/>
              </w:rPr>
            </w:pPr>
            <w:r>
              <w:rPr>
                <w:rFonts w:ascii="Arial" w:cs="Arial" w:eastAsia="Arial" w:hAnsi="Arial"/>
                <w:sz w:val="14"/>
                <w:szCs w:val="14"/>
                <w:b w:val="1"/>
                <w:bCs w:val="1"/>
                <w:color w:val="auto"/>
                <w:w w:val="95"/>
              </w:rPr>
              <w:t>International</w:t>
            </w: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ind w:right="115"/>
              <w:spacing w:after="0" w:line="131" w:lineRule="exact"/>
              <w:rPr>
                <w:sz w:val="20"/>
                <w:szCs w:val="20"/>
                <w:color w:val="auto"/>
              </w:rPr>
            </w:pPr>
            <w:r>
              <w:rPr>
                <w:rFonts w:ascii="Arial" w:cs="Arial" w:eastAsia="Arial" w:hAnsi="Arial"/>
                <w:sz w:val="14"/>
                <w:szCs w:val="14"/>
                <w:b w:val="1"/>
                <w:bCs w:val="1"/>
                <w:color w:val="auto"/>
                <w:w w:val="89"/>
              </w:rPr>
              <w:t>Defined</w:t>
            </w:r>
          </w:p>
        </w:tc>
        <w:tc>
          <w:tcPr>
            <w:tcW w:w="0" w:type="dxa"/>
            <w:vAlign w:val="bottom"/>
          </w:tcPr>
          <w:p>
            <w:pPr>
              <w:spacing w:after="0"/>
              <w:rPr>
                <w:sz w:val="1"/>
                <w:szCs w:val="1"/>
                <w:color w:val="auto"/>
              </w:rPr>
            </w:pPr>
          </w:p>
        </w:tc>
      </w:tr>
      <w:tr>
        <w:trPr>
          <w:trHeight w:val="183"/>
        </w:trPr>
        <w:tc>
          <w:tcPr>
            <w:tcW w:w="7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Benefit Pension Plans</w:t>
            </w:r>
          </w:p>
        </w:tc>
        <w:tc>
          <w:tcPr>
            <w:tcW w:w="200" w:type="dxa"/>
            <w:vAlign w:val="bottom"/>
          </w:tcPr>
          <w:p>
            <w:pPr>
              <w:spacing w:after="0"/>
              <w:rPr>
                <w:sz w:val="15"/>
                <w:szCs w:val="15"/>
                <w:color w:val="auto"/>
              </w:rPr>
            </w:pPr>
          </w:p>
        </w:tc>
        <w:tc>
          <w:tcPr>
            <w:tcW w:w="1700" w:type="dxa"/>
            <w:vAlign w:val="bottom"/>
          </w:tcPr>
          <w:p>
            <w:pPr>
              <w:jc w:val="center"/>
              <w:ind w:right="135"/>
              <w:spacing w:after="0"/>
              <w:rPr>
                <w:sz w:val="20"/>
                <w:szCs w:val="20"/>
                <w:color w:val="auto"/>
              </w:rPr>
            </w:pPr>
            <w:r>
              <w:rPr>
                <w:rFonts w:ascii="Arial" w:cs="Arial" w:eastAsia="Arial" w:hAnsi="Arial"/>
                <w:sz w:val="14"/>
                <w:szCs w:val="14"/>
                <w:b w:val="1"/>
                <w:bCs w:val="1"/>
                <w:color w:val="auto"/>
                <w:w w:val="87"/>
              </w:rPr>
              <w:t>Benefit Pension Plans</w:t>
            </w:r>
          </w:p>
        </w:tc>
        <w:tc>
          <w:tcPr>
            <w:tcW w:w="0" w:type="dxa"/>
            <w:vAlign w:val="bottom"/>
          </w:tcPr>
          <w:p>
            <w:pPr>
              <w:spacing w:after="0"/>
              <w:rPr>
                <w:sz w:val="1"/>
                <w:szCs w:val="1"/>
                <w:color w:val="auto"/>
              </w:rPr>
            </w:pPr>
          </w:p>
        </w:tc>
      </w:tr>
      <w:tr>
        <w:trPr>
          <w:trHeight w:val="204"/>
        </w:trPr>
        <w:tc>
          <w:tcPr>
            <w:tcW w:w="73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information:</w:t>
            </w: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Plan asset allocations:</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Target for September 30, 2022:</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Arial" w:cs="Arial" w:eastAsia="Arial" w:hAnsi="Arial"/>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Arial" w:cs="Arial" w:eastAsia="Arial" w:hAnsi="Arial"/>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Insurance contracts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Arial" w:cs="Arial" w:eastAsia="Arial" w:hAnsi="Arial"/>
                <w:sz w:val="18"/>
                <w:szCs w:val="18"/>
                <w:color w:val="auto"/>
              </w:rPr>
              <w:t>September 30, 2021</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Real estate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Insurance contracts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Arial" w:cs="Arial" w:eastAsia="Arial" w:hAnsi="Arial"/>
                <w:sz w:val="18"/>
                <w:szCs w:val="18"/>
                <w:color w:val="auto"/>
              </w:rPr>
              <w:t>September 30, 2020</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Real estate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7300" w:type="dxa"/>
            <w:vAlign w:val="bottom"/>
          </w:tcPr>
          <w:p>
            <w:pPr>
              <w:ind w:left="6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7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8"/>
                <w:szCs w:val="18"/>
                <w:color w:val="auto"/>
              </w:rPr>
              <w:t>Expected company contributions in fiscal 2022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future benefit 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1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7300" w:type="dxa"/>
            <w:vAlign w:val="bottom"/>
          </w:tcPr>
          <w:p>
            <w:pPr>
              <w:ind w:left="34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4"/>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2027 – 2031</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the fair value of the Company’s pension plan assets, segregated by level within the fair value hierarchy:</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vMerge w:val="restart"/>
          </w:tcPr>
          <w:p>
            <w:pPr>
              <w:jc w:val="center"/>
              <w:ind w:left="457"/>
              <w:spacing w:after="0"/>
              <w:rPr>
                <w:sz w:val="20"/>
                <w:szCs w:val="20"/>
                <w:color w:val="auto"/>
              </w:rPr>
            </w:pPr>
            <w:r>
              <w:rPr>
                <w:rFonts w:ascii="Arial" w:cs="Arial" w:eastAsia="Arial" w:hAnsi="Arial"/>
                <w:sz w:val="14"/>
                <w:szCs w:val="14"/>
                <w:b w:val="1"/>
                <w:bCs w:val="1"/>
                <w:color w:val="auto"/>
                <w:w w:val="89"/>
              </w:rPr>
              <w:t>U.S. Defined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5"/>
              </w:rPr>
              <w:t>International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jc w:val="center"/>
              <w:ind w:left="418"/>
              <w:spacing w:after="0" w:line="131" w:lineRule="exact"/>
              <w:rPr>
                <w:sz w:val="20"/>
                <w:szCs w:val="20"/>
                <w:color w:val="auto"/>
              </w:rPr>
            </w:pPr>
            <w:r>
              <w:rPr>
                <w:rFonts w:ascii="Arial" w:cs="Arial" w:eastAsia="Arial" w:hAnsi="Arial"/>
                <w:sz w:val="14"/>
                <w:szCs w:val="14"/>
                <w:b w:val="1"/>
                <w:bCs w:val="1"/>
                <w:color w:val="auto"/>
                <w:w w:val="93"/>
              </w:rPr>
              <w:t>Defined</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Benefit Pension Plans</w:t>
            </w:r>
          </w:p>
        </w:tc>
        <w:tc>
          <w:tcPr>
            <w:tcW w:w="280" w:type="dxa"/>
            <w:vAlign w:val="bottom"/>
          </w:tcPr>
          <w:p>
            <w:pPr>
              <w:spacing w:after="0"/>
              <w:rPr>
                <w:sz w:val="15"/>
                <w:szCs w:val="15"/>
                <w:color w:val="auto"/>
              </w:rPr>
            </w:pPr>
          </w:p>
        </w:tc>
        <w:tc>
          <w:tcPr>
            <w:tcW w:w="2220" w:type="dxa"/>
            <w:vAlign w:val="bottom"/>
            <w:gridSpan w:val="4"/>
          </w:tcPr>
          <w:p>
            <w:pPr>
              <w:jc w:val="center"/>
              <w:ind w:right="214"/>
              <w:spacing w:after="0"/>
              <w:rPr>
                <w:sz w:val="20"/>
                <w:szCs w:val="20"/>
                <w:color w:val="auto"/>
              </w:rPr>
            </w:pPr>
            <w:r>
              <w:rPr>
                <w:rFonts w:ascii="Arial" w:cs="Arial" w:eastAsia="Arial" w:hAnsi="Arial"/>
                <w:sz w:val="14"/>
                <w:szCs w:val="14"/>
                <w:b w:val="1"/>
                <w:bCs w:val="1"/>
                <w:color w:val="auto"/>
                <w:w w:val="87"/>
              </w:rPr>
              <w:t>Benefit Pension Plans</w:t>
            </w:r>
          </w:p>
        </w:tc>
        <w:tc>
          <w:tcPr>
            <w:tcW w:w="0" w:type="dxa"/>
            <w:vAlign w:val="bottom"/>
          </w:tcPr>
          <w:p>
            <w:pPr>
              <w:spacing w:after="0"/>
              <w:rPr>
                <w:sz w:val="1"/>
                <w:szCs w:val="1"/>
                <w:color w:val="auto"/>
              </w:rPr>
            </w:pPr>
          </w:p>
        </w:tc>
      </w:tr>
      <w:tr>
        <w:trPr>
          <w:trHeight w:val="113"/>
        </w:trPr>
        <w:tc>
          <w:tcPr>
            <w:tcW w:w="4480" w:type="dxa"/>
            <w:vAlign w:val="bottom"/>
          </w:tcPr>
          <w:p>
            <w:pPr>
              <w:spacing w:after="0"/>
              <w:rPr>
                <w:sz w:val="9"/>
                <w:szCs w:val="9"/>
                <w:color w:val="auto"/>
              </w:rPr>
            </w:pPr>
          </w:p>
        </w:tc>
        <w:tc>
          <w:tcPr>
            <w:tcW w:w="1620" w:type="dxa"/>
            <w:vAlign w:val="bottom"/>
            <w:gridSpan w:val="2"/>
          </w:tcPr>
          <w:p>
            <w:pPr>
              <w:jc w:val="center"/>
              <w:ind w:right="100"/>
              <w:spacing w:after="0" w:line="113" w:lineRule="exact"/>
              <w:rPr>
                <w:sz w:val="20"/>
                <w:szCs w:val="20"/>
                <w:color w:val="auto"/>
              </w:rPr>
            </w:pPr>
            <w:r>
              <w:rPr>
                <w:rFonts w:ascii="Arial" w:cs="Arial" w:eastAsia="Arial" w:hAnsi="Arial"/>
                <w:sz w:val="13"/>
                <w:szCs w:val="13"/>
                <w:b w:val="1"/>
                <w:bCs w:val="1"/>
                <w:color w:val="auto"/>
              </w:rPr>
              <w:t>Fair Value Hierarchy</w:t>
            </w: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vMerge w:val="restart"/>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Level</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Level 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Insurance contracts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Level 3</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48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Total assets in the fair value hierarchy</w:t>
            </w: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Common collective trusts measured at net asset value</w:t>
            </w: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8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Real estate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120"/>
              <w:spacing w:after="0"/>
              <w:rPr>
                <w:sz w:val="20"/>
                <w:szCs w:val="20"/>
                <w:color w:val="auto"/>
              </w:rPr>
            </w:pPr>
            <w:r>
              <w:rPr>
                <w:rFonts w:ascii="Arial" w:cs="Arial" w:eastAsia="Arial" w:hAnsi="Arial"/>
                <w:sz w:val="18"/>
                <w:szCs w:val="18"/>
                <w:color w:val="auto"/>
              </w:rPr>
              <w:t>Equities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CEEFF"/>
            </w:tcBorders>
          </w:tcPr>
          <w:p>
            <w:pPr>
              <w:ind w:left="240"/>
              <w:spacing w:after="0" w:line="203" w:lineRule="exact"/>
              <w:rPr>
                <w:sz w:val="20"/>
                <w:szCs w:val="20"/>
                <w:color w:val="auto"/>
              </w:rPr>
            </w:pPr>
            <w:r>
              <w:rPr>
                <w:rFonts w:ascii="Arial" w:cs="Arial" w:eastAsia="Arial" w:hAnsi="Arial"/>
                <w:sz w:val="18"/>
                <w:szCs w:val="18"/>
                <w:color w:val="auto"/>
                <w:w w:val="89"/>
              </w:rPr>
              <w:t>Total common collective trusts measured at net asset value</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Total assets at fair value</w:t>
            </w: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The carrying value of cash equivalents approximated their aggregate fair value as of September 30, 2021 and 2020. The valuation for the buy-in insurance policy is calculated on an insurer pricing basis and is estimated using unobservable inputs. Common collective trusts are not publicly traded and were valued at a net asset value unit price determined by the portfolio’s sponsor based on the fair value of underlying assets held by the common collective trust on September 30, 2021 and 2020. The common collective trusts hold underlying investments that have prices derived from quoted prices in active markets. The underlying assets are principally marketable equity and fixed income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ASSOCIATE MEDICAL BENEFITS</w:t>
      </w:r>
    </w:p>
    <w:p>
      <w:pPr>
        <w:spacing w:after="0" w:line="10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The Company provides comprehensive major medical benefits to its associates. The Company is self-insured for certain health benefits up to $0.7 per occurrence per individual. The cost of such benefits is recognized as expense in the period the claim is incurred. This cost was $43.7, $34.2 and $31.4 in fiscal 2021, fiscal 2020 and fiscal 2019, respectively.</w:t>
      </w:r>
    </w:p>
    <w:p>
      <w:pPr>
        <w:spacing w:after="0" w:line="58"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as claims are paid.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following tables set forth information about the retiree medical plan for domestic associates. The retiree medical plan is valued using a September 30 measurement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r>
      <w:tr>
        <w:trPr>
          <w:trHeight w:val="209"/>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Change in Accumulated Plan Benefit Obligation (APBO):</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3"/>
        </w:trPr>
        <w:tc>
          <w:tcPr>
            <w:tcW w:w="7280" w:type="dxa"/>
            <w:vAlign w:val="bottom"/>
          </w:tcPr>
          <w:p>
            <w:pPr>
              <w:ind w:left="460"/>
              <w:spacing w:after="0"/>
              <w:rPr>
                <w:sz w:val="20"/>
                <w:szCs w:val="20"/>
                <w:color w:val="auto"/>
              </w:rPr>
            </w:pPr>
            <w:r>
              <w:rPr>
                <w:rFonts w:ascii="Arial" w:cs="Arial" w:eastAsia="Arial" w:hAnsi="Arial"/>
                <w:sz w:val="18"/>
                <w:szCs w:val="18"/>
                <w:color w:val="auto"/>
              </w:rPr>
              <w:t>Benefit obligation at beginning of year</w:t>
            </w:r>
          </w:p>
        </w:tc>
        <w:tc>
          <w:tcPr>
            <w:tcW w:w="1380" w:type="dxa"/>
            <w:vAlign w:val="bottom"/>
          </w:tcPr>
          <w:p>
            <w:pPr>
              <w:jc w:val="right"/>
              <w:ind w:right="755"/>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4"/>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280" w:type="dxa"/>
            <w:vAlign w:val="bottom"/>
          </w:tcPr>
          <w:p>
            <w:pPr>
              <w:ind w:left="460"/>
              <w:spacing w:after="0"/>
              <w:rPr>
                <w:sz w:val="20"/>
                <w:szCs w:val="20"/>
                <w:color w:val="auto"/>
              </w:rPr>
            </w:pPr>
            <w:r>
              <w:rPr>
                <w:rFonts w:ascii="Arial" w:cs="Arial" w:eastAsia="Arial" w:hAnsi="Arial"/>
                <w:sz w:val="18"/>
                <w:szCs w:val="18"/>
                <w:color w:val="auto"/>
              </w:rPr>
              <w:t>Interest cost</w:t>
            </w: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4"/>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Plan participants’ contributions</w:t>
            </w: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7280" w:type="dxa"/>
            <w:vAlign w:val="bottom"/>
          </w:tcPr>
          <w:p>
            <w:pPr>
              <w:ind w:left="460"/>
              <w:spacing w:after="0"/>
              <w:rPr>
                <w:sz w:val="20"/>
                <w:szCs w:val="20"/>
                <w:color w:val="auto"/>
              </w:rPr>
            </w:pPr>
            <w:r>
              <w:rPr>
                <w:rFonts w:ascii="Arial" w:cs="Arial" w:eastAsia="Arial" w:hAnsi="Arial"/>
                <w:sz w:val="18"/>
                <w:szCs w:val="18"/>
                <w:color w:val="auto"/>
              </w:rPr>
              <w:t>Actuarial (gain) loss</w:t>
            </w: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4"/>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Benefits paid</w:t>
            </w:r>
          </w:p>
        </w:tc>
        <w:tc>
          <w:tcPr>
            <w:tcW w:w="1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80" w:type="dxa"/>
            <w:vAlign w:val="bottom"/>
          </w:tcPr>
          <w:p>
            <w:pPr>
              <w:ind w:left="460"/>
              <w:spacing w:after="0" w:line="203" w:lineRule="exact"/>
              <w:rPr>
                <w:sz w:val="20"/>
                <w:szCs w:val="20"/>
                <w:color w:val="auto"/>
              </w:rPr>
            </w:pPr>
            <w:r>
              <w:rPr>
                <w:rFonts w:ascii="Arial" w:cs="Arial" w:eastAsia="Arial" w:hAnsi="Arial"/>
                <w:sz w:val="18"/>
                <w:szCs w:val="18"/>
                <w:color w:val="auto"/>
              </w:rPr>
              <w:t>Benefit obligation at end of year</w:t>
            </w:r>
          </w:p>
        </w:tc>
        <w:tc>
          <w:tcPr>
            <w:tcW w:w="138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0"/>
        </w:trPr>
        <w:tc>
          <w:tcPr>
            <w:tcW w:w="7280" w:type="dxa"/>
            <w:vAlign w:val="bottom"/>
            <w:shd w:val="clear" w:color="auto" w:fill="CCEEFF"/>
          </w:tcPr>
          <w:p>
            <w:pPr>
              <w:ind w:left="460"/>
              <w:spacing w:after="0" w:line="190" w:lineRule="exact"/>
              <w:rPr>
                <w:sz w:val="20"/>
                <w:szCs w:val="20"/>
                <w:color w:val="auto"/>
              </w:rPr>
            </w:pPr>
            <w:r>
              <w:rPr>
                <w:rFonts w:ascii="Arial" w:cs="Arial" w:eastAsia="Arial" w:hAnsi="Arial"/>
                <w:sz w:val="18"/>
                <w:szCs w:val="18"/>
                <w:b w:val="1"/>
                <w:bCs w:val="1"/>
                <w:color w:val="auto"/>
              </w:rPr>
              <w:t>Change in plan assets:</w:t>
            </w:r>
          </w:p>
        </w:tc>
        <w:tc>
          <w:tcPr>
            <w:tcW w:w="1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3"/>
        </w:trPr>
        <w:tc>
          <w:tcPr>
            <w:tcW w:w="7280" w:type="dxa"/>
            <w:vAlign w:val="bottom"/>
          </w:tcPr>
          <w:p>
            <w:pPr>
              <w:ind w:left="460"/>
              <w:spacing w:after="0"/>
              <w:rPr>
                <w:sz w:val="20"/>
                <w:szCs w:val="20"/>
                <w:color w:val="auto"/>
              </w:rPr>
            </w:pPr>
            <w:r>
              <w:rPr>
                <w:rFonts w:ascii="Arial" w:cs="Arial" w:eastAsia="Arial" w:hAnsi="Arial"/>
                <w:sz w:val="18"/>
                <w:szCs w:val="18"/>
                <w:color w:val="auto"/>
              </w:rPr>
              <w:t>Fair value of plan assets at beginning of year</w:t>
            </w:r>
          </w:p>
        </w:tc>
        <w:tc>
          <w:tcPr>
            <w:tcW w:w="1380" w:type="dxa"/>
            <w:vAlign w:val="bottom"/>
          </w:tcPr>
          <w:p>
            <w:pPr>
              <w:jc w:val="right"/>
              <w:ind w:right="75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Employer contribution</w:t>
            </w:r>
          </w:p>
        </w:tc>
        <w:tc>
          <w:tcPr>
            <w:tcW w:w="1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280" w:type="dxa"/>
            <w:vAlign w:val="bottom"/>
          </w:tcPr>
          <w:p>
            <w:pPr>
              <w:ind w:left="460"/>
              <w:spacing w:after="0"/>
              <w:rPr>
                <w:sz w:val="20"/>
                <w:szCs w:val="20"/>
                <w:color w:val="auto"/>
              </w:rPr>
            </w:pPr>
            <w:r>
              <w:rPr>
                <w:rFonts w:ascii="Arial" w:cs="Arial" w:eastAsia="Arial" w:hAnsi="Arial"/>
                <w:sz w:val="18"/>
                <w:szCs w:val="18"/>
                <w:color w:val="auto"/>
              </w:rPr>
              <w:t>Plan participants’ contributions</w:t>
            </w:r>
          </w:p>
        </w:tc>
        <w:tc>
          <w:tcPr>
            <w:tcW w:w="1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4"/>
        </w:trPr>
        <w:tc>
          <w:tcPr>
            <w:tcW w:w="7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Gross benefits paid</w:t>
            </w:r>
          </w:p>
        </w:tc>
        <w:tc>
          <w:tcPr>
            <w:tcW w:w="13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280" w:type="dxa"/>
            <w:vAlign w:val="bottom"/>
          </w:tcPr>
          <w:p>
            <w:pPr>
              <w:ind w:left="460"/>
              <w:spacing w:after="0" w:line="203" w:lineRule="exact"/>
              <w:rPr>
                <w:sz w:val="20"/>
                <w:szCs w:val="20"/>
                <w:color w:val="auto"/>
              </w:rPr>
            </w:pPr>
            <w:r>
              <w:rPr>
                <w:rFonts w:ascii="Arial" w:cs="Arial" w:eastAsia="Arial" w:hAnsi="Arial"/>
                <w:sz w:val="18"/>
                <w:szCs w:val="18"/>
                <w:color w:val="auto"/>
              </w:rPr>
              <w:t>Fair value of plan assets at end of year</w:t>
            </w:r>
          </w:p>
        </w:tc>
        <w:tc>
          <w:tcPr>
            <w:tcW w:w="1380" w:type="dxa"/>
            <w:vAlign w:val="bottom"/>
          </w:tcPr>
          <w:p>
            <w:pPr>
              <w:jc w:val="right"/>
              <w:ind w:right="755"/>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41"/>
        </w:trPr>
        <w:tc>
          <w:tcPr>
            <w:tcW w:w="7280" w:type="dxa"/>
            <w:vAlign w:val="bottom"/>
            <w:tcBorders>
              <w:bottom w:val="single" w:sz="8" w:color="CCEEFF"/>
            </w:tcBorders>
            <w:shd w:val="clear" w:color="auto" w:fill="CCEEFF"/>
          </w:tcPr>
          <w:p>
            <w:pPr>
              <w:ind w:left="460"/>
              <w:spacing w:after="0" w:line="202" w:lineRule="exact"/>
              <w:rPr>
                <w:sz w:val="20"/>
                <w:szCs w:val="20"/>
                <w:color w:val="auto"/>
              </w:rPr>
            </w:pPr>
            <w:r>
              <w:rPr>
                <w:rFonts w:ascii="Arial" w:cs="Arial" w:eastAsia="Arial" w:hAnsi="Arial"/>
                <w:sz w:val="18"/>
                <w:szCs w:val="18"/>
                <w:color w:val="auto"/>
              </w:rPr>
              <w:t>Unfunded status at end of year</w:t>
            </w:r>
          </w:p>
        </w:tc>
        <w:tc>
          <w:tcPr>
            <w:tcW w:w="1380" w:type="dxa"/>
            <w:vAlign w:val="bottom"/>
            <w:tcBorders>
              <w:bottom w:val="single" w:sz="8" w:color="auto"/>
            </w:tcBorders>
            <w:shd w:val="clear" w:color="auto" w:fill="CCEEFF"/>
          </w:tcPr>
          <w:p>
            <w:pPr>
              <w:jc w:val="right"/>
              <w:ind w:right="755"/>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(1.6)</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3"/>
              </w:rPr>
              <w:t>(18.6)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(20.8)</w:t>
            </w:r>
          </w:p>
        </w:tc>
      </w:tr>
      <w:tr>
        <w:trPr>
          <w:trHeight w:val="216"/>
        </w:trPr>
        <w:tc>
          <w:tcPr>
            <w:tcW w:w="7820" w:type="dxa"/>
            <w:vAlign w:val="bottom"/>
          </w:tcPr>
          <w:p>
            <w:pPr>
              <w:ind w:left="20"/>
              <w:spacing w:after="0" w:line="203" w:lineRule="exact"/>
              <w:rPr>
                <w:sz w:val="20"/>
                <w:szCs w:val="20"/>
                <w:color w:val="auto"/>
              </w:rPr>
            </w:pPr>
            <w:r>
              <w:rPr>
                <w:rFonts w:ascii="Arial" w:cs="Arial" w:eastAsia="Arial" w:hAnsi="Arial"/>
                <w:sz w:val="18"/>
                <w:szCs w:val="18"/>
                <w:color w:val="auto"/>
              </w:rPr>
              <w:t>Total amount accrued</w:t>
            </w: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3"/>
              </w:rPr>
              <w:t>(20.1)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(22.4)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0"/>
        </w:trPr>
        <w:tc>
          <w:tcPr>
            <w:tcW w:w="78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Amounts recognized in AOCL consist of:</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4"/>
              <w:spacing w:after="0"/>
              <w:rPr>
                <w:sz w:val="20"/>
                <w:szCs w:val="20"/>
                <w:color w:val="auto"/>
              </w:rPr>
            </w:pPr>
            <w:r>
              <w:rPr>
                <w:rFonts w:ascii="Arial" w:cs="Arial" w:eastAsia="Arial" w:hAnsi="Arial"/>
                <w:sz w:val="18"/>
                <w:szCs w:val="18"/>
                <w:color w:val="auto"/>
              </w:rPr>
              <w:t>3.6</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r>
      <w:tr>
        <w:trPr>
          <w:trHeight w:val="216"/>
        </w:trPr>
        <w:tc>
          <w:tcPr>
            <w:tcW w:w="7820" w:type="dxa"/>
            <w:vAlign w:val="bottom"/>
          </w:tcPr>
          <w:p>
            <w:pPr>
              <w:ind w:left="20"/>
              <w:spacing w:after="0" w:line="203" w:lineRule="exact"/>
              <w:rPr>
                <w:sz w:val="20"/>
                <w:szCs w:val="20"/>
                <w:color w:val="auto"/>
              </w:rPr>
            </w:pPr>
            <w:r>
              <w:rPr>
                <w:rFonts w:ascii="Arial" w:cs="Arial" w:eastAsia="Arial" w:hAnsi="Arial"/>
                <w:sz w:val="18"/>
                <w:szCs w:val="18"/>
                <w:color w:val="auto"/>
              </w:rPr>
              <w:t>Total amount recognized</w:t>
            </w:r>
          </w:p>
        </w:tc>
        <w:tc>
          <w:tcPr>
            <w:tcW w:w="1000" w:type="dxa"/>
            <w:vAlign w:val="bottom"/>
            <w:tcBorders>
              <w:bottom w:val="single" w:sz="8" w:color="auto"/>
            </w:tcBorders>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0"/>
        </w:trPr>
        <w:tc>
          <w:tcPr>
            <w:tcW w:w="78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Gain (loss) during the period</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(0.7)</w:t>
            </w: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to net income</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(0.9)</w:t>
            </w:r>
          </w:p>
        </w:tc>
      </w:tr>
      <w:tr>
        <w:trPr>
          <w:trHeight w:val="216"/>
        </w:trPr>
        <w:tc>
          <w:tcPr>
            <w:tcW w:w="7820" w:type="dxa"/>
            <w:vAlign w:val="bottom"/>
          </w:tcPr>
          <w:p>
            <w:pPr>
              <w:ind w:left="20"/>
              <w:spacing w:after="0" w:line="203" w:lineRule="exact"/>
              <w:rPr>
                <w:sz w:val="20"/>
                <w:szCs w:val="20"/>
                <w:color w:val="auto"/>
              </w:rPr>
            </w:pPr>
            <w:r>
              <w:rPr>
                <w:rFonts w:ascii="Arial" w:cs="Arial" w:eastAsia="Arial" w:hAnsi="Arial"/>
                <w:sz w:val="18"/>
                <w:szCs w:val="18"/>
                <w:color w:val="auto"/>
              </w:rPr>
              <w:t>Total change in other comprehensive loss</w:t>
            </w:r>
          </w:p>
        </w:tc>
        <w:tc>
          <w:tcPr>
            <w:tcW w:w="1000" w:type="dxa"/>
            <w:vAlign w:val="bottom"/>
          </w:tcPr>
          <w:p>
            <w:pPr>
              <w:jc w:val="right"/>
              <w:ind w:right="815"/>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(1.6)</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78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Discount rate used in development of APBO</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2.48 %</w:t>
            </w:r>
          </w:p>
        </w:tc>
      </w:tr>
    </w:tbl>
    <w:p>
      <w:pPr>
        <w:spacing w:after="0" w:line="154"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Net periodic benefit cost (income) was $(0.2) during fiscal 2021 and $(0.1) during fiscal 2020 and fiscal 2019. For measurement as of September 30, 2021, management has assumed that health care costs will increase at an annual rate of 5.75%, and thereafter decreasing to an ultimate trend rate of 4.75% in 2026.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8" w:name="page89"/>
    <w:bookmarkEnd w:id="88"/>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benefit payments under the plan are expected to be paid by the Company and the retirees for the fiscal years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Retiree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3"/>
          </w:tcPr>
          <w:p>
            <w:pPr>
              <w:jc w:val="center"/>
              <w:ind w:right="260"/>
              <w:spacing w:after="0" w:line="131" w:lineRule="exact"/>
              <w:rPr>
                <w:sz w:val="20"/>
                <w:szCs w:val="20"/>
                <w:color w:val="auto"/>
              </w:rPr>
            </w:pPr>
            <w:r>
              <w:rPr>
                <w:rFonts w:ascii="Arial" w:cs="Arial" w:eastAsia="Arial" w:hAnsi="Arial"/>
                <w:sz w:val="14"/>
                <w:szCs w:val="14"/>
                <w:b w:val="1"/>
                <w:bCs w:val="1"/>
                <w:color w:val="auto"/>
                <w:w w:val="88"/>
              </w:rPr>
              <w:t>Benefit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right"/>
              <w:ind w:right="335"/>
              <w:spacing w:after="0" w:line="131" w:lineRule="exact"/>
              <w:rPr>
                <w:sz w:val="20"/>
                <w:szCs w:val="20"/>
                <w:color w:val="auto"/>
              </w:rPr>
            </w:pPr>
            <w:r>
              <w:rPr>
                <w:rFonts w:ascii="Arial" w:cs="Arial" w:eastAsia="Arial" w:hAnsi="Arial"/>
                <w:sz w:val="14"/>
                <w:szCs w:val="14"/>
                <w:b w:val="1"/>
                <w:bCs w:val="1"/>
                <w:color w:val="auto"/>
              </w:rPr>
              <w:t>Company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7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7"/>
              </w:rPr>
              <w:t>Payments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Contributions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Payments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2027 – 2031</w:t>
            </w:r>
          </w:p>
        </w:tc>
        <w:tc>
          <w:tcPr>
            <w:tcW w:w="28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6700" w:type="dxa"/>
            <w:vAlign w:val="bottom"/>
          </w:tcPr>
          <w:p>
            <w:pPr>
              <w:spacing w:after="0"/>
              <w:rPr>
                <w:sz w:val="20"/>
                <w:szCs w:val="20"/>
                <w:color w:val="auto"/>
              </w:rPr>
            </w:pPr>
            <w:r>
              <w:rPr>
                <w:rFonts w:ascii="Arial" w:cs="Arial" w:eastAsia="Arial" w:hAnsi="Arial"/>
                <w:sz w:val="18"/>
                <w:szCs w:val="18"/>
                <w:b w:val="1"/>
                <w:bCs w:val="1"/>
                <w:color w:val="auto"/>
              </w:rPr>
              <w:t>NOTE 12. DEBT</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700" w:type="dxa"/>
            <w:vAlign w:val="bottom"/>
          </w:tcPr>
          <w:p>
            <w:pPr>
              <w:ind w:left="440"/>
              <w:spacing w:after="0"/>
              <w:rPr>
                <w:sz w:val="20"/>
                <w:szCs w:val="20"/>
                <w:color w:val="auto"/>
              </w:rPr>
            </w:pPr>
            <w:r>
              <w:rPr>
                <w:rFonts w:ascii="Arial" w:cs="Arial" w:eastAsia="Arial" w:hAnsi="Arial"/>
                <w:sz w:val="18"/>
                <w:szCs w:val="18"/>
                <w:color w:val="auto"/>
              </w:rPr>
              <w:t>The components of debt are as follows: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7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70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Credit Facilities:</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780"/>
              <w:spacing w:after="0"/>
              <w:rPr>
                <w:sz w:val="20"/>
                <w:szCs w:val="20"/>
                <w:color w:val="auto"/>
              </w:rPr>
            </w:pPr>
            <w:r>
              <w:rPr>
                <w:rFonts w:ascii="Arial" w:cs="Arial" w:eastAsia="Arial" w:hAnsi="Arial"/>
                <w:sz w:val="18"/>
                <w:szCs w:val="18"/>
                <w:color w:val="auto"/>
              </w:rPr>
              <w:t>Revolving loans</w:t>
            </w:r>
          </w:p>
        </w:tc>
        <w:tc>
          <w:tcPr>
            <w:tcW w:w="28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Term loans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Senior Notes – 4.000%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Senior Notes – 4.375%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Senior Notes – 4.500%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Senior Notes – 5.250%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Receivables facility</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Finance lease obligations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0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Less current portions</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60"/>
              <w:spacing w:after="0" w:line="203" w:lineRule="exact"/>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140" w:type="dxa"/>
            <w:vAlign w:val="bottom"/>
            <w:gridSpan w:val="5"/>
          </w:tcPr>
          <w:p>
            <w:pPr>
              <w:ind w:left="440"/>
              <w:spacing w:after="0"/>
              <w:rPr>
                <w:sz w:val="20"/>
                <w:szCs w:val="20"/>
                <w:color w:val="auto"/>
              </w:rPr>
            </w:pPr>
            <w:r>
              <w:rPr>
                <w:rFonts w:ascii="Arial" w:cs="Arial" w:eastAsia="Arial" w:hAnsi="Arial"/>
                <w:sz w:val="18"/>
                <w:szCs w:val="18"/>
                <w:color w:val="auto"/>
                <w:w w:val="89"/>
              </w:rPr>
              <w:t>The Company’s aggregate scheduled maturities of debt, excluding finance lease obligations, are as follows: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7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2,281.9</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95"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$2,300.0, comprised of a revolving credit facility of $1,500.0 and a term loan in the original principal amount of $800.0 (the “Fifth A&amp;R Credit Facilities”).</w:t>
      </w:r>
    </w:p>
    <w:p>
      <w:pPr>
        <w:spacing w:after="0" w:line="2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At September 30, 2021, the Company had letters of credit outstanding in the aggregate principal amount of $19.8, and $1,480.2 of borrowing availability under the Fifth A&amp;R Credit Agreement. The weighted average interest rates on average borrowings under the Fifth A&amp;R Credit Agreement were 1.9%, 3.3% and 4.6% for fiscal 2021, fiscal 2020 and fiscal 2019,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4.50. The Company’s leverage ratio was 2.70 at September 30, 2021.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September 30, 2021. The Company’s interest coverage ratio was 10.63 for the twelve months ended September 30, 2021.</w:t>
      </w:r>
    </w:p>
    <w:p>
      <w:pPr>
        <w:spacing w:after="0" w:line="5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Fifth A&amp;R Credit Agreement allows the Company to make unlimited restricted payments (as defined in the Fifth A&amp;R Credit Agreement), including dividend payments on, and repurchases of, the Company’s Common Shares, as long as the leverage ratio resulting from the making of such restricted payments is 4.00 or less. Otherwise, the Company may make further restricted payments in an aggregate amount for each fiscal year not to exceed $225.0.</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9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 Substantially all of Scotts Miracle-Gro’s directly and indirectly owned domestic subsidiaries serve as guarantors of the 5.250% Senior Notes.</w:t>
      </w:r>
    </w:p>
    <w:p>
      <w:pPr>
        <w:spacing w:after="0" w:line="31"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On October 22, 2019, Scotts Miracle-Gro issued $450.0 aggregate principal amount of 4.500% Senior Notes due 2029 (the “4.500% Senior Notes”). The net proceeds of the offering were used to redeem all of the Company’s outstanding 6.000% Senior Notes due 2023 (the “6.000% Senior Notes”) and for general corporate purposes. The 4.500% Senior Notes represent general unsecured senior obligations and rank equal in right of payment with the Company’s existing and future unsecured senior debt. The 4.500% Senior Notes have interest payment dates of April 15 and October 15 of each year. All of Scotts Miracle-Gro’s domestic subsidiaries that serve as guarantors of the 5.250% Senior Notes also serve as guarantors of the 4.500% Senior Notes.</w:t>
      </w:r>
    </w:p>
    <w:p>
      <w:pPr>
        <w:spacing w:after="0" w:line="47"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On October 23, 2019, Scotts Miracle-Gro redeemed all of its outstanding 6.000% Senior Notes for a redemption price of $412.5, comprised of $0.5 of accrued and unpaid interest, $12.0 of redemption premium, and $400.0 for outstanding principal amount. The $12.0 redemption premium was recognized in the “Costs related to refinancing” line on the Consolidated Statements of Operations during the first quarter of fiscal 2020. Additionally, the Company had $3.1 in unamortized bond issuance costs associated with the 6.000% Senior Notes, which were written-off during the first quarter of fiscal 2020 and were recognized in the “Costs related to refinancing” line in the Consolidated Statements of Operations.</w:t>
      </w:r>
    </w:p>
    <w:p>
      <w:pPr>
        <w:spacing w:after="0" w:line="47"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On March 17, 2021, Scotts Miracle-Gro issued $500.0 aggregate principal amount of 4.000% Senior Notes due 2031 (the “4.000% Senior Notes”). The net proceeds of the offering were used to reduce borrowings under the Fifth A&amp;R Credit Facilities. The 4.000% Senior Notes represent general unsecured senior obligations and rank equal in right of payment with the Company’s existing and future unsecured senior debt. The 4.000% Senior Notes have interest payment dates of April 1 and October 1 of each year, commencing October 1, 2021. All of Scotts Miracle-Gro’s domestic subsidiaries that serve as guarantors of the 5.250% Senior Notes also serve as guarantors of the 4.000% Senior Notes.</w:t>
      </w:r>
    </w:p>
    <w:p>
      <w:pPr>
        <w:spacing w:after="0" w:line="34"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On August 13, 2021, Scotts Miracle-Gro issued $400.0 aggregate principal amount of 4.375% Senior Notes due 2032 (the “4.375% Senior Notes”). The net proceeds of the offering were used to reduce borrowings under the Fifth A&amp;R Credit Facilities and for other general corporate purposes. The 4.375% Senior Notes represent general unsecured senior obligations and rank equal in right of payment with the Company’s existing and future unsecured senior debt. The 4.375% Senior Notes have interest payment dates of February 1 and August 1 of each year, commencing February 1, 2022. All of Scotts Miracle-Gro’s domestic subsidiaries that serve as guarantors of the 5.250% Senior Notes also serve as guarantors of the 4.375% Senior Notes.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95"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receivables which may be sold under the Receivables Facility is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$400.0 and the commitment amount during the seasonal commitment period beginning on February 25, 2022 and ending on June 17, 2022 is $160.0. The Receivables Facility expires on August 19, 2022.</w:t>
      </w:r>
    </w:p>
    <w:p>
      <w:pPr>
        <w:spacing w:after="0" w:line="6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Consolidated Balance Sheets, primarily as a result of the Company’s requirement to repurchase receivables sold. As of September 30, 2021 and 2020, there were zero and $20.0, respectively, in borrowings on receivables pledged as collateral under the Receivables Facility, and the carrying value of the receivables pledged as collateral was zero and $22.3, respectively.</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95" w:lineRule="exact"/>
        <w:rPr>
          <w:sz w:val="20"/>
          <w:szCs w:val="20"/>
          <w:color w:val="auto"/>
        </w:rPr>
      </w:pPr>
    </w:p>
    <w:p>
      <w:pPr>
        <w:jc w:val="both"/>
        <w:ind w:firstLine="434"/>
        <w:spacing w:after="0" w:line="315" w:lineRule="auto"/>
        <w:rPr>
          <w:sz w:val="20"/>
          <w:szCs w:val="20"/>
          <w:color w:val="auto"/>
        </w:rPr>
      </w:pPr>
      <w:r>
        <w:rPr>
          <w:rFonts w:ascii="Arial" w:cs="Arial" w:eastAsia="Arial" w:hAnsi="Arial"/>
          <w:sz w:val="15"/>
          <w:szCs w:val="15"/>
          <w:color w:val="auto"/>
        </w:rPr>
        <w:t>The Company has outstanding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September 30, 2021 and 2020 had a maximum total U.S. dollar equivalent notional amount of $600.0. The notional amount, effective date, expiration date and rate of each of the swap agreements outstanding at September 30, 2021 are shown in the table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Notional Amount</w:t>
            </w:r>
          </w:p>
        </w:tc>
        <w:tc>
          <w:tcPr>
            <w:tcW w:w="460" w:type="dxa"/>
            <w:vAlign w:val="bottom"/>
          </w:tcPr>
          <w:p>
            <w:pPr>
              <w:spacing w:after="0"/>
              <w:rPr>
                <w:sz w:val="14"/>
                <w:szCs w:val="14"/>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Effective</w:t>
            </w: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Expiration</w:t>
            </w:r>
          </w:p>
        </w:tc>
        <w:tc>
          <w:tcPr>
            <w:tcW w:w="2780" w:type="dxa"/>
            <w:vAlign w:val="bottom"/>
          </w:tcPr>
          <w:p>
            <w:pPr>
              <w:jc w:val="right"/>
              <w:ind w:right="1137"/>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83"/>
        </w:trPr>
        <w:tc>
          <w:tcPr>
            <w:tcW w:w="23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2780" w:type="dxa"/>
            <w:vAlign w:val="bottom"/>
          </w:tcPr>
          <w:p>
            <w:pPr>
              <w:jc w:val="right"/>
              <w:ind w:right="1157"/>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7"/>
        </w:trPr>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6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2.98 %</w:t>
            </w:r>
          </w:p>
        </w:tc>
        <w:tc>
          <w:tcPr>
            <w:tcW w:w="0" w:type="dxa"/>
            <w:vAlign w:val="bottom"/>
          </w:tcPr>
          <w:p>
            <w:pPr>
              <w:spacing w:after="0"/>
              <w:rPr>
                <w:sz w:val="1"/>
                <w:szCs w:val="1"/>
                <w:color w:val="auto"/>
              </w:rPr>
            </w:pPr>
          </w:p>
        </w:tc>
      </w:tr>
      <w:tr>
        <w:trPr>
          <w:trHeight w:val="223"/>
        </w:trPr>
        <w:tc>
          <w:tcPr>
            <w:tcW w:w="230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12/21/2020</w:t>
            </w:r>
          </w:p>
        </w:tc>
        <w:tc>
          <w:tcPr>
            <w:tcW w:w="36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6/20/2023</w:t>
            </w:r>
          </w:p>
        </w:tc>
        <w:tc>
          <w:tcPr>
            <w:tcW w:w="3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1/7/2021</w:t>
            </w:r>
          </w:p>
        </w:tc>
        <w:tc>
          <w:tcPr>
            <w:tcW w:w="36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6"/>
        </w:trPr>
        <w:tc>
          <w:tcPr>
            <w:tcW w:w="230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10/7/2021</w:t>
            </w:r>
          </w:p>
        </w:tc>
        <w:tc>
          <w:tcPr>
            <w:tcW w:w="36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4"/>
        </w:trPr>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1/20/2022</w:t>
            </w:r>
          </w:p>
        </w:tc>
        <w:tc>
          <w:tcPr>
            <w:tcW w:w="36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6/20/2024</w:t>
            </w:r>
          </w:p>
        </w:tc>
        <w:tc>
          <w:tcPr>
            <w:tcW w:w="34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0.58 %</w:t>
            </w:r>
          </w:p>
        </w:tc>
        <w:tc>
          <w:tcPr>
            <w:tcW w:w="0" w:type="dxa"/>
            <w:vAlign w:val="bottom"/>
          </w:tcPr>
          <w:p>
            <w:pPr>
              <w:spacing w:after="0"/>
              <w:rPr>
                <w:sz w:val="1"/>
                <w:szCs w:val="1"/>
                <w:color w:val="auto"/>
              </w:rPr>
            </w:pPr>
          </w:p>
        </w:tc>
      </w:tr>
      <w:tr>
        <w:trPr>
          <w:trHeight w:val="223"/>
        </w:trPr>
        <w:tc>
          <w:tcPr>
            <w:tcW w:w="2300" w:type="dxa"/>
            <w:vAlign w:val="bottom"/>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6/8/2026</w:t>
            </w:r>
          </w:p>
        </w:tc>
        <w:tc>
          <w:tcPr>
            <w:tcW w:w="3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0.85 %</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620" w:hanging="615"/>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are first hedged by the applicable swap agreement.</w:t>
      </w:r>
    </w:p>
    <w:p>
      <w:pPr>
        <w:spacing w:after="0" w:line="14" w:lineRule="exact"/>
        <w:rPr>
          <w:rFonts w:ascii="Arial" w:cs="Arial" w:eastAsia="Arial" w:hAnsi="Arial"/>
          <w:sz w:val="16"/>
          <w:szCs w:val="16"/>
          <w:color w:val="auto"/>
        </w:rPr>
      </w:pPr>
    </w:p>
    <w:p>
      <w:pPr>
        <w:ind w:left="640" w:hanging="635"/>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interest rates on the Company’s debt were 3.7%, 4.3% and 4.8% for fiscal 2021, fiscal 2020 and fiscal 2019,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w:t>
      </w:r>
    </w:p>
    <w:p>
      <w:pPr>
        <w:spacing w:after="0" w:line="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Authorized and issued shares consisted of the following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2600" w:type="dxa"/>
            <w:vAlign w:val="bottom"/>
            <w:tcBorders>
              <w:bottom w:val="single" w:sz="8" w:color="auto"/>
            </w:tcBorders>
            <w:gridSpan w:val="3"/>
          </w:tcPr>
          <w:p>
            <w:pPr>
              <w:ind w:left="162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6"/>
                <w:szCs w:val="16"/>
                <w:color w:val="auto"/>
              </w:rPr>
            </w:pPr>
          </w:p>
        </w:tc>
      </w:tr>
      <w:tr>
        <w:trPr>
          <w:trHeight w:val="182"/>
        </w:trPr>
        <w:tc>
          <w:tcPr>
            <w:tcW w:w="758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r>
      <w:tr>
        <w:trPr>
          <w:trHeight w:val="204"/>
        </w:trPr>
        <w:tc>
          <w:tcPr>
            <w:tcW w:w="758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Preferred shares, no par value:</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7580" w:type="dxa"/>
            <w:vAlign w:val="bottom"/>
          </w:tcPr>
          <w:p>
            <w:pPr>
              <w:ind w:left="780"/>
              <w:spacing w:after="0"/>
              <w:rPr>
                <w:sz w:val="20"/>
                <w:szCs w:val="20"/>
                <w:color w:val="auto"/>
              </w:rPr>
            </w:pPr>
            <w:r>
              <w:rPr>
                <w:rFonts w:ascii="Arial" w:cs="Arial" w:eastAsia="Arial" w:hAnsi="Arial"/>
                <w:sz w:val="18"/>
                <w:szCs w:val="18"/>
                <w:color w:val="auto"/>
              </w:rPr>
              <w:t>Authorized</w:t>
            </w:r>
          </w:p>
        </w:tc>
        <w:tc>
          <w:tcPr>
            <w:tcW w:w="2600" w:type="dxa"/>
            <w:vAlign w:val="bottom"/>
            <w:gridSpan w:val="3"/>
          </w:tcPr>
          <w:p>
            <w:pPr>
              <w:jc w:val="right"/>
              <w:ind w:right="840"/>
              <w:spacing w:after="0"/>
              <w:rPr>
                <w:sz w:val="20"/>
                <w:szCs w:val="20"/>
                <w:color w:val="auto"/>
              </w:rPr>
            </w:pPr>
            <w:r>
              <w:rPr>
                <w:rFonts w:ascii="Arial" w:cs="Arial" w:eastAsia="Arial" w:hAnsi="Arial"/>
                <w:sz w:val="18"/>
                <w:szCs w:val="18"/>
                <w:color w:val="auto"/>
              </w:rPr>
              <w:t>0.2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0.2 shares</w:t>
            </w:r>
          </w:p>
        </w:tc>
      </w:tr>
      <w:tr>
        <w:trPr>
          <w:trHeight w:val="224"/>
        </w:trPr>
        <w:tc>
          <w:tcPr>
            <w:tcW w:w="75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Issued</w:t>
            </w:r>
          </w:p>
        </w:tc>
        <w:tc>
          <w:tcPr>
            <w:tcW w:w="26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0.0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shares</w:t>
            </w:r>
          </w:p>
        </w:tc>
      </w:tr>
      <w:tr>
        <w:trPr>
          <w:trHeight w:val="223"/>
        </w:trPr>
        <w:tc>
          <w:tcPr>
            <w:tcW w:w="7580" w:type="dxa"/>
            <w:vAlign w:val="bottom"/>
          </w:tcPr>
          <w:p>
            <w:pPr>
              <w:ind w:left="460"/>
              <w:spacing w:after="0"/>
              <w:rPr>
                <w:sz w:val="20"/>
                <w:szCs w:val="20"/>
                <w:color w:val="auto"/>
              </w:rPr>
            </w:pPr>
            <w:r>
              <w:rPr>
                <w:rFonts w:ascii="Arial" w:cs="Arial" w:eastAsia="Arial" w:hAnsi="Arial"/>
                <w:sz w:val="18"/>
                <w:szCs w:val="18"/>
                <w:color w:val="auto"/>
              </w:rPr>
              <w:t>Common shares, no par value, $0.01 stated value per share:</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4"/>
        </w:trPr>
        <w:tc>
          <w:tcPr>
            <w:tcW w:w="75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Authorized</w:t>
            </w:r>
          </w:p>
        </w:tc>
        <w:tc>
          <w:tcPr>
            <w:tcW w:w="260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100.0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 shares</w:t>
            </w:r>
          </w:p>
        </w:tc>
      </w:tr>
      <w:tr>
        <w:trPr>
          <w:trHeight w:val="223"/>
        </w:trPr>
        <w:tc>
          <w:tcPr>
            <w:tcW w:w="7580" w:type="dxa"/>
            <w:vAlign w:val="bottom"/>
          </w:tcPr>
          <w:p>
            <w:pPr>
              <w:ind w:left="780"/>
              <w:spacing w:after="0"/>
              <w:rPr>
                <w:sz w:val="20"/>
                <w:szCs w:val="20"/>
                <w:color w:val="auto"/>
              </w:rPr>
            </w:pPr>
            <w:r>
              <w:rPr>
                <w:rFonts w:ascii="Arial" w:cs="Arial" w:eastAsia="Arial" w:hAnsi="Arial"/>
                <w:sz w:val="18"/>
                <w:szCs w:val="18"/>
                <w:color w:val="auto"/>
              </w:rPr>
              <w:t>Issued</w:t>
            </w:r>
          </w:p>
        </w:tc>
        <w:tc>
          <w:tcPr>
            <w:tcW w:w="2600" w:type="dxa"/>
            <w:vAlign w:val="bottom"/>
            <w:gridSpan w:val="3"/>
          </w:tcPr>
          <w:p>
            <w:pPr>
              <w:jc w:val="right"/>
              <w:ind w:right="840"/>
              <w:spacing w:after="0"/>
              <w:rPr>
                <w:sz w:val="20"/>
                <w:szCs w:val="20"/>
                <w:color w:val="auto"/>
              </w:rPr>
            </w:pPr>
            <w:r>
              <w:rPr>
                <w:rFonts w:ascii="Arial" w:cs="Arial" w:eastAsia="Arial" w:hAnsi="Arial"/>
                <w:sz w:val="18"/>
                <w:szCs w:val="18"/>
                <w:color w:val="auto"/>
              </w:rPr>
              <w:t>68.1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68.1 shares</w:t>
            </w:r>
          </w:p>
        </w:tc>
      </w:tr>
    </w:tbl>
    <w:p>
      <w:pPr>
        <w:spacing w:after="0" w:line="330"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In fiscal 1995, The Scotts Company merged with Stern’s Miracle-Gro Products, Inc. (“Miracle-Gro”). At September 30, 2021, the former shareholders of Miracle-Gro, including the Hagedorn Partnership, L.P., owned approximately 26% of Scotts Miracle-Gro’s outstanding Common Shares on a fully diluted basis and, thus, have the ability to significantly influence the election of directors and other actions requiring the approval of Scotts Miracle-Gro’s shareholders.</w:t>
      </w:r>
    </w:p>
    <w:p>
      <w:pPr>
        <w:spacing w:after="0" w:line="22" w:lineRule="exact"/>
        <w:rPr>
          <w:sz w:val="20"/>
          <w:szCs w:val="20"/>
          <w:color w:val="auto"/>
        </w:rPr>
      </w:pPr>
    </w:p>
    <w:p>
      <w:pPr>
        <w:jc w:val="both"/>
        <w:ind w:firstLine="434"/>
        <w:spacing w:after="0" w:line="309" w:lineRule="auto"/>
        <w:rPr>
          <w:sz w:val="20"/>
          <w:szCs w:val="20"/>
          <w:color w:val="auto"/>
        </w:rPr>
      </w:pPr>
      <w:r>
        <w:rPr>
          <w:rFonts w:ascii="Arial" w:cs="Arial" w:eastAsia="Arial" w:hAnsi="Arial"/>
          <w:sz w:val="15"/>
          <w:szCs w:val="15"/>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Accumulated Other Comprehensive Loss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AOCL by component were as follows for the fiscal years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Unrealized</w:t>
            </w: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Net Unrealized</w:t>
            </w:r>
          </w:p>
        </w:tc>
        <w:tc>
          <w:tcPr>
            <w:tcW w:w="580" w:type="dxa"/>
            <w:vAlign w:val="bottom"/>
          </w:tcPr>
          <w:p>
            <w:pPr>
              <w:spacing w:after="0"/>
              <w:rPr>
                <w:sz w:val="14"/>
                <w:szCs w:val="14"/>
                <w:color w:val="auto"/>
              </w:rPr>
            </w:pPr>
          </w:p>
        </w:tc>
        <w:tc>
          <w:tcPr>
            <w:tcW w:w="10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66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Foreign Currency</w:t>
            </w:r>
          </w:p>
        </w:tc>
        <w:tc>
          <w:tcPr>
            <w:tcW w:w="5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5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Net Unrealized</w:t>
            </w:r>
          </w:p>
        </w:tc>
        <w:tc>
          <w:tcPr>
            <w:tcW w:w="17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Gain (Loss) in Pension</w:t>
            </w:r>
          </w:p>
        </w:tc>
        <w:tc>
          <w:tcPr>
            <w:tcW w:w="5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060" w:type="dxa"/>
            <w:vAlign w:val="bottom"/>
          </w:tcPr>
          <w:p>
            <w:pPr>
              <w:spacing w:after="0"/>
              <w:rPr>
                <w:sz w:val="11"/>
                <w:szCs w:val="11"/>
                <w:color w:val="auto"/>
              </w:rPr>
            </w:pPr>
          </w:p>
        </w:tc>
        <w:tc>
          <w:tcPr>
            <w:tcW w:w="1660" w:type="dxa"/>
            <w:vAlign w:val="bottom"/>
            <w:gridSpan w:val="3"/>
            <w:vMerge w:val="continue"/>
          </w:tcPr>
          <w:p>
            <w:pPr>
              <w:spacing w:after="0"/>
              <w:rPr>
                <w:sz w:val="11"/>
                <w:szCs w:val="11"/>
                <w:color w:val="auto"/>
              </w:rPr>
            </w:pPr>
          </w:p>
        </w:tc>
        <w:tc>
          <w:tcPr>
            <w:tcW w:w="1640" w:type="dxa"/>
            <w:vAlign w:val="bottom"/>
            <w:gridSpan w:val="3"/>
          </w:tcPr>
          <w:p>
            <w:pPr>
              <w:ind w:left="300"/>
              <w:spacing w:after="0" w:line="131" w:lineRule="exact"/>
              <w:rPr>
                <w:sz w:val="20"/>
                <w:szCs w:val="20"/>
                <w:color w:val="auto"/>
              </w:rPr>
            </w:pPr>
            <w:r>
              <w:rPr>
                <w:rFonts w:ascii="Arial" w:cs="Arial" w:eastAsia="Arial" w:hAnsi="Arial"/>
                <w:sz w:val="14"/>
                <w:szCs w:val="14"/>
                <w:b w:val="1"/>
                <w:bCs w:val="1"/>
                <w:color w:val="auto"/>
              </w:rPr>
              <w:t>Gain (Loss) On</w:t>
            </w:r>
          </w:p>
        </w:tc>
        <w:tc>
          <w:tcPr>
            <w:tcW w:w="1580" w:type="dxa"/>
            <w:vAlign w:val="bottom"/>
            <w:gridSpan w:val="3"/>
            <w:vMerge w:val="continue"/>
          </w:tcPr>
          <w:p>
            <w:pPr>
              <w:spacing w:after="0"/>
              <w:rPr>
                <w:sz w:val="11"/>
                <w:szCs w:val="11"/>
                <w:color w:val="auto"/>
              </w:rPr>
            </w:pPr>
          </w:p>
        </w:tc>
        <w:tc>
          <w:tcPr>
            <w:tcW w:w="17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and Other Post-</w:t>
            </w:r>
          </w:p>
        </w:tc>
        <w:tc>
          <w:tcPr>
            <w:tcW w:w="1600" w:type="dxa"/>
            <w:vAlign w:val="bottom"/>
            <w:gridSpan w:val="2"/>
          </w:tcPr>
          <w:p>
            <w:pPr>
              <w:jc w:val="right"/>
              <w:ind w:right="53"/>
              <w:spacing w:after="0" w:line="131" w:lineRule="exact"/>
              <w:rPr>
                <w:sz w:val="20"/>
                <w:szCs w:val="20"/>
                <w:color w:val="auto"/>
              </w:rPr>
            </w:pPr>
            <w:r>
              <w:rPr>
                <w:rFonts w:ascii="Arial" w:cs="Arial" w:eastAsia="Arial" w:hAnsi="Arial"/>
                <w:sz w:val="14"/>
                <w:szCs w:val="14"/>
                <w:b w:val="1"/>
                <w:bCs w:val="1"/>
                <w:color w:val="auto"/>
                <w:w w:val="98"/>
              </w:rPr>
              <w:t>Other Comprehensive</w:t>
            </w:r>
          </w:p>
        </w:tc>
        <w:tc>
          <w:tcPr>
            <w:tcW w:w="0" w:type="dxa"/>
            <w:vAlign w:val="bottom"/>
          </w:tcPr>
          <w:p>
            <w:pPr>
              <w:spacing w:after="0"/>
              <w:rPr>
                <w:sz w:val="1"/>
                <w:szCs w:val="1"/>
                <w:color w:val="auto"/>
              </w:rPr>
            </w:pPr>
          </w:p>
        </w:tc>
      </w:tr>
      <w:tr>
        <w:trPr>
          <w:trHeight w:val="183"/>
        </w:trPr>
        <w:tc>
          <w:tcPr>
            <w:tcW w:w="30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Translation Adjustments</w:t>
            </w: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Derivative Instruments</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Loss On Securities</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Retirement Benefits</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98"/>
              </w:rPr>
              <w:t>Balance at September 30, 2018</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172"/>
        </w:trPr>
        <w:tc>
          <w:tcPr>
            <w:tcW w:w="3060" w:type="dxa"/>
            <w:vAlign w:val="bottom"/>
          </w:tcPr>
          <w:p>
            <w:pPr>
              <w:ind w:left="660"/>
              <w:spacing w:after="0" w:line="172" w:lineRule="exact"/>
              <w:rPr>
                <w:sz w:val="20"/>
                <w:szCs w:val="20"/>
                <w:color w:val="auto"/>
              </w:rPr>
            </w:pPr>
            <w:r>
              <w:rPr>
                <w:rFonts w:ascii="Arial" w:cs="Arial" w:eastAsia="Arial" w:hAnsi="Arial"/>
                <w:sz w:val="18"/>
                <w:szCs w:val="18"/>
                <w:color w:val="auto"/>
              </w:rPr>
              <w:t>Other comprehensive income</w:t>
            </w:r>
          </w:p>
        </w:tc>
        <w:tc>
          <w:tcPr>
            <w:tcW w:w="8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2"/>
        </w:trPr>
        <w:tc>
          <w:tcPr>
            <w:tcW w:w="3060" w:type="dxa"/>
            <w:vAlign w:val="bottom"/>
          </w:tcPr>
          <w:p>
            <w:pPr>
              <w:ind w:left="240"/>
              <w:spacing w:after="0"/>
              <w:rPr>
                <w:sz w:val="20"/>
                <w:szCs w:val="20"/>
                <w:color w:val="auto"/>
              </w:rPr>
            </w:pPr>
            <w:r>
              <w:rPr>
                <w:rFonts w:ascii="Arial" w:cs="Arial" w:eastAsia="Arial" w:hAnsi="Arial"/>
                <w:sz w:val="18"/>
                <w:szCs w:val="18"/>
                <w:color w:val="auto"/>
              </w:rPr>
              <w:t>(loss) before reclassifications</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660"/>
              <w:spacing w:after="0" w:line="172" w:lineRule="exact"/>
              <w:rPr>
                <w:sz w:val="20"/>
                <w:szCs w:val="20"/>
                <w:color w:val="auto"/>
              </w:rPr>
            </w:pPr>
            <w:r>
              <w:rPr>
                <w:rFonts w:ascii="Arial" w:cs="Arial" w:eastAsia="Arial" w:hAnsi="Arial"/>
                <w:sz w:val="18"/>
                <w:szCs w:val="18"/>
                <w:color w:val="auto"/>
              </w:rPr>
              <w:t>Amounts reclassified from</w:t>
            </w: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40"/>
              <w:spacing w:after="0" w:line="171" w:lineRule="exact"/>
              <w:rPr>
                <w:sz w:val="20"/>
                <w:szCs w:val="20"/>
                <w:color w:val="auto"/>
              </w:rPr>
            </w:pPr>
            <w:r>
              <w:rPr>
                <w:rFonts w:ascii="Arial" w:cs="Arial" w:eastAsia="Arial" w:hAnsi="Arial"/>
                <w:sz w:val="18"/>
                <w:szCs w:val="18"/>
                <w:color w:val="auto"/>
                <w:w w:val="91"/>
              </w:rPr>
              <w:t>accumulated other comprehensive net</w:t>
            </w:r>
          </w:p>
        </w:tc>
        <w:tc>
          <w:tcPr>
            <w:tcW w:w="8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8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Income tax benefit (expense)</w:t>
            </w: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52"/>
        </w:trPr>
        <w:tc>
          <w:tcPr>
            <w:tcW w:w="3060" w:type="dxa"/>
            <w:vAlign w:val="bottom"/>
            <w:shd w:val="clear" w:color="auto" w:fill="CCEEFF"/>
          </w:tcPr>
          <w:p>
            <w:pPr>
              <w:ind w:left="460"/>
              <w:spacing w:after="0" w:line="152" w:lineRule="exact"/>
              <w:rPr>
                <w:sz w:val="20"/>
                <w:szCs w:val="20"/>
                <w:color w:val="auto"/>
              </w:rPr>
            </w:pPr>
            <w:r>
              <w:rPr>
                <w:rFonts w:ascii="Arial" w:cs="Arial" w:eastAsia="Arial" w:hAnsi="Arial"/>
                <w:sz w:val="16"/>
                <w:szCs w:val="16"/>
                <w:color w:val="auto"/>
              </w:rPr>
              <w:t>Net current period other</w:t>
            </w:r>
          </w:p>
        </w:tc>
        <w:tc>
          <w:tcPr>
            <w:tcW w:w="8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060" w:type="dxa"/>
            <w:vAlign w:val="bottom"/>
          </w:tcPr>
          <w:p>
            <w:pPr>
              <w:ind w:left="460"/>
              <w:spacing w:after="0" w:line="152" w:lineRule="exact"/>
              <w:rPr>
                <w:sz w:val="20"/>
                <w:szCs w:val="20"/>
                <w:color w:val="auto"/>
              </w:rPr>
            </w:pPr>
            <w:r>
              <w:rPr>
                <w:rFonts w:ascii="Arial" w:cs="Arial" w:eastAsia="Arial" w:hAnsi="Arial"/>
                <w:sz w:val="16"/>
                <w:szCs w:val="16"/>
                <w:color w:val="auto"/>
              </w:rPr>
              <w:t>Adoption of new accounting</w:t>
            </w:r>
          </w:p>
        </w:tc>
        <w:tc>
          <w:tcPr>
            <w:tcW w:w="8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pronouncements</w:t>
            </w: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w w:val="98"/>
              </w:rPr>
              <w:t>Balance at September 30, 2019</w:t>
            </w: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172"/>
        </w:trPr>
        <w:tc>
          <w:tcPr>
            <w:tcW w:w="3060" w:type="dxa"/>
            <w:vAlign w:val="bottom"/>
          </w:tcPr>
          <w:p>
            <w:pPr>
              <w:ind w:left="660"/>
              <w:spacing w:after="0" w:line="172" w:lineRule="exact"/>
              <w:rPr>
                <w:sz w:val="20"/>
                <w:szCs w:val="20"/>
                <w:color w:val="auto"/>
              </w:rPr>
            </w:pPr>
            <w:r>
              <w:rPr>
                <w:rFonts w:ascii="Arial" w:cs="Arial" w:eastAsia="Arial" w:hAnsi="Arial"/>
                <w:sz w:val="18"/>
                <w:szCs w:val="18"/>
                <w:color w:val="auto"/>
              </w:rPr>
              <w:t>Other comprehensive income</w:t>
            </w:r>
          </w:p>
        </w:tc>
        <w:tc>
          <w:tcPr>
            <w:tcW w:w="8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2"/>
        </w:trPr>
        <w:tc>
          <w:tcPr>
            <w:tcW w:w="3060" w:type="dxa"/>
            <w:vAlign w:val="bottom"/>
          </w:tcPr>
          <w:p>
            <w:pPr>
              <w:ind w:left="240"/>
              <w:spacing w:after="0"/>
              <w:rPr>
                <w:sz w:val="20"/>
                <w:szCs w:val="20"/>
                <w:color w:val="auto"/>
              </w:rPr>
            </w:pPr>
            <w:r>
              <w:rPr>
                <w:rFonts w:ascii="Arial" w:cs="Arial" w:eastAsia="Arial" w:hAnsi="Arial"/>
                <w:sz w:val="18"/>
                <w:szCs w:val="18"/>
                <w:color w:val="auto"/>
              </w:rPr>
              <w:t>(loss) before reclassifications</w:t>
            </w:r>
          </w:p>
        </w:tc>
        <w:tc>
          <w:tcPr>
            <w:tcW w:w="8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660"/>
              <w:spacing w:after="0" w:line="172" w:lineRule="exact"/>
              <w:rPr>
                <w:sz w:val="20"/>
                <w:szCs w:val="20"/>
                <w:color w:val="auto"/>
              </w:rPr>
            </w:pPr>
            <w:r>
              <w:rPr>
                <w:rFonts w:ascii="Arial" w:cs="Arial" w:eastAsia="Arial" w:hAnsi="Arial"/>
                <w:sz w:val="18"/>
                <w:szCs w:val="18"/>
                <w:color w:val="auto"/>
              </w:rPr>
              <w:t>Amounts reclassified from</w:t>
            </w:r>
          </w:p>
        </w:tc>
        <w:tc>
          <w:tcPr>
            <w:tcW w:w="8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shd w:val="clear" w:color="auto" w:fill="CCEEFF"/>
          </w:tcPr>
          <w:p>
            <w:pPr>
              <w:ind w:left="240"/>
              <w:spacing w:after="0" w:line="171" w:lineRule="exact"/>
              <w:rPr>
                <w:sz w:val="20"/>
                <w:szCs w:val="20"/>
                <w:color w:val="auto"/>
              </w:rPr>
            </w:pPr>
            <w:r>
              <w:rPr>
                <w:rFonts w:ascii="Arial" w:cs="Arial" w:eastAsia="Arial" w:hAnsi="Arial"/>
                <w:sz w:val="18"/>
                <w:szCs w:val="18"/>
                <w:color w:val="auto"/>
                <w:w w:val="91"/>
              </w:rPr>
              <w:t>accumulated other comprehensive net</w:t>
            </w:r>
          </w:p>
        </w:tc>
        <w:tc>
          <w:tcPr>
            <w:tcW w:w="8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(loss)</w:t>
            </w:r>
          </w:p>
        </w:tc>
        <w:tc>
          <w:tcPr>
            <w:tcW w:w="8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Income tax benefit (expense)</w:t>
            </w: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52"/>
        </w:trPr>
        <w:tc>
          <w:tcPr>
            <w:tcW w:w="3060" w:type="dxa"/>
            <w:vAlign w:val="bottom"/>
            <w:shd w:val="clear" w:color="auto" w:fill="CCEEFF"/>
          </w:tcPr>
          <w:p>
            <w:pPr>
              <w:ind w:left="460"/>
              <w:spacing w:after="0" w:line="152" w:lineRule="exact"/>
              <w:rPr>
                <w:sz w:val="20"/>
                <w:szCs w:val="20"/>
                <w:color w:val="auto"/>
              </w:rPr>
            </w:pPr>
            <w:r>
              <w:rPr>
                <w:rFonts w:ascii="Arial" w:cs="Arial" w:eastAsia="Arial" w:hAnsi="Arial"/>
                <w:sz w:val="16"/>
                <w:szCs w:val="16"/>
                <w:color w:val="auto"/>
              </w:rPr>
              <w:t>Net current period other</w:t>
            </w:r>
          </w:p>
        </w:tc>
        <w:tc>
          <w:tcPr>
            <w:tcW w:w="8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460"/>
              <w:spacing w:after="0"/>
              <w:rPr>
                <w:sz w:val="20"/>
                <w:szCs w:val="20"/>
                <w:color w:val="auto"/>
              </w:rPr>
            </w:pPr>
            <w:r>
              <w:rPr>
                <w:rFonts w:ascii="Arial" w:cs="Arial" w:eastAsia="Arial" w:hAnsi="Arial"/>
                <w:sz w:val="18"/>
                <w:szCs w:val="18"/>
                <w:b w:val="1"/>
                <w:bCs w:val="1"/>
                <w:color w:val="auto"/>
                <w:w w:val="98"/>
              </w:rPr>
              <w:t>Balance at September 30, 2020</w:t>
            </w:r>
          </w:p>
        </w:tc>
        <w:tc>
          <w:tcPr>
            <w:tcW w:w="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ind w:left="660"/>
              <w:spacing w:after="0" w:line="172" w:lineRule="exact"/>
              <w:rPr>
                <w:sz w:val="20"/>
                <w:szCs w:val="20"/>
                <w:color w:val="auto"/>
              </w:rPr>
            </w:pPr>
            <w:r>
              <w:rPr>
                <w:rFonts w:ascii="Arial" w:cs="Arial" w:eastAsia="Arial" w:hAnsi="Arial"/>
                <w:sz w:val="18"/>
                <w:szCs w:val="18"/>
                <w:color w:val="auto"/>
              </w:rPr>
              <w:t>Other comprehensive income</w:t>
            </w:r>
          </w:p>
        </w:tc>
        <w:tc>
          <w:tcPr>
            <w:tcW w:w="8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before reclassifications</w:t>
            </w:r>
          </w:p>
        </w:tc>
        <w:tc>
          <w:tcPr>
            <w:tcW w:w="8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60" w:type="dxa"/>
            <w:vAlign w:val="bottom"/>
          </w:tcPr>
          <w:p>
            <w:pPr>
              <w:ind w:left="660"/>
              <w:spacing w:after="0" w:line="172" w:lineRule="exact"/>
              <w:rPr>
                <w:sz w:val="20"/>
                <w:szCs w:val="20"/>
                <w:color w:val="auto"/>
              </w:rPr>
            </w:pPr>
            <w:r>
              <w:rPr>
                <w:rFonts w:ascii="Arial" w:cs="Arial" w:eastAsia="Arial" w:hAnsi="Arial"/>
                <w:sz w:val="18"/>
                <w:szCs w:val="18"/>
                <w:color w:val="auto"/>
              </w:rPr>
              <w:t>Amounts reclassified from</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40"/>
              <w:spacing w:after="0" w:line="171" w:lineRule="exact"/>
              <w:rPr>
                <w:sz w:val="20"/>
                <w:szCs w:val="20"/>
                <w:color w:val="auto"/>
              </w:rPr>
            </w:pPr>
            <w:r>
              <w:rPr>
                <w:rFonts w:ascii="Arial" w:cs="Arial" w:eastAsia="Arial" w:hAnsi="Arial"/>
                <w:sz w:val="18"/>
                <w:szCs w:val="18"/>
                <w:color w:val="auto"/>
                <w:w w:val="91"/>
              </w:rPr>
              <w:t>accumulated other comprehensive net</w:t>
            </w:r>
          </w:p>
        </w:tc>
        <w:tc>
          <w:tcPr>
            <w:tcW w:w="8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2"/>
        </w:trPr>
        <w:tc>
          <w:tcPr>
            <w:tcW w:w="3060" w:type="dxa"/>
            <w:vAlign w:val="bottom"/>
          </w:tcPr>
          <w:p>
            <w:pPr>
              <w:ind w:left="240"/>
              <w:spacing w:after="0"/>
              <w:rPr>
                <w:sz w:val="20"/>
                <w:szCs w:val="20"/>
                <w:color w:val="auto"/>
              </w:rPr>
            </w:pPr>
            <w:r>
              <w:rPr>
                <w:rFonts w:ascii="Arial" w:cs="Arial" w:eastAsia="Arial" w:hAnsi="Arial"/>
                <w:sz w:val="18"/>
                <w:szCs w:val="18"/>
                <w:color w:val="auto"/>
              </w:rPr>
              <w:t>income (loss)</w:t>
            </w:r>
          </w:p>
        </w:tc>
        <w:tc>
          <w:tcPr>
            <w:tcW w:w="8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benefit (expense)</w:t>
            </w:r>
          </w:p>
        </w:tc>
        <w:tc>
          <w:tcPr>
            <w:tcW w:w="8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52"/>
        </w:trPr>
        <w:tc>
          <w:tcPr>
            <w:tcW w:w="3060" w:type="dxa"/>
            <w:vAlign w:val="bottom"/>
          </w:tcPr>
          <w:p>
            <w:pPr>
              <w:ind w:left="460"/>
              <w:spacing w:after="0" w:line="152" w:lineRule="exact"/>
              <w:rPr>
                <w:sz w:val="20"/>
                <w:szCs w:val="20"/>
                <w:color w:val="auto"/>
              </w:rPr>
            </w:pPr>
            <w:r>
              <w:rPr>
                <w:rFonts w:ascii="Arial" w:cs="Arial" w:eastAsia="Arial" w:hAnsi="Arial"/>
                <w:sz w:val="16"/>
                <w:szCs w:val="16"/>
                <w:color w:val="auto"/>
              </w:rPr>
              <w:t>Net current period other</w:t>
            </w:r>
          </w:p>
        </w:tc>
        <w:tc>
          <w:tcPr>
            <w:tcW w:w="8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2"/>
        </w:trPr>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98"/>
              </w:rPr>
              <w:t>Balance at September 30, 2021</w:t>
            </w:r>
          </w:p>
        </w:tc>
        <w:tc>
          <w:tcPr>
            <w:tcW w:w="8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sum of the components may not equal due to rounding.</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Dividends</w:t>
      </w:r>
    </w:p>
    <w:p>
      <w:pPr>
        <w:spacing w:after="0" w:line="82"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On July 27, 2020, the Scotts Miracle-Gro Board of Directors approved an increase in the Company’s quarterly cash dividend from $0.58 to $0.62 per Common Share. In addition, on July 27, 2020, the Scotts Miracle-Gro Board of Directors approved a special cash dividend of $5.00 per Common Share, which was paid on September 10, 2020 to all shareholders of record at the close of business on August 27, 2020. On July 30, 2021, the Scotts Miracle-Gro Board of Directors approved an increase in the Company’s quarterly cash dividend from $0.62 to $0.66 per Common Share, which was first paid in the fourth quarter of fiscal 2021.</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95"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On August 11, 2014, Scotts Miracle-Gro announced that its Board of Directors authorized the repurchase of up to $500.0 of Common Shares over a five-year period (effective November 1, 2014 through September 30, 2019). On August 3, 2016, Scotts Miracle-Gro announced that its Board of Directors authorized a $500.0 increase to the share repurchase authorization ending on September 30, 2019. On August 2, 2019, the Scotts Miracle-Gro Board of Directors authorized an extension of the share repurchase authorization through March 28, 2020. The amended authorization allowed for repurchases of Common Shares of up to an aggregate amount of $1,000.0 through March 28, 2020. During fiscal 2020 through March 28, 2020, Scotts Miracle-Gro repurchased 0.4 million Common Shares under this share repurchase authorization for $48.2. There were no share repurchases under this share repurchase authorization during fiscal 2019. From the effective date of this share repurchase authorization in the fourth quarter of fiscal 2014 through March 28, 2020, Scotts Miracle-Gro repurchased approximately 8.7 million Common Shares for $762.8.</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On February 6, 2020, Scotts Miracle-Gro announced that its Board of Directors authorized the repurchase of up to $750.0 of Common Shares from April 30, 2020 through March 25, 2023.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may be suspended or discontinued by the Board of Directors at any time, and there can be no guarantee as to the timing or amount of any repurchases. There were no share repurchases under this share repurchase authorization during fiscal 2020. During fiscal 2021, Scotts Miracle-Gro repurchased 0.6 million Common Shares under this share repurchase authorization for $113.1. The “Treasury share purchases” lines in the Consolidated Statements of Shareholders’ Equity includes cash paid to tax authorities to satisfy statutory income tax withholding obligations related to share-based compensation of $16.3, $4.9 and $2.7 for fiscal 2021, fiscal 2020 and fiscal 2019, respectively.</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5" w:lineRule="exact"/>
        <w:rPr>
          <w:sz w:val="20"/>
          <w:szCs w:val="20"/>
          <w:color w:val="auto"/>
        </w:rPr>
      </w:pPr>
    </w:p>
    <w:p>
      <w:pPr>
        <w:jc w:val="both"/>
        <w:ind w:firstLine="434"/>
        <w:spacing w:after="0" w:line="246" w:lineRule="auto"/>
        <w:rPr>
          <w:sz w:val="20"/>
          <w:szCs w:val="20"/>
          <w:color w:val="auto"/>
        </w:rPr>
      </w:pPr>
      <w:r>
        <w:rPr>
          <w:rFonts w:ascii="Arial" w:cs="Arial" w:eastAsia="Arial" w:hAnsi="Arial"/>
          <w:sz w:val="18"/>
          <w:szCs w:val="18"/>
          <w:color w:val="auto"/>
        </w:rPr>
        <w:t>A maximum of 7.3 million Common Shares are available for issuance under share-based award plans. At September 30, 2021, approximately 2.6 million Common Shares were not subject to outstanding awards and were available to underlie the grant of new share-based awards. Common Shares held in treasury totaling 0.4 million, 0.4 million and 0.5 million were reissued in support of share-based compensation awards and employee purchases under the employee stock purchase plan during fiscal 2021, fiscal 2020 and fiscal 2019, respectively. Performance-based award units with performance periods ending September 30, 2021 achieved a weighted average of 240 percent of the target performance share units granted and will result in the reissuance of 1.2 million Common Shares held in treasury, and a corresponding reduction in the number of shares available to underlie new share-based awards in the future, upon vesting during fiscal 2022.</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5"/>
              </w:rPr>
              <w:t>Year Ended September 30,</w:t>
            </w: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2"/>
        </w:trPr>
        <w:tc>
          <w:tcPr>
            <w:tcW w:w="48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r>
      <w:tr>
        <w:trPr>
          <w:trHeight w:val="204"/>
        </w:trPr>
        <w:tc>
          <w:tcPr>
            <w:tcW w:w="4880" w:type="dxa"/>
            <w:vAlign w:val="bottom"/>
            <w:gridSpan w:val="2"/>
            <w:shd w:val="clear" w:color="auto" w:fill="CCEEFF"/>
          </w:tcPr>
          <w:p>
            <w:pPr>
              <w:ind w:left="460"/>
              <w:spacing w:after="0" w:line="203" w:lineRule="exact"/>
              <w:rPr>
                <w:sz w:val="20"/>
                <w:szCs w:val="20"/>
                <w:color w:val="auto"/>
              </w:rPr>
            </w:pPr>
            <w:r>
              <w:rPr>
                <w:rFonts w:ascii="Arial" w:cs="Arial" w:eastAsia="Arial" w:hAnsi="Arial"/>
                <w:sz w:val="18"/>
                <w:szCs w:val="18"/>
                <w:color w:val="auto"/>
              </w:rPr>
              <w:t>Employees</w:t>
            </w:r>
          </w:p>
        </w:tc>
        <w:tc>
          <w:tcPr>
            <w:tcW w:w="1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3"/>
        </w:trPr>
        <w:tc>
          <w:tcPr>
            <w:tcW w:w="4880" w:type="dxa"/>
            <w:vAlign w:val="bottom"/>
            <w:gridSpan w:val="2"/>
          </w:tcPr>
          <w:p>
            <w:pPr>
              <w:ind w:left="780"/>
              <w:spacing w:after="0"/>
              <w:rPr>
                <w:sz w:val="20"/>
                <w:szCs w:val="20"/>
                <w:color w:val="auto"/>
              </w:rPr>
            </w:pPr>
            <w:r>
              <w:rPr>
                <w:rFonts w:ascii="Arial" w:cs="Arial" w:eastAsia="Arial" w:hAnsi="Arial"/>
                <w:sz w:val="18"/>
                <w:szCs w:val="18"/>
                <w:color w:val="auto"/>
              </w:rPr>
              <w:t>Options</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183,553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Restricted stock units</w:t>
            </w: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70,936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166,534</w:t>
            </w:r>
          </w:p>
        </w:tc>
      </w:tr>
      <w:tr>
        <w:trPr>
          <w:trHeight w:val="223"/>
        </w:trPr>
        <w:tc>
          <w:tcPr>
            <w:tcW w:w="4880" w:type="dxa"/>
            <w:vAlign w:val="bottom"/>
            <w:gridSpan w:val="2"/>
          </w:tcPr>
          <w:p>
            <w:pPr>
              <w:ind w:left="780"/>
              <w:spacing w:after="0"/>
              <w:rPr>
                <w:sz w:val="20"/>
                <w:szCs w:val="20"/>
                <w:color w:val="auto"/>
              </w:rPr>
            </w:pPr>
            <w:r>
              <w:rPr>
                <w:rFonts w:ascii="Arial" w:cs="Arial" w:eastAsia="Arial" w:hAnsi="Arial"/>
                <w:sz w:val="18"/>
                <w:szCs w:val="18"/>
                <w:color w:val="auto"/>
              </w:rPr>
              <w:t>Performance units</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131,644</w:t>
            </w:r>
          </w:p>
        </w:tc>
      </w:tr>
      <w:tr>
        <w:trPr>
          <w:trHeight w:val="224"/>
        </w:trPr>
        <w:tc>
          <w:tcPr>
            <w:tcW w:w="4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Non-Employee Directors</w:t>
            </w:r>
          </w:p>
        </w:tc>
        <w:tc>
          <w:tcPr>
            <w:tcW w:w="13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4880" w:type="dxa"/>
            <w:vAlign w:val="bottom"/>
            <w:tcBorders>
              <w:bottom w:val="single" w:sz="8" w:color="CCEEFF"/>
            </w:tcBorders>
            <w:gridSpan w:val="2"/>
          </w:tcPr>
          <w:p>
            <w:pPr>
              <w:ind w:left="780"/>
              <w:spacing w:after="0"/>
              <w:rPr>
                <w:sz w:val="20"/>
                <w:szCs w:val="20"/>
                <w:color w:val="auto"/>
              </w:rPr>
            </w:pPr>
            <w:r>
              <w:rPr>
                <w:rFonts w:ascii="Arial" w:cs="Arial" w:eastAsia="Arial" w:hAnsi="Arial"/>
                <w:sz w:val="18"/>
                <w:szCs w:val="18"/>
                <w:color w:val="auto"/>
              </w:rPr>
              <w:t>Restricted and deferred stock units</w:t>
            </w: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w:t>
            </w:r>
          </w:p>
        </w:tc>
      </w:tr>
      <w:tr>
        <w:trPr>
          <w:trHeight w:val="242"/>
        </w:trPr>
        <w:tc>
          <w:tcPr>
            <w:tcW w:w="4880" w:type="dxa"/>
            <w:vAlign w:val="bottom"/>
            <w:tcBorders>
              <w:bottom w:val="single" w:sz="8" w:color="CCEEFF"/>
            </w:tcBorders>
            <w:gridSpan w:val="2"/>
            <w:shd w:val="clear" w:color="auto" w:fill="CCEEFF"/>
          </w:tcPr>
          <w:p>
            <w:pPr>
              <w:ind w:left="460"/>
              <w:spacing w:after="0" w:line="203" w:lineRule="exact"/>
              <w:rPr>
                <w:sz w:val="20"/>
                <w:szCs w:val="20"/>
                <w:color w:val="auto"/>
              </w:rPr>
            </w:pPr>
            <w:r>
              <w:rPr>
                <w:rFonts w:ascii="Arial" w:cs="Arial" w:eastAsia="Arial" w:hAnsi="Arial"/>
                <w:sz w:val="18"/>
                <w:szCs w:val="18"/>
                <w:color w:val="auto"/>
              </w:rPr>
              <w:t>Total share-based awards</w:t>
            </w:r>
          </w:p>
        </w:tc>
        <w:tc>
          <w:tcPr>
            <w:tcW w:w="13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265,565</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213,499</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330,279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4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4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Aggregate fair value at grant dates</w:t>
            </w:r>
          </w:p>
        </w:tc>
        <w:tc>
          <w:tcPr>
            <w:tcW w:w="138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433"/>
        </w:trPr>
        <w:tc>
          <w:tcPr>
            <w:tcW w:w="6260" w:type="dxa"/>
            <w:vAlign w:val="bottom"/>
            <w:gridSpan w:val="3"/>
          </w:tcPr>
          <w:p>
            <w:pPr>
              <w:ind w:left="440"/>
              <w:spacing w:after="0"/>
              <w:rPr>
                <w:sz w:val="20"/>
                <w:szCs w:val="20"/>
                <w:color w:val="auto"/>
              </w:rPr>
            </w:pPr>
            <w:r>
              <w:rPr>
                <w:rFonts w:ascii="Arial" w:cs="Arial" w:eastAsia="Arial" w:hAnsi="Arial"/>
                <w:sz w:val="18"/>
                <w:szCs w:val="18"/>
                <w:color w:val="auto"/>
                <w:w w:val="89"/>
              </w:rPr>
              <w:t>Total share-based compensation was as follows for each of the periods indicated:</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4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6"/>
              </w:rPr>
              <w:t>Year Ended September 30,</w:t>
            </w: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82"/>
        </w:trPr>
        <w:tc>
          <w:tcPr>
            <w:tcW w:w="48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217"/>
        </w:trPr>
        <w:tc>
          <w:tcPr>
            <w:tcW w:w="48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Share-based compensation</w:t>
            </w: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3"/>
        </w:trPr>
        <w:tc>
          <w:tcPr>
            <w:tcW w:w="4880" w:type="dxa"/>
            <w:vAlign w:val="bottom"/>
            <w:gridSpan w:val="2"/>
          </w:tcPr>
          <w:p>
            <w:pPr>
              <w:ind w:left="460"/>
              <w:spacing w:after="0"/>
              <w:rPr>
                <w:sz w:val="20"/>
                <w:szCs w:val="20"/>
                <w:color w:val="auto"/>
              </w:rPr>
            </w:pPr>
            <w:r>
              <w:rPr>
                <w:rFonts w:ascii="Arial" w:cs="Arial" w:eastAsia="Arial" w:hAnsi="Arial"/>
                <w:sz w:val="18"/>
                <w:szCs w:val="18"/>
                <w:color w:val="auto"/>
              </w:rPr>
              <w:t>Related tax benefit recognized</w:t>
            </w:r>
          </w:p>
        </w:tc>
        <w:tc>
          <w:tcPr>
            <w:tcW w:w="1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2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Excess tax benefits related to share-based compensation were $18.3, $5.8 and $2.8 for fiscal 2021, fiscal 2020 and fiscal 2019,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was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jc w:val="right"/>
              <w:ind w:right="720"/>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31"/>
        </w:trPr>
        <w:tc>
          <w:tcPr>
            <w:tcW w:w="6860" w:type="dxa"/>
            <w:vAlign w:val="bottom"/>
          </w:tcPr>
          <w:p>
            <w:pPr>
              <w:spacing w:after="0"/>
              <w:rPr>
                <w:sz w:val="11"/>
                <w:szCs w:val="11"/>
                <w:color w:val="auto"/>
              </w:rPr>
            </w:pPr>
          </w:p>
        </w:tc>
        <w:tc>
          <w:tcPr>
            <w:tcW w:w="1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20" w:type="dxa"/>
            <w:vAlign w:val="bottom"/>
          </w:tcPr>
          <w:p>
            <w:pPr>
              <w:jc w:val="center"/>
              <w:ind w:right="640"/>
              <w:spacing w:after="0" w:line="131"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31"/>
        </w:trPr>
        <w:tc>
          <w:tcPr>
            <w:tcW w:w="68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20" w:type="dxa"/>
            <w:vAlign w:val="bottom"/>
          </w:tcPr>
          <w:p>
            <w:pPr>
              <w:jc w:val="center"/>
              <w:ind w:right="640"/>
              <w:spacing w:after="0" w:line="131"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64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Awards outstanding at September 30, 2020</w:t>
            </w:r>
          </w:p>
        </w:tc>
        <w:tc>
          <w:tcPr>
            <w:tcW w:w="1920" w:type="dxa"/>
            <w:vAlign w:val="bottom"/>
            <w:shd w:val="clear" w:color="auto" w:fill="CCEEFF"/>
          </w:tcPr>
          <w:p>
            <w:pPr>
              <w:jc w:val="center"/>
              <w:ind w:left="1137"/>
              <w:spacing w:after="0"/>
              <w:rPr>
                <w:sz w:val="20"/>
                <w:szCs w:val="20"/>
                <w:color w:val="auto"/>
              </w:rPr>
            </w:pPr>
            <w:r>
              <w:rPr>
                <w:rFonts w:ascii="Arial" w:cs="Arial" w:eastAsia="Arial" w:hAnsi="Arial"/>
                <w:sz w:val="18"/>
                <w:szCs w:val="18"/>
                <w:color w:val="auto"/>
                <w:w w:val="89"/>
              </w:rPr>
              <w:t>619,225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0" w:type="dxa"/>
            <w:vAlign w:val="bottom"/>
          </w:tcPr>
          <w:p>
            <w:pPr>
              <w:spacing w:after="0"/>
              <w:rPr>
                <w:sz w:val="1"/>
                <w:szCs w:val="1"/>
                <w:color w:val="auto"/>
              </w:rPr>
            </w:pPr>
          </w:p>
        </w:tc>
      </w:tr>
      <w:tr>
        <w:trPr>
          <w:trHeight w:val="223"/>
        </w:trPr>
        <w:tc>
          <w:tcPr>
            <w:tcW w:w="6860" w:type="dxa"/>
            <w:vAlign w:val="bottom"/>
          </w:tcPr>
          <w:p>
            <w:pPr>
              <w:ind w:left="460"/>
              <w:spacing w:after="0"/>
              <w:rPr>
                <w:sz w:val="20"/>
                <w:szCs w:val="20"/>
                <w:color w:val="auto"/>
              </w:rPr>
            </w:pPr>
            <w:r>
              <w:rPr>
                <w:rFonts w:ascii="Arial" w:cs="Arial" w:eastAsia="Arial" w:hAnsi="Arial"/>
                <w:sz w:val="18"/>
                <w:szCs w:val="18"/>
                <w:color w:val="auto"/>
              </w:rPr>
              <w:t>Granted</w:t>
            </w:r>
          </w:p>
        </w:tc>
        <w:tc>
          <w:tcPr>
            <w:tcW w:w="1920" w:type="dxa"/>
            <w:vAlign w:val="bottom"/>
          </w:tcPr>
          <w:p>
            <w:pPr>
              <w:jc w:val="center"/>
              <w:ind w:left="1137"/>
              <w:spacing w:after="0"/>
              <w:rPr>
                <w:sz w:val="20"/>
                <w:szCs w:val="20"/>
                <w:color w:val="auto"/>
              </w:rPr>
            </w:pPr>
            <w:r>
              <w:rPr>
                <w:rFonts w:ascii="Arial" w:cs="Arial" w:eastAsia="Arial" w:hAnsi="Arial"/>
                <w:sz w:val="18"/>
                <w:szCs w:val="18"/>
                <w:color w:val="auto"/>
                <w:w w:val="89"/>
              </w:rPr>
              <w:t>183,553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236.53</w:t>
            </w: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920" w:type="dxa"/>
            <w:vAlign w:val="bottom"/>
            <w:tcBorders>
              <w:bottom w:val="single" w:sz="8" w:color="auto"/>
            </w:tcBorders>
            <w:shd w:val="clear" w:color="auto" w:fill="CCEEFF"/>
          </w:tcPr>
          <w:p>
            <w:pPr>
              <w:jc w:val="center"/>
              <w:ind w:left="1117"/>
              <w:spacing w:after="0"/>
              <w:rPr>
                <w:sz w:val="20"/>
                <w:szCs w:val="20"/>
                <w:color w:val="auto"/>
              </w:rPr>
            </w:pPr>
            <w:r>
              <w:rPr>
                <w:rFonts w:ascii="Arial" w:cs="Arial" w:eastAsia="Arial" w:hAnsi="Arial"/>
                <w:sz w:val="18"/>
                <w:szCs w:val="18"/>
                <w:color w:val="auto"/>
                <w:w w:val="88"/>
              </w:rPr>
              <w:t>(234,587)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17"/>
        </w:trPr>
        <w:tc>
          <w:tcPr>
            <w:tcW w:w="6860" w:type="dxa"/>
            <w:vAlign w:val="bottom"/>
          </w:tcPr>
          <w:p>
            <w:pPr>
              <w:ind w:left="460"/>
              <w:spacing w:after="0" w:line="203" w:lineRule="exact"/>
              <w:rPr>
                <w:sz w:val="20"/>
                <w:szCs w:val="20"/>
                <w:color w:val="auto"/>
              </w:rPr>
            </w:pPr>
            <w:r>
              <w:rPr>
                <w:rFonts w:ascii="Arial" w:cs="Arial" w:eastAsia="Arial" w:hAnsi="Arial"/>
                <w:sz w:val="18"/>
                <w:szCs w:val="18"/>
                <w:color w:val="auto"/>
              </w:rPr>
              <w:t>Awards outstanding at September 30, 2021</w:t>
            </w:r>
          </w:p>
        </w:tc>
        <w:tc>
          <w:tcPr>
            <w:tcW w:w="1920" w:type="dxa"/>
            <w:vAlign w:val="bottom"/>
            <w:tcBorders>
              <w:bottom w:val="single" w:sz="8" w:color="auto"/>
            </w:tcBorders>
          </w:tcPr>
          <w:p>
            <w:pPr>
              <w:jc w:val="center"/>
              <w:ind w:left="1137"/>
              <w:spacing w:after="0"/>
              <w:rPr>
                <w:sz w:val="20"/>
                <w:szCs w:val="20"/>
                <w:color w:val="auto"/>
              </w:rPr>
            </w:pPr>
            <w:r>
              <w:rPr>
                <w:rFonts w:ascii="Arial" w:cs="Arial" w:eastAsia="Arial" w:hAnsi="Arial"/>
                <w:sz w:val="18"/>
                <w:szCs w:val="18"/>
                <w:color w:val="auto"/>
                <w:w w:val="89"/>
              </w:rPr>
              <w:t>568,191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Exercisable</w:t>
            </w:r>
          </w:p>
        </w:tc>
        <w:tc>
          <w:tcPr>
            <w:tcW w:w="1920" w:type="dxa"/>
            <w:vAlign w:val="bottom"/>
            <w:shd w:val="clear" w:color="auto" w:fill="CCEEFF"/>
          </w:tcPr>
          <w:p>
            <w:pPr>
              <w:jc w:val="center"/>
              <w:ind w:left="1137"/>
              <w:spacing w:after="0"/>
              <w:rPr>
                <w:sz w:val="20"/>
                <w:szCs w:val="20"/>
                <w:color w:val="auto"/>
              </w:rPr>
            </w:pPr>
            <w:r>
              <w:rPr>
                <w:rFonts w:ascii="Arial" w:cs="Arial" w:eastAsia="Arial" w:hAnsi="Arial"/>
                <w:sz w:val="18"/>
                <w:szCs w:val="18"/>
                <w:color w:val="auto"/>
                <w:w w:val="89"/>
              </w:rPr>
              <w:t>384,638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auto"/>
        </w:rPr>
        <w:t>At September 30, 2021, the total pre-tax compensation cost, net of estimated forfeitures, related to nonvested stock options not yet recognized was $3.7, which is expected to be recognized over a weighted-average period of 2.3 years. The total intrinsic value of stock options exercised was $41.8, $21.9 and $17.5 during fiscal 2021, fiscal 2020 and fiscal 2019, respectively. Cash received from the exercise of stock options, including amounts received from employee purchases under the employee stock purchase plan, was $15.2, $17.6 and $21.4 for fiscal 2021, fiscal 2020 and fiscal 2019, respectively. The following summarizes certain information pertaining to stock option awards outstanding and exercisable at September 30, 2021:</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Awards Outstanding</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Awards Exercisable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8"/>
              </w:rPr>
              <w:t>Wtd.</w:t>
            </w:r>
          </w:p>
        </w:tc>
        <w:tc>
          <w:tcPr>
            <w:tcW w:w="200" w:type="dxa"/>
            <w:vAlign w:val="bottom"/>
          </w:tcPr>
          <w:p>
            <w:pPr>
              <w:spacing w:after="0"/>
              <w:rPr>
                <w:sz w:val="11"/>
                <w:szCs w:val="11"/>
                <w:color w:val="auto"/>
              </w:rPr>
            </w:pPr>
          </w:p>
        </w:tc>
        <w:tc>
          <w:tcPr>
            <w:tcW w:w="880" w:type="dxa"/>
            <w:vAlign w:val="bottom"/>
          </w:tcPr>
          <w:p>
            <w:pPr>
              <w:jc w:val="center"/>
              <w:ind w:right="141"/>
              <w:spacing w:after="0" w:line="130" w:lineRule="exact"/>
              <w:rPr>
                <w:sz w:val="20"/>
                <w:szCs w:val="20"/>
                <w:color w:val="auto"/>
              </w:rPr>
            </w:pPr>
            <w:r>
              <w:rPr>
                <w:rFonts w:ascii="Arial" w:cs="Arial" w:eastAsia="Arial" w:hAnsi="Arial"/>
                <w:sz w:val="14"/>
                <w:szCs w:val="14"/>
                <w:b w:val="1"/>
                <w:bCs w:val="1"/>
                <w:color w:val="auto"/>
                <w:w w:val="98"/>
              </w:rPr>
              <w:t>Wtd.</w:t>
            </w: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8"/>
              </w:rPr>
              <w:t>Wtd.</w:t>
            </w:r>
          </w:p>
        </w:tc>
        <w:tc>
          <w:tcPr>
            <w:tcW w:w="200" w:type="dxa"/>
            <w:vAlign w:val="bottom"/>
          </w:tcPr>
          <w:p>
            <w:pPr>
              <w:spacing w:after="0"/>
              <w:rPr>
                <w:sz w:val="11"/>
                <w:szCs w:val="11"/>
                <w:color w:val="auto"/>
              </w:rPr>
            </w:pPr>
          </w:p>
        </w:tc>
        <w:tc>
          <w:tcPr>
            <w:tcW w:w="900" w:type="dxa"/>
            <w:vAlign w:val="bottom"/>
          </w:tcPr>
          <w:p>
            <w:pPr>
              <w:jc w:val="center"/>
              <w:ind w:right="121"/>
              <w:spacing w:after="0" w:line="130" w:lineRule="exact"/>
              <w:rPr>
                <w:sz w:val="20"/>
                <w:szCs w:val="20"/>
                <w:color w:val="auto"/>
              </w:rPr>
            </w:pPr>
            <w:r>
              <w:rPr>
                <w:rFonts w:ascii="Arial" w:cs="Arial" w:eastAsia="Arial" w:hAnsi="Arial"/>
                <w:sz w:val="14"/>
                <w:szCs w:val="14"/>
                <w:b w:val="1"/>
                <w:bCs w:val="1"/>
                <w:color w:val="auto"/>
                <w:w w:val="98"/>
              </w:rPr>
              <w:t>Wtd.</w:t>
            </w:r>
          </w:p>
        </w:tc>
        <w:tc>
          <w:tcPr>
            <w:tcW w:w="0" w:type="dxa"/>
            <w:vAlign w:val="bottom"/>
          </w:tcPr>
          <w:p>
            <w:pPr>
              <w:spacing w:after="0"/>
              <w:rPr>
                <w:sz w:val="1"/>
                <w:szCs w:val="1"/>
                <w:color w:val="auto"/>
              </w:rPr>
            </w:pPr>
          </w:p>
        </w:tc>
      </w:tr>
      <w:tr>
        <w:trPr>
          <w:trHeight w:val="131"/>
        </w:trPr>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w:t>
            </w:r>
          </w:p>
        </w:tc>
        <w:tc>
          <w:tcPr>
            <w:tcW w:w="110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5"/>
              </w:rPr>
              <w:t>Avg.</w:t>
            </w:r>
          </w:p>
        </w:tc>
        <w:tc>
          <w:tcPr>
            <w:tcW w:w="200" w:type="dxa"/>
            <w:vAlign w:val="bottom"/>
          </w:tcPr>
          <w:p>
            <w:pPr>
              <w:spacing w:after="0"/>
              <w:rPr>
                <w:sz w:val="11"/>
                <w:szCs w:val="11"/>
                <w:color w:val="auto"/>
              </w:rPr>
            </w:pPr>
          </w:p>
        </w:tc>
        <w:tc>
          <w:tcPr>
            <w:tcW w:w="98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85"/>
              </w:rPr>
              <w:t>Avg.</w:t>
            </w:r>
          </w:p>
        </w:tc>
        <w:tc>
          <w:tcPr>
            <w:tcW w:w="11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No. of</w:t>
            </w: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5"/>
              </w:rPr>
              <w:t>Avg.</w:t>
            </w:r>
          </w:p>
        </w:tc>
        <w:tc>
          <w:tcPr>
            <w:tcW w:w="200" w:type="dxa"/>
            <w:vAlign w:val="bottom"/>
          </w:tcPr>
          <w:p>
            <w:pPr>
              <w:spacing w:after="0"/>
              <w:rPr>
                <w:sz w:val="11"/>
                <w:szCs w:val="11"/>
                <w:color w:val="auto"/>
              </w:rPr>
            </w:pPr>
          </w:p>
        </w:tc>
        <w:tc>
          <w:tcPr>
            <w:tcW w:w="900" w:type="dxa"/>
            <w:vAlign w:val="bottom"/>
          </w:tcPr>
          <w:p>
            <w:pPr>
              <w:jc w:val="center"/>
              <w:ind w:right="121"/>
              <w:spacing w:after="0" w:line="131"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31"/>
        </w:trPr>
        <w:tc>
          <w:tcPr>
            <w:tcW w:w="41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980" w:type="dxa"/>
            <w:vAlign w:val="bottom"/>
            <w:gridSpan w:val="2"/>
          </w:tcPr>
          <w:p>
            <w:pPr>
              <w:jc w:val="center"/>
              <w:ind w:right="320"/>
              <w:spacing w:after="0" w:line="131"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900" w:type="dxa"/>
            <w:vAlign w:val="bottom"/>
          </w:tcPr>
          <w:p>
            <w:pPr>
              <w:jc w:val="center"/>
              <w:ind w:right="121"/>
              <w:spacing w:after="0" w:line="131"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$42.60 - $42.60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color w:val="auto"/>
              </w:rPr>
              <w:t>$59.62 - $64.55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380,932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62.18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380,932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$236.53 - $236.53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183,553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384,638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intrinsic values of the stock option awards outstanding and exercisable at September 30, 2021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2021</w:t>
            </w:r>
          </w:p>
        </w:tc>
      </w:tr>
      <w:tr>
        <w:trPr>
          <w:trHeight w:val="222"/>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Exercisable</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32.4</w:t>
            </w: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assumptions for stock option awards granted in fiscal 2021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market price volatility</w:t>
            </w:r>
          </w:p>
        </w:tc>
        <w:tc>
          <w:tcPr>
            <w:tcW w:w="5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31.9 %</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Expected life of stock options in years</w:t>
            </w:r>
          </w:p>
        </w:tc>
        <w:tc>
          <w:tcPr>
            <w:tcW w:w="5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weighted-average fair value per stock option</w:t>
            </w:r>
          </w:p>
        </w:tc>
        <w:tc>
          <w:tcPr>
            <w:tcW w:w="532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61.15</w:t>
            </w:r>
          </w:p>
        </w:tc>
      </w:tr>
      <w:tr>
        <w:trPr>
          <w:trHeight w:val="867"/>
        </w:trPr>
        <w:tc>
          <w:tcPr>
            <w:tcW w:w="4720" w:type="dxa"/>
            <w:vAlign w:val="bottom"/>
          </w:tcPr>
          <w:p>
            <w:pPr>
              <w:spacing w:after="0"/>
              <w:rPr>
                <w:sz w:val="24"/>
                <w:szCs w:val="24"/>
                <w:color w:val="auto"/>
              </w:rPr>
            </w:pPr>
          </w:p>
        </w:tc>
        <w:tc>
          <w:tcPr>
            <w:tcW w:w="5320" w:type="dxa"/>
            <w:vAlign w:val="bottom"/>
          </w:tcPr>
          <w:p>
            <w:pPr>
              <w:jc w:val="right"/>
              <w:ind w:right="4232"/>
              <w:spacing w:after="0"/>
              <w:rPr>
                <w:sz w:val="20"/>
                <w:szCs w:val="20"/>
                <w:color w:val="auto"/>
              </w:rPr>
            </w:pPr>
            <w:r>
              <w:rPr>
                <w:rFonts w:ascii="Arial" w:cs="Arial" w:eastAsia="Arial" w:hAnsi="Arial"/>
                <w:sz w:val="18"/>
                <w:szCs w:val="18"/>
                <w:color w:val="auto"/>
              </w:rPr>
              <w:t>93</w:t>
            </w:r>
          </w:p>
        </w:tc>
        <w:tc>
          <w:tcPr>
            <w:tcW w:w="1200" w:type="dxa"/>
            <w:vAlign w:val="bottom"/>
          </w:tcPr>
          <w:p>
            <w:pPr>
              <w:spacing w:after="0"/>
              <w:rPr>
                <w:sz w:val="24"/>
                <w:szCs w:val="24"/>
                <w:color w:val="auto"/>
              </w:rPr>
            </w:pPr>
          </w:p>
        </w:tc>
      </w:tr>
      <w:tr>
        <w:trPr>
          <w:trHeight w:val="112"/>
        </w:trPr>
        <w:tc>
          <w:tcPr>
            <w:tcW w:w="4720" w:type="dxa"/>
            <w:vAlign w:val="bottom"/>
            <w:tcBorders>
              <w:bottom w:val="single" w:sz="8" w:color="9A9A9A"/>
            </w:tcBorders>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10"/>
        </w:trPr>
        <w:tc>
          <w:tcPr>
            <w:tcW w:w="3480" w:type="dxa"/>
            <w:vAlign w:val="bottom"/>
          </w:tcPr>
          <w:p>
            <w:pPr>
              <w:ind w:left="20"/>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5640" w:type="dxa"/>
            <w:vAlign w:val="bottom"/>
            <w:gridSpan w:val="2"/>
          </w:tcPr>
          <w:p>
            <w:pPr>
              <w:jc w:val="center"/>
              <w:ind w:right="1284"/>
              <w:spacing w:after="0"/>
              <w:rPr>
                <w:sz w:val="20"/>
                <w:szCs w:val="20"/>
                <w:color w:val="auto"/>
              </w:rPr>
            </w:pPr>
            <w:r>
              <w:rPr>
                <w:rFonts w:ascii="Arial" w:cs="Arial" w:eastAsia="Arial" w:hAnsi="Arial"/>
                <w:sz w:val="18"/>
                <w:szCs w:val="18"/>
                <w:b w:val="1"/>
                <w:bCs w:val="1"/>
                <w:color w:val="auto"/>
                <w:w w:val="98"/>
              </w:rPr>
              <w:t>THE SCOTTS MIRACLE-GRO COMPANY</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120" w:type="dxa"/>
            <w:vAlign w:val="bottom"/>
            <w:gridSpan w:val="3"/>
          </w:tcPr>
          <w:p>
            <w:pPr>
              <w:jc w:val="center"/>
              <w:ind w:left="2034"/>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5640" w:type="dxa"/>
            <w:vAlign w:val="bottom"/>
            <w:gridSpan w:val="2"/>
          </w:tcPr>
          <w:p>
            <w:pPr>
              <w:jc w:val="center"/>
              <w:ind w:right="1264"/>
              <w:spacing w:after="0"/>
              <w:rPr>
                <w:sz w:val="20"/>
                <w:szCs w:val="20"/>
                <w:color w:val="auto"/>
              </w:rPr>
            </w:pPr>
            <w:r>
              <w:rPr>
                <w:rFonts w:ascii="Arial" w:cs="Arial" w:eastAsia="Arial" w:hAnsi="Arial"/>
                <w:sz w:val="14"/>
                <w:szCs w:val="14"/>
                <w:b w:val="1"/>
                <w:bCs w:val="1"/>
                <w:color w:val="auto"/>
                <w:w w:val="90"/>
              </w:rPr>
              <w:t>(Dollars in millions, except per share data)</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4"/>
        </w:trPr>
        <w:tc>
          <w:tcPr>
            <w:tcW w:w="348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Restricted share-based awards</w:t>
            </w:r>
          </w:p>
        </w:tc>
        <w:tc>
          <w:tcPr>
            <w:tcW w:w="3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120" w:type="dxa"/>
            <w:vAlign w:val="bottom"/>
            <w:gridSpan w:val="3"/>
          </w:tcPr>
          <w:p>
            <w:pPr>
              <w:ind w:left="440"/>
              <w:spacing w:after="0"/>
              <w:rPr>
                <w:sz w:val="20"/>
                <w:szCs w:val="20"/>
                <w:color w:val="auto"/>
              </w:rPr>
            </w:pPr>
            <w:r>
              <w:rPr>
                <w:rFonts w:ascii="Arial" w:cs="Arial" w:eastAsia="Arial" w:hAnsi="Arial"/>
                <w:sz w:val="18"/>
                <w:szCs w:val="18"/>
                <w:color w:val="auto"/>
                <w:w w:val="98"/>
              </w:rPr>
              <w:t>Restricted share-based award activity (including restricted stock units and deferred stock units) was as follows: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Wtd. Avg.</w:t>
            </w: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960" w:type="dxa"/>
            <w:vAlign w:val="bottom"/>
            <w:vMerge w:val="restart"/>
          </w:tcPr>
          <w:p>
            <w:pPr>
              <w:jc w:val="right"/>
              <w:ind w:right="724"/>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tcPr>
          <w:p>
            <w:pPr>
              <w:jc w:val="center"/>
              <w:ind w:right="280"/>
              <w:spacing w:after="0" w:line="131"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31"/>
        </w:trPr>
        <w:tc>
          <w:tcPr>
            <w:tcW w:w="34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tcPr>
          <w:p>
            <w:pPr>
              <w:jc w:val="center"/>
              <w:ind w:right="280"/>
              <w:spacing w:after="0" w:line="131"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348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960" w:type="dxa"/>
            <w:vAlign w:val="bottom"/>
            <w:tcBorders>
              <w:bottom w:val="single" w:sz="8" w:color="auto"/>
            </w:tcBorders>
          </w:tcPr>
          <w:p>
            <w:pPr>
              <w:jc w:val="right"/>
              <w:ind w:right="70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7"/>
        </w:trPr>
        <w:tc>
          <w:tcPr>
            <w:tcW w:w="34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Awards outstanding at September 30, 2020</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500,237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Granted</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80,109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230.95</w:t>
            </w:r>
          </w:p>
        </w:tc>
        <w:tc>
          <w:tcPr>
            <w:tcW w:w="0" w:type="dxa"/>
            <w:vAlign w:val="bottom"/>
          </w:tcPr>
          <w:p>
            <w:pPr>
              <w:spacing w:after="0"/>
              <w:rPr>
                <w:sz w:val="1"/>
                <w:szCs w:val="1"/>
                <w:color w:val="auto"/>
              </w:rPr>
            </w:pPr>
          </w:p>
        </w:tc>
      </w:tr>
      <w:tr>
        <w:trPr>
          <w:trHeight w:val="224"/>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368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37"/>
        </w:trPr>
        <w:tc>
          <w:tcPr>
            <w:tcW w:w="34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w w:val="99"/>
              </w:rPr>
              <w:t>Awards outstanding at September 30, 2021</w:t>
            </w:r>
          </w:p>
        </w:tc>
        <w:tc>
          <w:tcPr>
            <w:tcW w:w="5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375,825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At September 30, 2021, the total pre-tax compensation cost, net of estimated forfeitures, related to nonvested restricted share units not yet recognized was $11.3, which is expected to be recognized over a weighted-average period of 1.8 years. The total fair value of restricted stock units and deferred stock units vested was $41.8, $15.2 and $6.3 during fiscal 2021, fiscal 2020 and fiscal 2019, respectively.</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 (based on target award amounts):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jc w:val="center"/>
              <w:ind w:right="280"/>
              <w:spacing w:after="0"/>
              <w:rPr>
                <w:sz w:val="20"/>
                <w:szCs w:val="20"/>
                <w:color w:val="auto"/>
              </w:rPr>
            </w:pPr>
            <w:r>
              <w:rPr>
                <w:rFonts w:ascii="Arial" w:cs="Arial" w:eastAsia="Arial" w:hAnsi="Arial"/>
                <w:sz w:val="14"/>
                <w:szCs w:val="14"/>
                <w:b w:val="1"/>
                <w:bCs w:val="1"/>
                <w:color w:val="auto"/>
                <w:w w:val="89"/>
              </w:rPr>
              <w:t>Wtd. Avg.</w:t>
            </w: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120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No. of</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jc w:val="center"/>
              <w:ind w:right="280"/>
              <w:spacing w:after="0" w:line="131"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31"/>
        </w:trPr>
        <w:tc>
          <w:tcPr>
            <w:tcW w:w="73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Units</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17"/>
        </w:trPr>
        <w:tc>
          <w:tcPr>
            <w:tcW w:w="73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Awards outstanding at September 30, 2020</w:t>
            </w: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666,128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236.53</w:t>
            </w:r>
          </w:p>
        </w:tc>
        <w:tc>
          <w:tcPr>
            <w:tcW w:w="0" w:type="dxa"/>
            <w:vAlign w:val="bottom"/>
          </w:tcPr>
          <w:p>
            <w:pPr>
              <w:spacing w:after="0"/>
              <w:rPr>
                <w:sz w:val="1"/>
                <w:szCs w:val="1"/>
                <w:color w:val="auto"/>
              </w:rPr>
            </w:pPr>
          </w:p>
        </w:tc>
      </w:tr>
      <w:tr>
        <w:trPr>
          <w:trHeight w:val="224"/>
        </w:trPr>
        <w:tc>
          <w:tcPr>
            <w:tcW w:w="852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2"/>
                <w:szCs w:val="22"/>
                <w:color w:val="auto"/>
                <w:vertAlign w:val="superscript"/>
              </w:rPr>
              <w:t>(a)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(68,745)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42"/>
        </w:trPr>
        <w:tc>
          <w:tcPr>
            <w:tcW w:w="732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Awards outstanding at September 30, 2021</w:t>
            </w:r>
          </w:p>
        </w:tc>
        <w:tc>
          <w:tcPr>
            <w:tcW w:w="120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572,557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20" w:hanging="615"/>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Vested at a weighted average of 196 percent of the target performance share units granted.</w:t>
      </w:r>
    </w:p>
    <w:p>
      <w:pPr>
        <w:spacing w:after="0" w:line="142"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At September 30, 2021, the total pre-tax compensation cost, net of estimated forfeitures, related to nonvested performance-based units not yet recognized was $8.6, which is expected to be recognized over a weighted-average period of 0.9 years. The total fair value of performance-based units vested was $11.9 during fiscal 2021 and $3.9 during fiscal 2020 and fiscal 2019.</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0"/>
        </w:trPr>
        <w:tc>
          <w:tcPr>
            <w:tcW w:w="3920" w:type="dxa"/>
            <w:vAlign w:val="bottom"/>
          </w:tcPr>
          <w:p>
            <w:pPr>
              <w:ind w:left="20"/>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370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8"/>
              </w:rPr>
              <w:t>THE SCOTTS MIRACLE-GRO COMPANY</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60" w:type="dxa"/>
            <w:vAlign w:val="bottom"/>
            <w:gridSpan w:val="6"/>
          </w:tcPr>
          <w:p>
            <w:pPr>
              <w:jc w:val="center"/>
              <w:ind w:left="2493"/>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37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0"/>
              </w:rPr>
              <w:t>(Dollars in millions, except per share data)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9"/>
        </w:trPr>
        <w:tc>
          <w:tcPr>
            <w:tcW w:w="3920" w:type="dxa"/>
            <w:vAlign w:val="bottom"/>
          </w:tcPr>
          <w:p>
            <w:pPr>
              <w:spacing w:after="0"/>
              <w:rPr>
                <w:sz w:val="20"/>
                <w:szCs w:val="20"/>
                <w:color w:val="auto"/>
              </w:rPr>
            </w:pPr>
            <w:r>
              <w:rPr>
                <w:rFonts w:ascii="Arial" w:cs="Arial" w:eastAsia="Arial" w:hAnsi="Arial"/>
                <w:sz w:val="18"/>
                <w:szCs w:val="18"/>
                <w:b w:val="1"/>
                <w:bCs w:val="1"/>
                <w:color w:val="auto"/>
              </w:rPr>
              <w:t>NOTE 14. EARNINGS PER COMMON SHARE</w:t>
            </w:r>
          </w:p>
        </w:tc>
        <w:tc>
          <w:tcPr>
            <w:tcW w:w="2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140" w:type="dxa"/>
            <w:vAlign w:val="bottom"/>
            <w:gridSpan w:val="4"/>
          </w:tcPr>
          <w:p>
            <w:pPr>
              <w:ind w:left="440"/>
              <w:spacing w:after="0"/>
              <w:rPr>
                <w:sz w:val="20"/>
                <w:szCs w:val="20"/>
                <w:color w:val="auto"/>
              </w:rPr>
            </w:pPr>
            <w:r>
              <w:rPr>
                <w:rFonts w:ascii="Arial" w:cs="Arial" w:eastAsia="Arial" w:hAnsi="Arial"/>
                <w:sz w:val="18"/>
                <w:szCs w:val="18"/>
                <w:color w:val="auto"/>
                <w:w w:val="88"/>
              </w:rPr>
              <w:t>The following table presents information necessary to calculate basic and diluted income per Common Share.</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9"/>
              </w:rPr>
              <w:t>Year Ended September 30,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7"/>
        </w:trPr>
        <w:tc>
          <w:tcPr>
            <w:tcW w:w="39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from continuing operations</w:t>
            </w:r>
          </w:p>
        </w:tc>
        <w:tc>
          <w:tcPr>
            <w:tcW w:w="3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517.3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Net (income) loss attributable to noncontrolling interest</w:t>
            </w:r>
          </w:p>
        </w:tc>
        <w:tc>
          <w:tcPr>
            <w:tcW w:w="2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7"/>
        </w:trPr>
        <w:tc>
          <w:tcPr>
            <w:tcW w:w="67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attributable to controlling interest from continuing operations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Income (loss) from discontinued operations, net of tax</w:t>
            </w:r>
          </w:p>
        </w:tc>
        <w:tc>
          <w:tcPr>
            <w:tcW w:w="2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income attributable to controlling interest</w:t>
            </w:r>
          </w:p>
        </w:tc>
        <w:tc>
          <w:tcPr>
            <w:tcW w:w="3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512.5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2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ind w:left="340"/>
              <w:spacing w:after="0" w:line="172" w:lineRule="exact"/>
              <w:rPr>
                <w:sz w:val="20"/>
                <w:szCs w:val="20"/>
                <w:color w:val="auto"/>
              </w:rPr>
            </w:pPr>
            <w:r>
              <w:rPr>
                <w:rFonts w:ascii="Arial" w:cs="Arial" w:eastAsia="Arial" w:hAnsi="Arial"/>
                <w:sz w:val="18"/>
                <w:szCs w:val="18"/>
                <w:color w:val="auto"/>
                <w:w w:val="92"/>
              </w:rPr>
              <w:t>Weighted-average Common Shares outstanding</w:t>
            </w:r>
          </w:p>
        </w:tc>
        <w:tc>
          <w:tcPr>
            <w:tcW w:w="28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during the period</w:t>
            </w:r>
          </w:p>
        </w:tc>
        <w:tc>
          <w:tcPr>
            <w:tcW w:w="28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Income from continuing operations</w:t>
            </w:r>
          </w:p>
        </w:tc>
        <w:tc>
          <w:tcPr>
            <w:tcW w:w="2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vMerge w:val="continue"/>
          </w:tcPr>
          <w:p>
            <w:pPr>
              <w:spacing w:after="0"/>
              <w:rPr>
                <w:sz w:val="17"/>
                <w:szCs w:val="17"/>
                <w:color w:val="auto"/>
              </w:rPr>
            </w:pPr>
          </w:p>
        </w:tc>
        <w:tc>
          <w:tcPr>
            <w:tcW w:w="3700" w:type="dxa"/>
            <w:vAlign w:val="bottom"/>
            <w:gridSpan w:val="2"/>
          </w:tcPr>
          <w:p>
            <w:pPr>
              <w:jc w:val="right"/>
              <w:ind w:right="730"/>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5" w:lineRule="exact"/>
              <w:rPr>
                <w:sz w:val="20"/>
                <w:szCs w:val="20"/>
                <w:color w:val="auto"/>
              </w:rPr>
            </w:pPr>
            <w:r>
              <w:rPr>
                <w:rFonts w:ascii="Arial" w:cs="Arial" w:eastAsia="Arial" w:hAnsi="Arial"/>
                <w:sz w:val="18"/>
                <w:szCs w:val="18"/>
                <w:color w:val="auto"/>
              </w:rPr>
              <w:t>9.27</w:t>
            </w:r>
          </w:p>
        </w:tc>
        <w:tc>
          <w:tcPr>
            <w:tcW w:w="52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6.92</w:t>
            </w:r>
          </w:p>
        </w:tc>
        <w:tc>
          <w:tcPr>
            <w:tcW w:w="100" w:type="dxa"/>
            <w:vAlign w:val="bottom"/>
          </w:tcPr>
          <w:p>
            <w:pPr>
              <w:spacing w:after="0"/>
              <w:rPr>
                <w:sz w:val="17"/>
                <w:szCs w:val="17"/>
                <w:color w:val="auto"/>
              </w:rPr>
            </w:pPr>
          </w:p>
        </w:tc>
        <w:tc>
          <w:tcPr>
            <w:tcW w:w="340" w:type="dxa"/>
            <w:vAlign w:val="bottom"/>
          </w:tcPr>
          <w:p>
            <w:pPr>
              <w:jc w:val="right"/>
              <w:ind w:right="152"/>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8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3920" w:type="dxa"/>
            <w:vAlign w:val="bottom"/>
          </w:tcPr>
          <w:p>
            <w:pPr>
              <w:ind w:left="340"/>
              <w:spacing w:after="0" w:line="203" w:lineRule="exact"/>
              <w:rPr>
                <w:sz w:val="20"/>
                <w:szCs w:val="20"/>
                <w:color w:val="auto"/>
              </w:rPr>
            </w:pPr>
            <w:r>
              <w:rPr>
                <w:rFonts w:ascii="Arial" w:cs="Arial" w:eastAsia="Arial" w:hAnsi="Arial"/>
                <w:sz w:val="18"/>
                <w:szCs w:val="18"/>
                <w:color w:val="auto"/>
              </w:rPr>
              <w:t>Basic net income per Common Share</w:t>
            </w:r>
          </w:p>
        </w:tc>
        <w:tc>
          <w:tcPr>
            <w:tcW w:w="37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9.20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2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Diluted Income (Loss) Per Common Share:</w:t>
            </w:r>
          </w:p>
        </w:tc>
        <w:tc>
          <w:tcPr>
            <w:tcW w:w="2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920" w:type="dxa"/>
            <w:vAlign w:val="bottom"/>
          </w:tcPr>
          <w:p>
            <w:pPr>
              <w:ind w:left="340"/>
              <w:spacing w:after="0" w:line="172" w:lineRule="exact"/>
              <w:rPr>
                <w:sz w:val="20"/>
                <w:szCs w:val="20"/>
                <w:color w:val="auto"/>
              </w:rPr>
            </w:pPr>
            <w:r>
              <w:rPr>
                <w:rFonts w:ascii="Arial" w:cs="Arial" w:eastAsia="Arial" w:hAnsi="Arial"/>
                <w:sz w:val="18"/>
                <w:szCs w:val="18"/>
                <w:color w:val="auto"/>
                <w:w w:val="92"/>
              </w:rPr>
              <w:t>Weighted-average Common Shares outstanding</w:t>
            </w:r>
          </w:p>
        </w:tc>
        <w:tc>
          <w:tcPr>
            <w:tcW w:w="2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2"/>
        </w:trPr>
        <w:tc>
          <w:tcPr>
            <w:tcW w:w="3920" w:type="dxa"/>
            <w:vAlign w:val="bottom"/>
          </w:tcPr>
          <w:p>
            <w:pPr>
              <w:ind w:left="340"/>
              <w:spacing w:after="0"/>
              <w:rPr>
                <w:sz w:val="20"/>
                <w:szCs w:val="20"/>
                <w:color w:val="auto"/>
              </w:rPr>
            </w:pPr>
            <w:r>
              <w:rPr>
                <w:rFonts w:ascii="Arial" w:cs="Arial" w:eastAsia="Arial" w:hAnsi="Arial"/>
                <w:sz w:val="18"/>
                <w:szCs w:val="18"/>
                <w:color w:val="auto"/>
              </w:rPr>
              <w:t>during the period</w:t>
            </w:r>
          </w:p>
        </w:tc>
        <w:tc>
          <w:tcPr>
            <w:tcW w:w="2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potential Common Shares</w:t>
            </w:r>
          </w:p>
        </w:tc>
        <w:tc>
          <w:tcPr>
            <w:tcW w:w="28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52"/>
        </w:trPr>
        <w:tc>
          <w:tcPr>
            <w:tcW w:w="3920" w:type="dxa"/>
            <w:vAlign w:val="bottom"/>
          </w:tcPr>
          <w:p>
            <w:pPr>
              <w:ind w:left="340"/>
              <w:spacing w:after="0" w:line="152" w:lineRule="exact"/>
              <w:rPr>
                <w:sz w:val="20"/>
                <w:szCs w:val="20"/>
                <w:color w:val="auto"/>
              </w:rPr>
            </w:pPr>
            <w:r>
              <w:rPr>
                <w:rFonts w:ascii="Arial" w:cs="Arial" w:eastAsia="Arial" w:hAnsi="Arial"/>
                <w:sz w:val="16"/>
                <w:szCs w:val="16"/>
                <w:color w:val="auto"/>
              </w:rPr>
              <w:t>Weighted-average number of Common Shares</w:t>
            </w:r>
          </w:p>
        </w:tc>
        <w:tc>
          <w:tcPr>
            <w:tcW w:w="2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196"/>
        </w:trPr>
        <w:tc>
          <w:tcPr>
            <w:tcW w:w="3920" w:type="dxa"/>
            <w:vAlign w:val="bottom"/>
          </w:tcPr>
          <w:p>
            <w:pPr>
              <w:ind w:left="340"/>
              <w:spacing w:after="0" w:line="196" w:lineRule="exact"/>
              <w:rPr>
                <w:sz w:val="20"/>
                <w:szCs w:val="20"/>
                <w:color w:val="auto"/>
              </w:rPr>
            </w:pPr>
            <w:r>
              <w:rPr>
                <w:rFonts w:ascii="Arial" w:cs="Arial" w:eastAsia="Arial" w:hAnsi="Arial"/>
                <w:sz w:val="18"/>
                <w:szCs w:val="18"/>
                <w:color w:val="auto"/>
                <w:w w:val="88"/>
              </w:rPr>
              <w:t>outstanding and dilutive potential Common Shares</w:t>
            </w:r>
          </w:p>
        </w:tc>
        <w:tc>
          <w:tcPr>
            <w:tcW w:w="28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Income from continuing operations</w:t>
            </w:r>
          </w:p>
        </w:tc>
        <w:tc>
          <w:tcPr>
            <w:tcW w:w="3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Diluted net income per Common Share</w:t>
            </w:r>
          </w:p>
        </w:tc>
        <w:tc>
          <w:tcPr>
            <w:tcW w:w="37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Stock options with exercise prices greater than the average market price of the underlying Common Shares are excluded from the computation of diluted income per Common Share because they are out-of-the-money and the effect of their inclusion would be anti-dilutive. For fiscal 2021, the average number of out-of-the money options was 0.1 million. There were no out-of-the-money options for fiscal 2020 or fiscal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6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340"/>
              <w:spacing w:after="0"/>
              <w:rPr>
                <w:sz w:val="20"/>
                <w:szCs w:val="20"/>
                <w:color w:val="auto"/>
              </w:rPr>
            </w:pPr>
            <w:r>
              <w:rPr>
                <w:rFonts w:ascii="Arial" w:cs="Arial" w:eastAsia="Arial" w:hAnsi="Arial"/>
                <w:sz w:val="18"/>
                <w:szCs w:val="18"/>
                <w:color w:val="auto"/>
              </w:rPr>
              <w:t>Federal</w:t>
            </w:r>
          </w:p>
        </w:tc>
        <w:tc>
          <w:tcPr>
            <w:tcW w:w="3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113.7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w:t>
            </w:r>
          </w:p>
        </w:tc>
        <w:tc>
          <w:tcPr>
            <w:tcW w:w="22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6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Total Current</w:t>
            </w:r>
          </w:p>
        </w:tc>
        <w:tc>
          <w:tcPr>
            <w:tcW w:w="2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148.0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3" w:lineRule="exact"/>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340"/>
              <w:spacing w:after="0"/>
              <w:rPr>
                <w:sz w:val="20"/>
                <w:szCs w:val="20"/>
                <w:color w:val="auto"/>
              </w:rPr>
            </w:pPr>
            <w:r>
              <w:rPr>
                <w:rFonts w:ascii="Arial" w:cs="Arial" w:eastAsia="Arial" w:hAnsi="Arial"/>
                <w:sz w:val="18"/>
                <w:szCs w:val="18"/>
                <w:color w:val="auto"/>
              </w:rPr>
              <w:t>State</w:t>
            </w:r>
          </w:p>
        </w:tc>
        <w:tc>
          <w:tcPr>
            <w:tcW w:w="2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Borders>
              <w:bottom w:val="single" w:sz="8" w:color="CCEEFF"/>
            </w:tcBorders>
          </w:tcPr>
          <w:p>
            <w:pPr>
              <w:ind w:left="660"/>
              <w:spacing w:after="0" w:line="203" w:lineRule="exact"/>
              <w:rPr>
                <w:sz w:val="20"/>
                <w:szCs w:val="20"/>
                <w:color w:val="auto"/>
              </w:rPr>
            </w:pPr>
            <w:r>
              <w:rPr>
                <w:rFonts w:ascii="Arial" w:cs="Arial" w:eastAsia="Arial" w:hAnsi="Arial"/>
                <w:sz w:val="18"/>
                <w:szCs w:val="18"/>
                <w:color w:val="auto"/>
              </w:rPr>
              <w:t>Total Deferred</w:t>
            </w:r>
          </w:p>
        </w:tc>
        <w:tc>
          <w:tcPr>
            <w:tcW w:w="2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tax expense from continuing operations</w:t>
            </w:r>
          </w:p>
        </w:tc>
        <w:tc>
          <w:tcPr>
            <w:tcW w:w="31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159.8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892"/>
              <w:spacing w:after="0"/>
              <w:rPr>
                <w:sz w:val="20"/>
                <w:szCs w:val="20"/>
                <w:color w:val="auto"/>
              </w:rPr>
            </w:pPr>
            <w:r>
              <w:rPr>
                <w:rFonts w:ascii="Arial" w:cs="Arial" w:eastAsia="Arial" w:hAnsi="Arial"/>
                <w:sz w:val="18"/>
                <w:szCs w:val="18"/>
                <w:color w:val="auto"/>
              </w:rPr>
              <w:t>95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4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4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6" w:name="page97"/>
    <w:bookmarkEnd w:id="96"/>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67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1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Domestic</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670.2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r>
      <w:tr>
        <w:trPr>
          <w:trHeight w:val="237"/>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Income from continuing operations before income taxes</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677.1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44" w:lineRule="exact"/>
        <w:rPr>
          <w:sz w:val="20"/>
          <w:szCs w:val="20"/>
          <w:color w:val="auto"/>
        </w:rPr>
      </w:pPr>
    </w:p>
    <w:p>
      <w:pPr>
        <w:ind w:left="8040"/>
        <w:spacing w:after="0"/>
        <w:rPr>
          <w:sz w:val="20"/>
          <w:szCs w:val="20"/>
          <w:color w:val="auto"/>
        </w:rPr>
      </w:pPr>
      <w:r>
        <w:rPr>
          <w:rFonts w:ascii="Arial" w:cs="Arial" w:eastAsia="Arial" w:hAnsi="Arial"/>
          <w:sz w:val="14"/>
          <w:szCs w:val="14"/>
          <w:b w:val="1"/>
          <w:bCs w:val="1"/>
          <w:color w:val="auto"/>
        </w:rPr>
        <w:t>Year Ended September 30,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Borders>
              <w:bottom w:val="single" w:sz="8" w:color="CCEEFF"/>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7"/>
        </w:trPr>
        <w:tc>
          <w:tcPr>
            <w:tcW w:w="64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Statutory income tax rate</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foreign operations</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0.3</w:t>
            </w: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taxes, net of federal benefit</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1.8</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other permanent differences</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4"/>
              <w:spacing w:after="0"/>
              <w:rPr>
                <w:sz w:val="20"/>
                <w:szCs w:val="20"/>
                <w:color w:val="auto"/>
              </w:rPr>
            </w:pPr>
            <w:r>
              <w:rPr>
                <w:rFonts w:ascii="Arial" w:cs="Arial" w:eastAsia="Arial" w:hAnsi="Arial"/>
                <w:sz w:val="18"/>
                <w:szCs w:val="18"/>
                <w:color w:val="auto"/>
              </w:rPr>
              <w:t>(0.2)</w:t>
            </w: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Experimentation and other federal tax credits</w:t>
            </w:r>
          </w:p>
        </w:tc>
        <w:tc>
          <w:tcPr>
            <w:tcW w:w="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Effect of tax contingencies</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Arial" w:cs="Arial" w:eastAsia="Arial" w:hAnsi="Arial"/>
                <w:sz w:val="18"/>
                <w:szCs w:val="18"/>
                <w:color w:val="auto"/>
              </w:rPr>
              <w:t>1.9</w:t>
            </w: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0.4</w:t>
            </w:r>
          </w:p>
        </w:tc>
      </w:tr>
      <w:tr>
        <w:trPr>
          <w:trHeight w:val="216"/>
        </w:trPr>
        <w:tc>
          <w:tcPr>
            <w:tcW w:w="6480" w:type="dxa"/>
            <w:vAlign w:val="bottom"/>
          </w:tcPr>
          <w:p>
            <w:pPr>
              <w:ind w:left="20"/>
              <w:spacing w:after="0" w:line="203" w:lineRule="exact"/>
              <w:rPr>
                <w:sz w:val="20"/>
                <w:szCs w:val="20"/>
                <w:color w:val="auto"/>
              </w:rPr>
            </w:pPr>
            <w:r>
              <w:rPr>
                <w:rFonts w:ascii="Arial" w:cs="Arial" w:eastAsia="Arial" w:hAnsi="Arial"/>
                <w:sz w:val="18"/>
                <w:szCs w:val="18"/>
                <w:color w:val="auto"/>
              </w:rPr>
              <w:t>Effective income tax rate</w:t>
            </w: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23.6 %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24.9 %</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right="240" w:firstLine="434"/>
        <w:spacing w:after="0" w:line="293" w:lineRule="auto"/>
        <w:rPr>
          <w:sz w:val="20"/>
          <w:szCs w:val="20"/>
          <w:color w:val="auto"/>
        </w:rPr>
      </w:pPr>
      <w:r>
        <w:rPr>
          <w:rFonts w:ascii="Arial" w:cs="Arial" w:eastAsia="Arial" w:hAnsi="Arial"/>
          <w:sz w:val="16"/>
          <w:szCs w:val="16"/>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r>
      <w:tr>
        <w:trPr>
          <w:trHeight w:val="182"/>
        </w:trPr>
        <w:tc>
          <w:tcPr>
            <w:tcW w:w="72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04"/>
        </w:trPr>
        <w:tc>
          <w:tcPr>
            <w:tcW w:w="728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b w:val="1"/>
                <w:bCs w:val="1"/>
                <w:color w:val="auto"/>
              </w:rPr>
              <w:t>DEFERRED TAX ASSETS</w:t>
            </w: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7280" w:type="dxa"/>
            <w:vAlign w:val="bottom"/>
          </w:tcPr>
          <w:p>
            <w:pPr>
              <w:ind w:left="780"/>
              <w:spacing w:after="0"/>
              <w:rPr>
                <w:sz w:val="20"/>
                <w:szCs w:val="20"/>
                <w:color w:val="auto"/>
              </w:rPr>
            </w:pPr>
            <w:r>
              <w:rPr>
                <w:rFonts w:ascii="Arial" w:cs="Arial" w:eastAsia="Arial" w:hAnsi="Arial"/>
                <w:sz w:val="18"/>
                <w:szCs w:val="18"/>
                <w:color w:val="auto"/>
              </w:rPr>
              <w:t>Lease liabilities</w:t>
            </w:r>
          </w:p>
        </w:tc>
        <w:tc>
          <w:tcPr>
            <w:tcW w:w="1340" w:type="dxa"/>
            <w:vAlign w:val="bottom"/>
          </w:tcPr>
          <w:p>
            <w:pPr>
              <w:jc w:val="right"/>
              <w:ind w:right="71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Accrued liabilities</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3"/>
        </w:trPr>
        <w:tc>
          <w:tcPr>
            <w:tcW w:w="7280" w:type="dxa"/>
            <w:vAlign w:val="bottom"/>
          </w:tcPr>
          <w:p>
            <w:pPr>
              <w:ind w:left="780"/>
              <w:spacing w:after="0"/>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Foreign tax credit carryovers</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7280" w:type="dxa"/>
            <w:vAlign w:val="bottom"/>
          </w:tcPr>
          <w:p>
            <w:pPr>
              <w:ind w:left="780"/>
              <w:spacing w:after="0"/>
              <w:rPr>
                <w:sz w:val="20"/>
                <w:szCs w:val="20"/>
                <w:color w:val="auto"/>
              </w:rPr>
            </w:pPr>
            <w:r>
              <w:rPr>
                <w:rFonts w:ascii="Arial" w:cs="Arial" w:eastAsia="Arial" w:hAnsi="Arial"/>
                <w:sz w:val="18"/>
                <w:szCs w:val="18"/>
                <w:color w:val="auto"/>
              </w:rPr>
              <w:t>Net operating loss carryovers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7280" w:type="dxa"/>
            <w:vAlign w:val="bottom"/>
          </w:tcPr>
          <w:p>
            <w:pPr>
              <w:ind w:left="780"/>
              <w:spacing w:after="0"/>
              <w:rPr>
                <w:sz w:val="20"/>
                <w:szCs w:val="20"/>
                <w:color w:val="auto"/>
              </w:rPr>
            </w:pPr>
            <w:r>
              <w:rPr>
                <w:rFonts w:ascii="Arial" w:cs="Arial" w:eastAsia="Arial" w:hAnsi="Arial"/>
                <w:sz w:val="18"/>
                <w:szCs w:val="18"/>
                <w:color w:val="auto"/>
              </w:rPr>
              <w:t>Postretirement benefits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280" w:type="dxa"/>
            <w:vAlign w:val="bottom"/>
          </w:tcPr>
          <w:p>
            <w:pPr>
              <w:ind w:left="780"/>
              <w:spacing w:after="0" w:line="203" w:lineRule="exact"/>
              <w:rPr>
                <w:sz w:val="20"/>
                <w:szCs w:val="20"/>
                <w:color w:val="auto"/>
              </w:rPr>
            </w:pPr>
            <w:r>
              <w:rPr>
                <w:rFonts w:ascii="Arial" w:cs="Arial" w:eastAsia="Arial" w:hAnsi="Arial"/>
                <w:sz w:val="18"/>
                <w:szCs w:val="18"/>
                <w:color w:val="auto"/>
              </w:rPr>
              <w:t>Gross deferred tax assets</w:t>
            </w:r>
          </w:p>
        </w:tc>
        <w:tc>
          <w:tcPr>
            <w:tcW w:w="1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Valuation allowance</w:t>
            </w:r>
          </w:p>
        </w:tc>
        <w:tc>
          <w:tcPr>
            <w:tcW w:w="1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16"/>
        </w:trPr>
        <w:tc>
          <w:tcPr>
            <w:tcW w:w="7280" w:type="dxa"/>
            <w:vAlign w:val="bottom"/>
            <w:tcBorders>
              <w:bottom w:val="single" w:sz="8" w:color="CCEEFF"/>
            </w:tcBorders>
          </w:tcPr>
          <w:p>
            <w:pPr>
              <w:ind w:left="780"/>
              <w:spacing w:after="0" w:line="203" w:lineRule="exact"/>
              <w:rPr>
                <w:sz w:val="20"/>
                <w:szCs w:val="20"/>
                <w:color w:val="auto"/>
              </w:rPr>
            </w:pPr>
            <w:r>
              <w:rPr>
                <w:rFonts w:ascii="Arial" w:cs="Arial" w:eastAsia="Arial" w:hAnsi="Arial"/>
                <w:sz w:val="18"/>
                <w:szCs w:val="18"/>
                <w:color w:val="auto"/>
              </w:rPr>
              <w:t>Total deferred tax assets</w:t>
            </w:r>
          </w:p>
        </w:tc>
        <w:tc>
          <w:tcPr>
            <w:tcW w:w="1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r>
      <w:tr>
        <w:trPr>
          <w:trHeight w:val="204"/>
        </w:trPr>
        <w:tc>
          <w:tcPr>
            <w:tcW w:w="7280" w:type="dxa"/>
            <w:vAlign w:val="bottom"/>
            <w:shd w:val="clear" w:color="auto" w:fill="CCEEFF"/>
          </w:tcPr>
          <w:p>
            <w:pPr>
              <w:ind w:left="460"/>
              <w:spacing w:after="0" w:line="204" w:lineRule="exact"/>
              <w:rPr>
                <w:sz w:val="20"/>
                <w:szCs w:val="20"/>
                <w:color w:val="auto"/>
              </w:rPr>
            </w:pPr>
            <w:r>
              <w:rPr>
                <w:rFonts w:ascii="Arial" w:cs="Arial" w:eastAsia="Arial" w:hAnsi="Arial"/>
                <w:sz w:val="18"/>
                <w:szCs w:val="18"/>
                <w:b w:val="1"/>
                <w:bCs w:val="1"/>
                <w:color w:val="auto"/>
              </w:rPr>
              <w:t>DEFERRED TAX LIABILITIES</w:t>
            </w: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3"/>
        </w:trPr>
        <w:tc>
          <w:tcPr>
            <w:tcW w:w="7280" w:type="dxa"/>
            <w:vAlign w:val="bottom"/>
          </w:tcPr>
          <w:p>
            <w:pPr>
              <w:ind w:left="780"/>
              <w:spacing w:after="0"/>
              <w:rPr>
                <w:sz w:val="20"/>
                <w:szCs w:val="20"/>
                <w:color w:val="auto"/>
              </w:rPr>
            </w:pPr>
            <w:r>
              <w:rPr>
                <w:rFonts w:ascii="Arial" w:cs="Arial" w:eastAsia="Arial" w:hAnsi="Arial"/>
                <w:sz w:val="18"/>
                <w:szCs w:val="18"/>
                <w:color w:val="auto"/>
              </w:rPr>
              <w:t>Intangible assets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Lease right-of-use assets</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7280" w:type="dxa"/>
            <w:vAlign w:val="bottom"/>
          </w:tcPr>
          <w:p>
            <w:pPr>
              <w:ind w:left="780"/>
              <w:spacing w:after="0"/>
              <w:rPr>
                <w:sz w:val="20"/>
                <w:szCs w:val="20"/>
                <w:color w:val="auto"/>
              </w:rPr>
            </w:pPr>
            <w:r>
              <w:rPr>
                <w:rFonts w:ascii="Arial" w:cs="Arial" w:eastAsia="Arial" w:hAnsi="Arial"/>
                <w:sz w:val="18"/>
                <w:szCs w:val="18"/>
                <w:color w:val="auto"/>
              </w:rPr>
              <w:t>Property, plant and equipment</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24"/>
        </w:trPr>
        <w:tc>
          <w:tcPr>
            <w:tcW w:w="72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Outside basis difference in equity investments</w:t>
            </w:r>
          </w:p>
        </w:tc>
        <w:tc>
          <w:tcPr>
            <w:tcW w:w="13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7280" w:type="dxa"/>
            <w:vAlign w:val="bottom"/>
            <w:shd w:val="clear" w:color="auto" w:fill="CCEEFF"/>
          </w:tcPr>
          <w:p>
            <w:pPr>
              <w:ind w:left="780"/>
              <w:spacing w:after="0" w:line="203" w:lineRule="exact"/>
              <w:rPr>
                <w:sz w:val="20"/>
                <w:szCs w:val="20"/>
                <w:color w:val="auto"/>
              </w:rPr>
            </w:pPr>
            <w:r>
              <w:rPr>
                <w:rFonts w:ascii="Arial" w:cs="Arial" w:eastAsia="Arial" w:hAnsi="Arial"/>
                <w:sz w:val="18"/>
                <w:szCs w:val="18"/>
                <w:color w:val="auto"/>
              </w:rPr>
              <w:t>Total deferred tax liabilities</w:t>
            </w:r>
          </w:p>
        </w:tc>
        <w:tc>
          <w:tcPr>
            <w:tcW w:w="13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(211.5)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16"/>
        </w:trPr>
        <w:tc>
          <w:tcPr>
            <w:tcW w:w="7280" w:type="dxa"/>
            <w:vAlign w:val="bottom"/>
          </w:tcPr>
          <w:p>
            <w:pPr>
              <w:ind w:left="780"/>
              <w:spacing w:after="0" w:line="203" w:lineRule="exact"/>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auto"/>
            </w:tcBorders>
          </w:tcPr>
          <w:p>
            <w:pPr>
              <w:jc w:val="right"/>
              <w:ind w:right="718"/>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0"/>
        </w:trPr>
        <w:tc>
          <w:tcPr>
            <w:tcW w:w="7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$32.3 and $33.8 of deferred tax assets as of September 30, 2021 and 2020, respectively. Most of these valuation allowances relate to certain credits and net operating losses (“NOLs”), as explained further below.</w:t>
      </w:r>
    </w:p>
    <w:p>
      <w:pPr>
        <w:spacing w:after="0" w:line="61"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Deferred tax assets related to foreign tax credits were $14.9 and $17.2 at September 30, 2021 and 2020, respectively. A full valuation allowance has been established against these foreign tax credits at September 30, 2021 as the Company does not expect to utilize them prior to their expiration. Tax benefits associated with state tax credits will also expire if not utilized and amounted to $1.4 at September 30, 2021 and 2020. A valuation allowance in the amount of $1.2 has been established at September 30, 2021 related to state credits the Company does not expect to utilize.</w:t>
      </w:r>
    </w:p>
    <w:p>
      <w:pPr>
        <w:spacing w:after="0" w:line="44"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Deferred tax assets related to certain federal NOLs subject to limitation under IRC §382 from current and prior ownership changes were $10.8 at September 30, 2021 and 2020. These NOLs will be subject to expiration gradually from fiscal year end 2022 through fiscal year end 2032. The Company determined that $10.5 of these deferred tax assets will expire unutilized due to the closing of statutes of limitation and has established a valuation allowance accordingly at September 30, 2021.</w:t>
      </w:r>
    </w:p>
    <w:p>
      <w:pPr>
        <w:spacing w:after="0" w:line="74"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Deferred tax assets related to foreign NOLs of certain controlled foreign corporations were $1.8 as of September 30, 2021, the majority of which have indefinite carryforward periods. Due to a history of losses in many of these entities, a valuation allowance has been established against $1.7 of these deferred tax assets at September 30, 2021. A valuation allowance has also been established against deferred tax assets related to other foreign items of $2.6 at September 30, 2021.</w:t>
      </w:r>
    </w:p>
    <w:p>
      <w:pPr>
        <w:spacing w:after="0" w:line="61"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Deferred tax assets related to state NOLs were $1.7 as of September 30, 2021, with carryforward periods ranging from 5 to 20 years. Any losses not utilized within a specific state’s carryforward period will expire. A valuation allowance was recorded against $1.3 of these deferred tax assets as of September 30, 2021 for state NOLs that the Company does not expect to realize within their respective carryforward periods.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September 30, 2021, the Company maintains its assertions of indefinite reinvestment of the earnings of all material foreign subsidiaries.</w:t>
      </w:r>
    </w:p>
    <w:p>
      <w:pPr>
        <w:spacing w:after="0" w:line="11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had $24.1, $30.2 and $29.5 of gross unrecognized tax benefits related to uncertain tax positions at September 30, 2021, 2020 and 2019, respectively. Of these amounts, $0.2, $6.4 and $6.7 of gross unrecognized tax benefits are related to discontinued operations at September 30, 2021, 2020 and 2019, respectively. Included in the September 30, 2021, 2020 and 2019 balances were $19.9, $25.9 and $25.2, respectively, of unrecognized tax benefits that, if recognized, would have an impact on the effective tax rate.</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 Ended September 30,</w:t>
            </w: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2"/>
        </w:trPr>
        <w:tc>
          <w:tcPr>
            <w:tcW w:w="56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17"/>
        </w:trPr>
        <w:tc>
          <w:tcPr>
            <w:tcW w:w="568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Balance at beginning of year</w:t>
            </w:r>
          </w:p>
        </w:tc>
        <w:tc>
          <w:tcPr>
            <w:tcW w:w="132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3"/>
        </w:trPr>
        <w:tc>
          <w:tcPr>
            <w:tcW w:w="5680" w:type="dxa"/>
            <w:vAlign w:val="bottom"/>
          </w:tcPr>
          <w:p>
            <w:pPr>
              <w:ind w:left="460"/>
              <w:spacing w:after="0"/>
              <w:rPr>
                <w:sz w:val="20"/>
                <w:szCs w:val="20"/>
                <w:color w:val="auto"/>
              </w:rPr>
            </w:pPr>
            <w:r>
              <w:rPr>
                <w:rFonts w:ascii="Arial" w:cs="Arial" w:eastAsia="Arial" w:hAnsi="Arial"/>
                <w:sz w:val="18"/>
                <w:szCs w:val="18"/>
                <w:color w:val="auto"/>
              </w:rPr>
              <w:t>Additions for tax positions of the current year</w:t>
            </w:r>
          </w:p>
        </w:tc>
        <w:tc>
          <w:tcPr>
            <w:tcW w:w="1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4"/>
        </w:trPr>
        <w:tc>
          <w:tcPr>
            <w:tcW w:w="5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Additions for tax positions of prior years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5680" w:type="dxa"/>
            <w:vAlign w:val="bottom"/>
          </w:tcPr>
          <w:p>
            <w:pPr>
              <w:ind w:left="460"/>
              <w:spacing w:after="0"/>
              <w:rPr>
                <w:sz w:val="20"/>
                <w:szCs w:val="20"/>
                <w:color w:val="auto"/>
              </w:rPr>
            </w:pPr>
            <w:r>
              <w:rPr>
                <w:rFonts w:ascii="Arial" w:cs="Arial" w:eastAsia="Arial" w:hAnsi="Arial"/>
                <w:sz w:val="18"/>
                <w:szCs w:val="18"/>
                <w:color w:val="auto"/>
              </w:rPr>
              <w:t>Reductions for tax positions of prior years</w:t>
            </w:r>
          </w:p>
        </w:tc>
        <w:tc>
          <w:tcPr>
            <w:tcW w:w="1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4"/>
        </w:trPr>
        <w:tc>
          <w:tcPr>
            <w:tcW w:w="5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Settlements with tax authorities</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5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Expiration of statutes of limitation</w:t>
            </w:r>
          </w:p>
        </w:tc>
        <w:tc>
          <w:tcPr>
            <w:tcW w:w="13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2"/>
        </w:trPr>
        <w:tc>
          <w:tcPr>
            <w:tcW w:w="5680" w:type="dxa"/>
            <w:vAlign w:val="bottom"/>
            <w:tcBorders>
              <w:bottom w:val="single" w:sz="8" w:color="CCEEFF"/>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Balance at end of year</w:t>
            </w:r>
          </w:p>
        </w:tc>
        <w:tc>
          <w:tcPr>
            <w:tcW w:w="132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continues to recognize accrued interest and penalties related to unrecognized tax benefits as a component of the provision for income taxes. As of September 30, 2021, 2020 and 2019, the Company had $2.7, $2.8 and $2.1, respectively, accrued for the payment of interest that, if recognized, would impact the effective tax rate. As of September 30, 2021, 2020 and 2019, the Company had $1.6, $1.6 and $0.4, respectively, accrued for the payment of penalties.</w:t>
      </w:r>
    </w:p>
    <w:p>
      <w:pPr>
        <w:spacing w:after="0" w:line="74" w:lineRule="exact"/>
        <w:rPr>
          <w:sz w:val="20"/>
          <w:szCs w:val="20"/>
          <w:color w:val="auto"/>
        </w:rPr>
      </w:pPr>
    </w:p>
    <w:p>
      <w:pPr>
        <w:jc w:val="both"/>
        <w:ind w:firstLine="434"/>
        <w:spacing w:after="0" w:line="247"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2018. There are currently no ongoing audits with respect to the U.S. federal jurisdiction. With respect to the foreign jurisdictions, a German audit covering fiscal years 2014 through 2017 is in process with no known material impact to the financial statements. The Company is currently under examination by certain U.S. state and local tax authorities covering various periods from fiscal years 2012 through 2020. In addition to the aforementioned audits, certain other tax deficiency notices and refund claims for previous years remain unresolved.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394"/>
        <w:spacing w:after="0" w:line="290" w:lineRule="auto"/>
        <w:rPr>
          <w:sz w:val="20"/>
          <w:szCs w:val="20"/>
          <w:color w:val="auto"/>
        </w:rPr>
      </w:pPr>
      <w:r>
        <w:rPr>
          <w:rFonts w:ascii="Arial" w:cs="Arial" w:eastAsia="Arial" w:hAnsi="Arial"/>
          <w:sz w:val="16"/>
          <w:szCs w:val="16"/>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INSTRUMENTS AND HEDGING ACTIVITIES</w:t>
      </w:r>
    </w:p>
    <w:p>
      <w:pPr>
        <w:spacing w:after="0" w:line="101"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$180.3 and $160.1 at September 30, 2021 and 2020, respectively. Contracts outstanding at September 30, 2021 will mature over the next fiscal quarter.</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82" w:lineRule="exact"/>
        <w:rPr>
          <w:sz w:val="20"/>
          <w:szCs w:val="20"/>
          <w:color w:val="auto"/>
        </w:rPr>
      </w:pPr>
    </w:p>
    <w:p>
      <w:pPr>
        <w:jc w:val="both"/>
        <w:ind w:firstLine="434"/>
        <w:spacing w:after="0" w:line="304" w:lineRule="auto"/>
        <w:rPr>
          <w:sz w:val="20"/>
          <w:szCs w:val="20"/>
          <w:color w:val="auto"/>
        </w:rPr>
      </w:pPr>
      <w:r>
        <w:rPr>
          <w:rFonts w:ascii="Arial" w:cs="Arial" w:eastAsia="Arial" w:hAnsi="Arial"/>
          <w:sz w:val="15"/>
          <w:szCs w:val="15"/>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The swap agreements had a maximum total U.S. dollar equivalent notional amount of $600.0 at September 30, 2021 and 2020. Refer to “NOTE 12. DEBT” for the terms of the swap agreements outstanding at September 30, 2021. Included in the AOCL balance at September 30, 2021 was a loss of $4.0 related to interest rate swap agreements that is expected to be reclassified to earnings during the next twelve months, consistent with the timing of the underlying hedged transactions.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5"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diesel and resin requirements. Commodity contracts are valued using observable commodity exchange prices in active markets. Included in the AOCL balance at September 30, 2021 was a gain of $9.4 related to commodity hedges that is expected to be reclassified to earnings during the next twelve months, consistent with the timing of the underlying hedged transactions.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74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2"/>
        </w:trPr>
        <w:tc>
          <w:tcPr>
            <w:tcW w:w="322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tcPr>
          <w:p>
            <w:pPr>
              <w:jc w:val="right"/>
              <w:ind w:right="7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204"/>
        </w:trPr>
        <w:tc>
          <w:tcPr>
            <w:tcW w:w="3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Commodity</w:t>
            </w:r>
          </w:p>
        </w:tc>
        <w:tc>
          <w:tcPr>
            <w:tcW w:w="37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Urea</w:t>
            </w:r>
          </w:p>
        </w:tc>
        <w:tc>
          <w:tcPr>
            <w:tcW w:w="3780" w:type="dxa"/>
            <w:vAlign w:val="bottom"/>
          </w:tcPr>
          <w:p>
            <w:pPr>
              <w:spacing w:after="0"/>
              <w:rPr>
                <w:sz w:val="19"/>
                <w:szCs w:val="19"/>
                <w:color w:val="auto"/>
              </w:rPr>
            </w:pP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94,500 tons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76,500 tons</w:t>
            </w:r>
          </w:p>
        </w:tc>
      </w:tr>
      <w:tr>
        <w:trPr>
          <w:trHeight w:val="224"/>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Resin</w:t>
            </w:r>
          </w:p>
        </w:tc>
        <w:tc>
          <w:tcPr>
            <w:tcW w:w="378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pounds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9,100,000 pounds</w:t>
            </w:r>
          </w:p>
        </w:tc>
        <w:tc>
          <w:tcPr>
            <w:tcW w:w="40" w:type="dxa"/>
            <w:vAlign w:val="bottom"/>
          </w:tcPr>
          <w:p>
            <w:pPr>
              <w:spacing w:after="0"/>
              <w:rPr>
                <w:sz w:val="19"/>
                <w:szCs w:val="19"/>
                <w:color w:val="auto"/>
              </w:rPr>
            </w:pPr>
          </w:p>
        </w:tc>
      </w:tr>
      <w:tr>
        <w:trPr>
          <w:trHeight w:val="223"/>
        </w:trPr>
        <w:tc>
          <w:tcPr>
            <w:tcW w:w="3220" w:type="dxa"/>
            <w:vAlign w:val="bottom"/>
          </w:tcPr>
          <w:p>
            <w:pPr>
              <w:ind w:left="20"/>
              <w:spacing w:after="0"/>
              <w:rPr>
                <w:sz w:val="20"/>
                <w:szCs w:val="20"/>
                <w:color w:val="auto"/>
              </w:rPr>
            </w:pPr>
            <w:r>
              <w:rPr>
                <w:rFonts w:ascii="Arial" w:cs="Arial" w:eastAsia="Arial" w:hAnsi="Arial"/>
                <w:sz w:val="18"/>
                <w:szCs w:val="18"/>
                <w:color w:val="auto"/>
              </w:rPr>
              <w:t>Diesel</w:t>
            </w:r>
          </w:p>
        </w:tc>
        <w:tc>
          <w:tcPr>
            <w:tcW w:w="3780" w:type="dxa"/>
            <w:vAlign w:val="bottom"/>
          </w:tcPr>
          <w:p>
            <w:pPr>
              <w:spacing w:after="0"/>
              <w:rPr>
                <w:sz w:val="19"/>
                <w:szCs w:val="19"/>
                <w:color w:val="auto"/>
              </w:rPr>
            </w:pPr>
          </w:p>
        </w:tc>
        <w:tc>
          <w:tcPr>
            <w:tcW w:w="2740" w:type="dxa"/>
            <w:vAlign w:val="bottom"/>
            <w:gridSpan w:val="3"/>
          </w:tcPr>
          <w:p>
            <w:pPr>
              <w:jc w:val="right"/>
              <w:ind w:right="700"/>
              <w:spacing w:after="0"/>
              <w:rPr>
                <w:sz w:val="20"/>
                <w:szCs w:val="20"/>
                <w:color w:val="auto"/>
              </w:rPr>
            </w:pPr>
            <w:r>
              <w:rPr>
                <w:rFonts w:ascii="Arial" w:cs="Arial" w:eastAsia="Arial" w:hAnsi="Arial"/>
                <w:sz w:val="18"/>
                <w:szCs w:val="18"/>
                <w:color w:val="auto"/>
              </w:rPr>
              <w:t>5,880,000 gallons</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5,838,000 gallons</w:t>
            </w:r>
          </w:p>
        </w:tc>
      </w:tr>
      <w:tr>
        <w:trPr>
          <w:trHeight w:val="224"/>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Heating Oil</w:t>
            </w:r>
          </w:p>
        </w:tc>
        <w:tc>
          <w:tcPr>
            <w:tcW w:w="378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2,268,000 gallons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2,142,000 gallons</w:t>
            </w:r>
          </w:p>
        </w:tc>
        <w:tc>
          <w:tcPr>
            <w:tcW w:w="40" w:type="dxa"/>
            <w:vAlign w:val="bottom"/>
          </w:tcPr>
          <w:p>
            <w:pPr>
              <w:spacing w:after="0"/>
              <w:rPr>
                <w:sz w:val="19"/>
                <w:szCs w:val="19"/>
                <w:color w:val="auto"/>
              </w:rPr>
            </w:pPr>
          </w:p>
        </w:tc>
      </w:tr>
      <w:tr>
        <w:trPr>
          <w:trHeight w:val="880"/>
        </w:trPr>
        <w:tc>
          <w:tcPr>
            <w:tcW w:w="3220" w:type="dxa"/>
            <w:vAlign w:val="bottom"/>
          </w:tcPr>
          <w:p>
            <w:pPr>
              <w:spacing w:after="0"/>
              <w:rPr>
                <w:sz w:val="24"/>
                <w:szCs w:val="24"/>
                <w:color w:val="auto"/>
              </w:rPr>
            </w:pPr>
          </w:p>
        </w:tc>
        <w:tc>
          <w:tcPr>
            <w:tcW w:w="3780" w:type="dxa"/>
            <w:vAlign w:val="bottom"/>
          </w:tcPr>
          <w:p>
            <w:pPr>
              <w:jc w:val="right"/>
              <w:ind w:right="1192"/>
              <w:spacing w:after="0"/>
              <w:rPr>
                <w:sz w:val="20"/>
                <w:szCs w:val="20"/>
                <w:color w:val="auto"/>
              </w:rPr>
            </w:pPr>
            <w:r>
              <w:rPr>
                <w:rFonts w:ascii="Arial" w:cs="Arial" w:eastAsia="Arial" w:hAnsi="Arial"/>
                <w:sz w:val="18"/>
                <w:szCs w:val="18"/>
                <w:color w:val="auto"/>
              </w:rPr>
              <w:t>98</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32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Assets / (Liabilities)</w:t>
            </w:r>
          </w:p>
        </w:tc>
        <w:tc>
          <w:tcPr>
            <w:tcW w:w="880" w:type="dxa"/>
            <w:vAlign w:val="bottom"/>
            <w:tcBorders>
              <w:bottom w:val="single" w:sz="8" w:color="auto"/>
            </w:tcBorders>
          </w:tcPr>
          <w:p>
            <w:pPr>
              <w:spacing w:after="0"/>
              <w:rPr>
                <w:sz w:val="16"/>
                <w:szCs w:val="16"/>
                <w:color w:val="auto"/>
              </w:rPr>
            </w:pPr>
          </w:p>
        </w:tc>
      </w:tr>
      <w:tr>
        <w:trPr>
          <w:trHeight w:val="181"/>
        </w:trPr>
        <w:tc>
          <w:tcPr>
            <w:tcW w:w="45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178"/>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680" w:type="dxa"/>
            <w:vAlign w:val="bottom"/>
            <w:tcBorders>
              <w:bottom w:val="single" w:sz="8" w:color="auto"/>
            </w:tcBorders>
            <w:gridSpan w:val="2"/>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880" w:type="dxa"/>
            <w:vAlign w:val="bottom"/>
            <w:tcBorders>
              <w:bottom w:val="single" w:sz="8" w:color="auto"/>
            </w:tcBorders>
          </w:tcPr>
          <w:p>
            <w:pPr>
              <w:spacing w:after="0"/>
              <w:rPr>
                <w:sz w:val="15"/>
                <w:szCs w:val="15"/>
                <w:color w:val="auto"/>
              </w:rPr>
            </w:pP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4"/>
        </w:trPr>
        <w:tc>
          <w:tcPr>
            <w:tcW w:w="45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Commodity hedging instruments</w:t>
            </w: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Prepaid and other current assets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560" w:type="dxa"/>
            <w:vAlign w:val="bottom"/>
            <w:shd w:val="clear" w:color="auto" w:fill="CCEEFF"/>
          </w:tcPr>
          <w:p>
            <w:pPr>
              <w:spacing w:after="0"/>
              <w:rPr>
                <w:sz w:val="19"/>
                <w:szCs w:val="19"/>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17"/>
        </w:trPr>
        <w:tc>
          <w:tcPr>
            <w:tcW w:w="4560" w:type="dxa"/>
            <w:vAlign w:val="bottom"/>
          </w:tcPr>
          <w:p>
            <w:pPr>
              <w:ind w:left="340"/>
              <w:spacing w:after="0"/>
              <w:rPr>
                <w:sz w:val="20"/>
                <w:szCs w:val="20"/>
                <w:color w:val="auto"/>
              </w:rPr>
            </w:pPr>
            <w:r>
              <w:rPr>
                <w:rFonts w:ascii="Arial" w:cs="Arial" w:eastAsia="Arial" w:hAnsi="Arial"/>
                <w:sz w:val="18"/>
                <w:szCs w:val="18"/>
                <w:color w:val="auto"/>
              </w:rPr>
              <w:t>Total derivatives designated as hedging instruments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9"/>
        </w:trPr>
        <w:tc>
          <w:tcPr>
            <w:tcW w:w="4560" w:type="dxa"/>
            <w:vAlign w:val="bottom"/>
            <w:shd w:val="clear" w:color="auto" w:fill="CCEEFF"/>
          </w:tcPr>
          <w:p>
            <w:pPr>
              <w:spacing w:after="0"/>
              <w:rPr>
                <w:sz w:val="19"/>
                <w:szCs w:val="19"/>
                <w:color w:val="auto"/>
              </w:rPr>
            </w:pPr>
          </w:p>
        </w:tc>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18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5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r>
      <w:tr>
        <w:trPr>
          <w:trHeight w:val="21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456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560" w:type="dxa"/>
            <w:vAlign w:val="bottom"/>
          </w:tcPr>
          <w:p>
            <w:pPr>
              <w:spacing w:after="0"/>
              <w:rPr>
                <w:sz w:val="19"/>
                <w:szCs w:val="19"/>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Other current liabilities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7"/>
        </w:trPr>
        <w:tc>
          <w:tcPr>
            <w:tcW w:w="4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Total derivatives not designated as hedging instruments</w:t>
            </w:r>
          </w:p>
        </w:tc>
        <w:tc>
          <w:tcPr>
            <w:tcW w:w="3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560" w:type="dxa"/>
            <w:vAlign w:val="bottom"/>
          </w:tcPr>
          <w:p>
            <w:pPr>
              <w:ind w:left="340"/>
              <w:spacing w:after="0" w:line="203" w:lineRule="exact"/>
              <w:rPr>
                <w:sz w:val="20"/>
                <w:szCs w:val="20"/>
                <w:color w:val="auto"/>
              </w:rPr>
            </w:pPr>
            <w:r>
              <w:rPr>
                <w:rFonts w:ascii="Arial" w:cs="Arial" w:eastAsia="Arial" w:hAnsi="Arial"/>
                <w:sz w:val="18"/>
                <w:szCs w:val="18"/>
                <w:color w:val="auto"/>
              </w:rPr>
              <w:t>Total derivatives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0"/>
        </w:trPr>
        <w:tc>
          <w:tcPr>
            <w:tcW w:w="4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The effect of derivative instruments on AOCL, net of tax, and the Consolidated Statements of Operations for the years ended September 30 was as follows:</w:t>
      </w:r>
    </w:p>
    <w:p>
      <w:pPr>
        <w:spacing w:after="0" w:line="170"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Amount Of Gain / (Loss)</w:t>
      </w:r>
    </w:p>
    <w:tbl>
      <w:tblPr>
        <w:tblLayout w:type="fixed"/>
        <w:tblInd w:w="460" w:type="dxa"/>
        <w:tblCellMar>
          <w:top w:w="0" w:type="dxa"/>
          <w:left w:w="0" w:type="dxa"/>
          <w:bottom w:w="0" w:type="dxa"/>
          <w:right w:w="0" w:type="dxa"/>
        </w:tblCellMar>
      </w:tblPr>
      <w:tr>
        <w:trPr>
          <w:trHeight w:val="177"/>
        </w:trPr>
        <w:tc>
          <w:tcPr>
            <w:tcW w:w="7020" w:type="dxa"/>
            <w:vAlign w:val="bottom"/>
          </w:tcPr>
          <w:p>
            <w:pPr>
              <w:spacing w:after="0"/>
              <w:rPr>
                <w:sz w:val="15"/>
                <w:szCs w:val="15"/>
                <w:color w:val="auto"/>
              </w:rPr>
            </w:pPr>
          </w:p>
        </w:tc>
        <w:tc>
          <w:tcPr>
            <w:tcW w:w="27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Recognized In AOCL</w:t>
            </w:r>
          </w:p>
        </w:tc>
        <w:tc>
          <w:tcPr>
            <w:tcW w:w="1040" w:type="dxa"/>
            <w:vAlign w:val="bottom"/>
            <w:tcBorders>
              <w:bottom w:val="single" w:sz="8" w:color="auto"/>
            </w:tcBorders>
          </w:tcPr>
          <w:p>
            <w:pPr>
              <w:spacing w:after="0"/>
              <w:rPr>
                <w:sz w:val="15"/>
                <w:szCs w:val="15"/>
                <w:color w:val="auto"/>
              </w:rPr>
            </w:pPr>
          </w:p>
        </w:tc>
      </w:tr>
      <w:tr>
        <w:trPr>
          <w:trHeight w:val="176"/>
        </w:trPr>
        <w:tc>
          <w:tcPr>
            <w:tcW w:w="7020" w:type="dxa"/>
            <w:vAlign w:val="bottom"/>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700" w:type="dxa"/>
            <w:vAlign w:val="bottom"/>
          </w:tcPr>
          <w:p>
            <w:pPr>
              <w:jc w:val="right"/>
              <w:ind w:right="1370"/>
              <w:spacing w:after="0"/>
              <w:rPr>
                <w:sz w:val="20"/>
                <w:szCs w:val="20"/>
                <w:color w:val="auto"/>
              </w:rPr>
            </w:pPr>
            <w:r>
              <w:rPr>
                <w:rFonts w:ascii="Arial" w:cs="Arial" w:eastAsia="Arial" w:hAnsi="Arial"/>
                <w:sz w:val="14"/>
                <w:szCs w:val="14"/>
                <w:b w:val="1"/>
                <w:bCs w:val="1"/>
                <w:color w:val="auto"/>
              </w:rPr>
              <w:t>2021</w:t>
            </w:r>
          </w:p>
        </w:tc>
        <w:tc>
          <w:tcPr>
            <w:tcW w:w="1040" w:type="dxa"/>
            <w:vAlign w:val="bottom"/>
          </w:tcPr>
          <w:p>
            <w:pPr>
              <w:jc w:val="right"/>
              <w:ind w:right="490"/>
              <w:spacing w:after="0"/>
              <w:rPr>
                <w:sz w:val="20"/>
                <w:szCs w:val="20"/>
                <w:color w:val="auto"/>
              </w:rPr>
            </w:pPr>
            <w:r>
              <w:rPr>
                <w:rFonts w:ascii="Arial" w:cs="Arial" w:eastAsia="Arial" w:hAnsi="Arial"/>
                <w:sz w:val="14"/>
                <w:szCs w:val="14"/>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 w:type="dxa"/>
            <w:vAlign w:val="bottom"/>
            <w:tcBorders>
              <w:top w:val="single" w:sz="8" w:color="auto"/>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3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40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Commodity hedging instruments</w:t>
            </w:r>
          </w:p>
        </w:tc>
        <w:tc>
          <w:tcPr>
            <w:tcW w:w="34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4020" w:type="dxa"/>
            <w:vAlign w:val="bottom"/>
            <w:tcBorders>
              <w:bottom w:val="single" w:sz="8" w:color="CCEEFF"/>
            </w:tcBorders>
            <w:shd w:val="clear" w:color="auto" w:fill="CCEEFF"/>
          </w:tcPr>
          <w:p>
            <w:pPr>
              <w:ind w:left="740"/>
              <w:spacing w:after="0" w:line="203" w:lineRule="exact"/>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4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3420" w:type="dxa"/>
            <w:vAlign w:val="bottom"/>
          </w:tcPr>
          <w:p>
            <w:pPr>
              <w:jc w:val="center"/>
              <w:ind w:left="1461"/>
              <w:spacing w:after="0"/>
              <w:rPr>
                <w:sz w:val="20"/>
                <w:szCs w:val="20"/>
                <w:color w:val="auto"/>
              </w:rPr>
            </w:pPr>
            <w:r>
              <w:rPr>
                <w:rFonts w:ascii="Arial" w:cs="Arial" w:eastAsia="Arial" w:hAnsi="Arial"/>
                <w:sz w:val="14"/>
                <w:szCs w:val="14"/>
                <w:b w:val="1"/>
                <w:bCs w:val="1"/>
                <w:color w:val="auto"/>
                <w:w w:val="92"/>
              </w:rPr>
              <w:t>Reclassified From AOCL Into</w:t>
            </w:r>
          </w:p>
        </w:tc>
        <w:tc>
          <w:tcPr>
            <w:tcW w:w="8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6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Amount Of Gain / (Loss)</w:t>
            </w:r>
          </w:p>
        </w:tc>
      </w:tr>
      <w:tr>
        <w:trPr>
          <w:trHeight w:val="183"/>
        </w:trPr>
        <w:tc>
          <w:tcPr>
            <w:tcW w:w="40" w:type="dxa"/>
            <w:vAlign w:val="bottom"/>
          </w:tcPr>
          <w:p>
            <w:pPr>
              <w:spacing w:after="0"/>
              <w:rPr>
                <w:sz w:val="15"/>
                <w:szCs w:val="15"/>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20" w:type="dxa"/>
            <w:vAlign w:val="bottom"/>
            <w:tcBorders>
              <w:bottom w:val="single" w:sz="8" w:color="auto"/>
            </w:tcBorders>
          </w:tcPr>
          <w:p>
            <w:pPr>
              <w:jc w:val="center"/>
              <w:ind w:left="1441"/>
              <w:spacing w:after="0"/>
              <w:rPr>
                <w:sz w:val="20"/>
                <w:szCs w:val="20"/>
                <w:color w:val="auto"/>
              </w:rPr>
            </w:pPr>
            <w:r>
              <w:rPr>
                <w:rFonts w:ascii="Arial" w:cs="Arial" w:eastAsia="Arial" w:hAnsi="Arial"/>
                <w:sz w:val="14"/>
                <w:szCs w:val="14"/>
                <w:b w:val="1"/>
                <w:bCs w:val="1"/>
                <w:color w:val="auto"/>
                <w:w w:val="90"/>
              </w:rPr>
              <w:t>Statement Of Operations</w:t>
            </w: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91"/>
              </w:rPr>
              <w:t>(7.7)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23"/>
        </w:trPr>
        <w:tc>
          <w:tcPr>
            <w:tcW w:w="40" w:type="dxa"/>
            <w:vAlign w:val="bottom"/>
          </w:tcPr>
          <w:p>
            <w:pPr>
              <w:spacing w:after="0"/>
              <w:rPr>
                <w:sz w:val="19"/>
                <w:szCs w:val="19"/>
                <w:color w:val="auto"/>
              </w:rPr>
            </w:pPr>
          </w:p>
        </w:tc>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342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37"/>
        </w:trPr>
        <w:tc>
          <w:tcPr>
            <w:tcW w:w="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Total</w:t>
            </w:r>
          </w:p>
        </w:tc>
        <w:tc>
          <w:tcPr>
            <w:tcW w:w="34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91"/>
              </w:rPr>
              <w:t>(5.4)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420" w:type="dxa"/>
            <w:vAlign w:val="bottom"/>
          </w:tcPr>
          <w:p>
            <w:pPr>
              <w:jc w:val="center"/>
              <w:ind w:left="1461"/>
              <w:spacing w:after="0"/>
              <w:rPr>
                <w:sz w:val="20"/>
                <w:szCs w:val="20"/>
                <w:color w:val="auto"/>
              </w:rPr>
            </w:pPr>
            <w:r>
              <w:rPr>
                <w:rFonts w:ascii="Arial" w:cs="Arial" w:eastAsia="Arial" w:hAnsi="Arial"/>
                <w:sz w:val="14"/>
                <w:szCs w:val="14"/>
                <w:b w:val="1"/>
                <w:bCs w:val="1"/>
                <w:color w:val="auto"/>
                <w:w w:val="88"/>
              </w:rPr>
              <w:t>Recognized In</w:t>
            </w: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ind w:left="400"/>
              <w:spacing w:after="0"/>
              <w:rPr>
                <w:sz w:val="20"/>
                <w:szCs w:val="20"/>
                <w:color w:val="auto"/>
              </w:rPr>
            </w:pPr>
            <w:r>
              <w:rPr>
                <w:rFonts w:ascii="Arial" w:cs="Arial" w:eastAsia="Arial" w:hAnsi="Arial"/>
                <w:sz w:val="14"/>
                <w:szCs w:val="14"/>
                <w:b w:val="1"/>
                <w:bCs w:val="1"/>
                <w:color w:val="auto"/>
              </w:rPr>
              <w:t>Amount Of Gain / (Loss)</w:t>
            </w:r>
          </w:p>
        </w:tc>
      </w:tr>
      <w:tr>
        <w:trPr>
          <w:trHeight w:val="183"/>
        </w:trPr>
        <w:tc>
          <w:tcPr>
            <w:tcW w:w="40" w:type="dxa"/>
            <w:vAlign w:val="bottom"/>
          </w:tcPr>
          <w:p>
            <w:pPr>
              <w:spacing w:after="0"/>
              <w:rPr>
                <w:sz w:val="15"/>
                <w:szCs w:val="15"/>
                <w:color w:val="auto"/>
              </w:rPr>
            </w:pPr>
          </w:p>
        </w:tc>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20" w:type="dxa"/>
            <w:vAlign w:val="bottom"/>
            <w:tcBorders>
              <w:bottom w:val="single" w:sz="8" w:color="auto"/>
            </w:tcBorders>
          </w:tcPr>
          <w:p>
            <w:pPr>
              <w:jc w:val="center"/>
              <w:ind w:left="1441"/>
              <w:spacing w:after="0"/>
              <w:rPr>
                <w:sz w:val="20"/>
                <w:szCs w:val="20"/>
                <w:color w:val="auto"/>
              </w:rPr>
            </w:pPr>
            <w:r>
              <w:rPr>
                <w:rFonts w:ascii="Arial" w:cs="Arial" w:eastAsia="Arial" w:hAnsi="Arial"/>
                <w:sz w:val="14"/>
                <w:szCs w:val="14"/>
                <w:b w:val="1"/>
                <w:bCs w:val="1"/>
                <w:color w:val="auto"/>
                <w:w w:val="89"/>
              </w:rPr>
              <w:t>Statement of Operations</w:t>
            </w: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r>
      <w:tr>
        <w:trPr>
          <w:trHeight w:val="217"/>
        </w:trPr>
        <w:tc>
          <w:tcPr>
            <w:tcW w:w="40" w:type="dxa"/>
            <w:vAlign w:val="bottom"/>
          </w:tcPr>
          <w:p>
            <w:pPr>
              <w:spacing w:after="0"/>
              <w:rPr>
                <w:sz w:val="18"/>
                <w:szCs w:val="18"/>
                <w:color w:val="auto"/>
              </w:rPr>
            </w:pP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3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 expense, net</w:t>
            </w:r>
          </w:p>
        </w:tc>
        <w:tc>
          <w:tcPr>
            <w:tcW w:w="11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91"/>
              </w:rPr>
              <w:t>(4.2)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r>
      <w:tr>
        <w:trPr>
          <w:trHeight w:val="223"/>
        </w:trPr>
        <w:tc>
          <w:tcPr>
            <w:tcW w:w="40" w:type="dxa"/>
            <w:vAlign w:val="bottom"/>
          </w:tcPr>
          <w:p>
            <w:pPr>
              <w:spacing w:after="0"/>
              <w:rPr>
                <w:sz w:val="19"/>
                <w:szCs w:val="19"/>
                <w:color w:val="auto"/>
              </w:rPr>
            </w:pPr>
          </w:p>
        </w:tc>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Commodity hedging instruments</w:t>
            </w:r>
          </w:p>
        </w:tc>
        <w:tc>
          <w:tcPr>
            <w:tcW w:w="342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Cost of sales</w:t>
            </w: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18"/>
                <w:szCs w:val="18"/>
                <w:color w:val="auto"/>
                <w:w w:val="87"/>
              </w:rPr>
              <w:t>4.5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37"/>
        </w:trPr>
        <w:tc>
          <w:tcPr>
            <w:tcW w:w="40" w:type="dxa"/>
            <w:vAlign w:val="bottom"/>
          </w:tcPr>
          <w:p>
            <w:pPr>
              <w:spacing w:after="0"/>
              <w:rPr>
                <w:sz w:val="20"/>
                <w:szCs w:val="20"/>
                <w:color w:val="auto"/>
              </w:rPr>
            </w:pPr>
          </w:p>
        </w:tc>
        <w:tc>
          <w:tcPr>
            <w:tcW w:w="40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Total</w:t>
            </w:r>
          </w:p>
        </w:tc>
        <w:tc>
          <w:tcPr>
            <w:tcW w:w="34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center"/>
              <w:ind w:left="658"/>
              <w:spacing w:after="0"/>
              <w:rPr>
                <w:sz w:val="20"/>
                <w:szCs w:val="20"/>
                <w:color w:val="auto"/>
              </w:rPr>
            </w:pPr>
            <w:r>
              <w:rPr>
                <w:rFonts w:ascii="Arial" w:cs="Arial" w:eastAsia="Arial" w:hAnsi="Arial"/>
                <w:sz w:val="18"/>
                <w:szCs w:val="18"/>
                <w:color w:val="auto"/>
                <w:w w:val="87"/>
              </w:rPr>
              <w:t>0.3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r>
        <w:trPr>
          <w:trHeight w:val="20"/>
        </w:trPr>
        <w:tc>
          <w:tcPr>
            <w:tcW w:w="4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88"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95" w:lineRule="exact"/>
        <w:rPr>
          <w:sz w:val="20"/>
          <w:szCs w:val="20"/>
          <w:color w:val="auto"/>
        </w:rPr>
      </w:pPr>
    </w:p>
    <w:p>
      <w:pPr>
        <w:jc w:val="both"/>
        <w:ind w:firstLine="434"/>
        <w:spacing w:after="0" w:line="347" w:lineRule="auto"/>
        <w:rPr>
          <w:sz w:val="20"/>
          <w:szCs w:val="20"/>
          <w:color w:val="auto"/>
        </w:rPr>
      </w:pPr>
      <w:r>
        <w:rPr>
          <w:rFonts w:ascii="Arial" w:cs="Arial" w:eastAsia="Arial" w:hAnsi="Arial"/>
          <w:sz w:val="15"/>
          <w:szCs w:val="15"/>
          <w:i w:val="1"/>
          <w:iCs w:val="1"/>
          <w:color w:val="auto"/>
        </w:rPr>
        <w:t xml:space="preserve">Level 2 — </w:t>
      </w:r>
      <w:r>
        <w:rPr>
          <w:rFonts w:ascii="Arial" w:cs="Arial" w:eastAsia="Arial" w:hAnsi="Arial"/>
          <w:sz w:val="15"/>
          <w:szCs w:val="15"/>
          <w:color w:val="auto"/>
        </w:rPr>
        <w:t>Observable inputs other than quoted prices included in Level 1, such as quoted prices for similar assets and liabilities in active markets; quoted</w:t>
      </w:r>
      <w:r>
        <w:rPr>
          <w:rFonts w:ascii="Arial" w:cs="Arial" w:eastAsia="Arial" w:hAnsi="Arial"/>
          <w:sz w:val="15"/>
          <w:szCs w:val="15"/>
          <w:i w:val="1"/>
          <w:iCs w:val="1"/>
          <w:color w:val="auto"/>
        </w:rPr>
        <w:t xml:space="preserve"> </w:t>
      </w:r>
      <w:r>
        <w:rPr>
          <w:rFonts w:ascii="Arial" w:cs="Arial" w:eastAsia="Arial" w:hAnsi="Arial"/>
          <w:sz w:val="15"/>
          <w:szCs w:val="15"/>
          <w:color w:val="auto"/>
        </w:rPr>
        <w:t>prices for similar assets and liabilities in markets that are not active; or other inputs that are observable or can be corroborated by observable market data.</w:t>
      </w:r>
    </w:p>
    <w:p>
      <w:pPr>
        <w:spacing w:after="0" w:line="1"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62"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or disclosed at fair value on a recurring basis, as well as the general classification within the valuation hierarchy.</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5"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82" w:lineRule="exact"/>
        <w:rPr>
          <w:sz w:val="20"/>
          <w:szCs w:val="20"/>
          <w:color w:val="auto"/>
        </w:rPr>
      </w:pPr>
    </w:p>
    <w:p>
      <w:pPr>
        <w:jc w:val="both"/>
        <w:ind w:firstLine="434"/>
        <w:spacing w:after="0" w:line="281" w:lineRule="auto"/>
        <w:rPr>
          <w:sz w:val="20"/>
          <w:szCs w:val="20"/>
          <w:color w:val="auto"/>
        </w:rPr>
      </w:pPr>
      <w:r>
        <w:rPr>
          <w:rFonts w:ascii="Arial" w:cs="Arial" w:eastAsia="Arial" w:hAnsi="Arial"/>
          <w:sz w:val="16"/>
          <w:szCs w:val="16"/>
          <w:color w:val="auto"/>
        </w:rPr>
        <w:t>Investment securities in non-qualified retirement plan assets are valued using observable market prices in active markets. The fair value of the Bonnie Option was determined using a simulation approach, whereby the total value of the loan receivable and optional exchange for additional equity was estimated considering a distribution of possible future cash flows discounted to present value using an appropriate discount rate. During the fourth quarter of fiscal 2020, the Company recognized an increase in the fair value of the Bonnie Option of $12.0 in the “Other non-operating income, net” line in the Consolidated Statements of Operations driven by an increase in sales and profits of the Bonnie Business. Loans receivable are carried at outstanding principal amount. The estimated fair value is determined using an income-based approach, which includes market participant expectations of cash flows over the remaining useful life discounted to present value using an appropriate discount rate. The estimate requires subjective assumptions to be made, including those related to credit risk and discount rates.</w:t>
      </w:r>
    </w:p>
    <w:p>
      <w:pPr>
        <w:spacing w:after="0" w:line="51"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fair values of convertible debt investments are determined using scenario-based internally developed valuation models that consider a probability-weighted assessment of possible future cash flows related to the debt component and the conversion component of the instruments, discounted to present value using an appropriate discount rate. The probability of amendments to federal laws in the United States to allow for the general cultivation, distribution, and possession of cannabis, and the impact of such amendments on the value of the underlying investments are important assumptions in the fair value estimates and incorporate assumptions the Company believes market participants would utilize. The valuation models and related assumptions require significant judgment. These and other assumptions are impacted by economic conditions and expectations of management and may change in the future based on period specific facts and circumstances. The cost basis of convertible debt investments purchased during fiscal 2021 was $193.1. During fiscal 2021, the Company recorded an unrealized loss of $3.1 in AOCL and recorded investment income of $0.3 associated with its Level 3 convertible debt investments. The amortized cost basis of convertible debt investments was $193.4 at September 30, 2021.</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95"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Debt instruments are recorded at cost. The interest rate on borrowings under the Fifth A&amp;R Credit Agreement fluctuates in accordance with the terms of the Fifth A&amp;R Credit Agreement and thus the carrying value is a reasonable estimate of fair value. The fair values of the 4.000% Senior Notes, 4.375% Senior Notes, 4.500% Senior Notes and 5.250% Senior Notes are determined based on quoted market prices. The interest rate on the short-term debt associated with accounts receivable pledged under the Receivables Facility fluctuates in accordance with the terms of the Receivables Facility and thus the carrying value is a reasonable estimate of fair value.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3"/>
              </w:rPr>
              <w:t>2021</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r>
      <w:tr>
        <w:trPr>
          <w:trHeight w:val="131"/>
        </w:trPr>
        <w:tc>
          <w:tcPr>
            <w:tcW w:w="5300" w:type="dxa"/>
            <w:vAlign w:val="bottom"/>
          </w:tcPr>
          <w:p>
            <w:pPr>
              <w:spacing w:after="0"/>
              <w:rPr>
                <w:sz w:val="11"/>
                <w:szCs w:val="11"/>
                <w:color w:val="auto"/>
              </w:rPr>
            </w:pPr>
          </w:p>
        </w:tc>
        <w:tc>
          <w:tcPr>
            <w:tcW w:w="14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4"/>
              </w:rPr>
              <w:t>Fair Value Hierarchy</w:t>
            </w:r>
          </w:p>
        </w:tc>
        <w:tc>
          <w:tcPr>
            <w:tcW w:w="180" w:type="dxa"/>
            <w:vAlign w:val="bottom"/>
          </w:tcPr>
          <w:p>
            <w:pPr>
              <w:spacing w:after="0"/>
              <w:rPr>
                <w:sz w:val="11"/>
                <w:szCs w:val="11"/>
                <w:color w:val="auto"/>
              </w:rPr>
            </w:pPr>
          </w:p>
        </w:tc>
        <w:tc>
          <w:tcPr>
            <w:tcW w:w="760" w:type="dxa"/>
            <w:vAlign w:val="bottom"/>
          </w:tcPr>
          <w:p>
            <w:pPr>
              <w:jc w:val="right"/>
              <w:ind w:right="75"/>
              <w:spacing w:after="0" w:line="131" w:lineRule="exact"/>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3"/>
              </w:rPr>
              <w:t>Estimated 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7"/>
              </w:rPr>
              <w:t>Estimated Fair</w:t>
            </w:r>
          </w:p>
        </w:tc>
      </w:tr>
      <w:tr>
        <w:trPr>
          <w:trHeight w:val="183"/>
        </w:trPr>
        <w:tc>
          <w:tcPr>
            <w:tcW w:w="530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80" w:type="dxa"/>
            <w:vAlign w:val="bottom"/>
          </w:tcPr>
          <w:p>
            <w:pPr>
              <w:spacing w:after="0"/>
              <w:rPr>
                <w:sz w:val="15"/>
                <w:szCs w:val="15"/>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5"/>
                <w:szCs w:val="15"/>
                <w:color w:val="auto"/>
              </w:rPr>
            </w:pPr>
          </w:p>
        </w:tc>
        <w:tc>
          <w:tcPr>
            <w:tcW w:w="820" w:type="dxa"/>
            <w:vAlign w:val="bottom"/>
          </w:tcPr>
          <w:p>
            <w:pPr>
              <w:jc w:val="right"/>
              <w:ind w:right="274"/>
              <w:spacing w:after="0"/>
              <w:rPr>
                <w:sz w:val="20"/>
                <w:szCs w:val="20"/>
                <w:color w:val="auto"/>
              </w:rPr>
            </w:pPr>
            <w:r>
              <w:rPr>
                <w:rFonts w:ascii="Arial" w:cs="Arial" w:eastAsia="Arial" w:hAnsi="Arial"/>
                <w:sz w:val="14"/>
                <w:szCs w:val="14"/>
                <w:b w:val="1"/>
                <w:bCs w:val="1"/>
                <w:color w:val="auto"/>
              </w:rPr>
              <w:t>Value</w:t>
            </w:r>
          </w:p>
        </w:tc>
      </w:tr>
      <w:tr>
        <w:trPr>
          <w:trHeight w:val="204"/>
        </w:trPr>
        <w:tc>
          <w:tcPr>
            <w:tcW w:w="530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222.5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4"/>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Investment securities in non-qualified retirement plan assets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24"/>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Bonnie Option</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Loans receivable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24"/>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debt investments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Debt instruments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4"/>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Credit facilities – revolving loans</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Credit facilities – term loans</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710.0</w:t>
            </w:r>
          </w:p>
        </w:tc>
      </w:tr>
      <w:tr>
        <w:trPr>
          <w:trHeight w:val="224"/>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Notes – 4.000%</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Senior Notes – 4.375%</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Notes – 4.500%</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Senior Notes – 5.250%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266.6</w:t>
            </w:r>
          </w:p>
        </w:tc>
      </w:tr>
      <w:tr>
        <w:trPr>
          <w:trHeight w:val="224"/>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Receivables facility</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Other debt</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LEASES</w:t>
      </w:r>
    </w:p>
    <w:p>
      <w:pPr>
        <w:spacing w:after="0" w:line="101" w:lineRule="exact"/>
        <w:rPr>
          <w:sz w:val="20"/>
          <w:szCs w:val="20"/>
          <w:color w:val="auto"/>
        </w:rPr>
      </w:pPr>
    </w:p>
    <w:p>
      <w:pPr>
        <w:jc w:val="both"/>
        <w:ind w:firstLine="394"/>
        <w:spacing w:after="0" w:line="247" w:lineRule="auto"/>
        <w:rPr>
          <w:sz w:val="20"/>
          <w:szCs w:val="20"/>
          <w:color w:val="auto"/>
        </w:rPr>
      </w:pPr>
      <w:r>
        <w:rPr>
          <w:rFonts w:ascii="Arial" w:cs="Arial" w:eastAsia="Arial" w:hAnsi="Arial"/>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September 30, 2021, there were no material operating leases that the Company had entered into that were yet to commence. From time to time, the Company will sublease portions of its facilities, resulting in sublease income. Sublease income and the related cash flows were not material to the consolidated financial statements for fiscal 2021.</w:t>
      </w:r>
    </w:p>
    <w:p>
      <w:pPr>
        <w:spacing w:after="0" w:line="63" w:lineRule="exact"/>
        <w:rPr>
          <w:sz w:val="20"/>
          <w:szCs w:val="20"/>
          <w:color w:val="auto"/>
        </w:rPr>
      </w:pPr>
    </w:p>
    <w:p>
      <w:pPr>
        <w:jc w:val="both"/>
        <w:ind w:firstLine="434"/>
        <w:spacing w:after="0" w:line="248"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2021, the Company’s residual value guarantee would have approximated $5.0.</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36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September 30, 2020</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293.0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63"/>
        </w:trPr>
        <w:tc>
          <w:tcPr>
            <w:tcW w:w="38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42"/>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00"/>
              <w:spacing w:after="0"/>
              <w:rPr>
                <w:sz w:val="20"/>
                <w:szCs w:val="20"/>
                <w:color w:val="auto"/>
              </w:rPr>
            </w:pPr>
            <w:r>
              <w:rPr>
                <w:rFonts w:ascii="Arial" w:cs="Arial" w:eastAsia="Arial" w:hAnsi="Arial"/>
                <w:sz w:val="18"/>
                <w:szCs w:val="18"/>
                <w:color w:val="auto"/>
                <w:w w:val="99"/>
              </w:rPr>
              <w:t>Components of lease cost were as follows:</w:t>
            </w: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820" w:type="dxa"/>
            <w:vAlign w:val="bottom"/>
            <w:vMerge w:val="continue"/>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60" w:type="dxa"/>
            <w:vAlign w:val="bottom"/>
            <w:gridSpan w:val="6"/>
          </w:tcPr>
          <w:p>
            <w:pPr>
              <w:jc w:val="right"/>
              <w:ind w:right="995"/>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CCEEFF"/>
            </w:tcBorders>
          </w:tcPr>
          <w:p>
            <w:pPr>
              <w:spacing w:after="0"/>
              <w:rPr>
                <w:sz w:val="16"/>
                <w:szCs w:val="16"/>
                <w:color w:val="auto"/>
              </w:rPr>
            </w:pPr>
          </w:p>
        </w:tc>
        <w:tc>
          <w:tcPr>
            <w:tcW w:w="3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2"/>
        </w:trPr>
        <w:tc>
          <w:tcPr>
            <w:tcW w:w="3820" w:type="dxa"/>
            <w:vAlign w:val="bottom"/>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2"/>
                <w:szCs w:val="22"/>
                <w:color w:val="auto"/>
                <w:vertAlign w:val="superscript"/>
              </w:rPr>
              <w:t>(a)</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50"/>
        </w:trPr>
        <w:tc>
          <w:tcPr>
            <w:tcW w:w="3820" w:type="dxa"/>
            <w:vAlign w:val="bottom"/>
            <w:shd w:val="clear" w:color="auto" w:fill="CCEEFF"/>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3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3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left="640" w:hanging="635"/>
        <w:spacing w:after="0" w:line="248" w:lineRule="auto"/>
        <w:tabs>
          <w:tab w:leader="none" w:pos="630" w:val="left"/>
        </w:tabs>
        <w:numPr>
          <w:ilvl w:val="0"/>
          <w:numId w:val="39"/>
        </w:numPr>
        <w:rPr>
          <w:rFonts w:ascii="Arial" w:cs="Arial" w:eastAsia="Arial" w:hAnsi="Arial"/>
          <w:sz w:val="19"/>
          <w:szCs w:val="19"/>
          <w:color w:val="auto"/>
        </w:rPr>
      </w:pPr>
      <w:r>
        <w:rPr>
          <w:rFonts w:ascii="Arial" w:cs="Arial" w:eastAsia="Arial" w:hAnsi="Arial"/>
          <w:sz w:val="18"/>
          <w:szCs w:val="18"/>
          <w:color w:val="auto"/>
        </w:rPr>
        <w:t>Operating lease cost includes amortization of ROU assets of $62.3 and $48.4 for fiscal 2021 and fiscal 2020, respectively. Short-term lease expense is excluded from operating lease cost and is not material.</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Year Ended September 30,</w:t>
            </w:r>
          </w:p>
        </w:tc>
        <w:tc>
          <w:tcPr>
            <w:tcW w:w="1080" w:type="dxa"/>
            <w:vAlign w:val="bottom"/>
          </w:tcPr>
          <w:p>
            <w:pPr>
              <w:spacing w:after="0"/>
              <w:rPr>
                <w:sz w:val="15"/>
                <w:szCs w:val="15"/>
                <w:color w:val="auto"/>
              </w:rPr>
            </w:pPr>
          </w:p>
        </w:tc>
      </w:tr>
      <w:tr>
        <w:trPr>
          <w:trHeight w:val="189"/>
        </w:trPr>
        <w:tc>
          <w:tcPr>
            <w:tcW w:w="5400" w:type="dxa"/>
            <w:vAlign w:val="bottom"/>
          </w:tcPr>
          <w:p>
            <w:pPr>
              <w:spacing w:after="0"/>
              <w:rPr>
                <w:sz w:val="16"/>
                <w:szCs w:val="16"/>
                <w:color w:val="auto"/>
              </w:rPr>
            </w:pPr>
          </w:p>
        </w:tc>
        <w:tc>
          <w:tcPr>
            <w:tcW w:w="31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80" w:type="dxa"/>
            <w:vAlign w:val="bottom"/>
          </w:tcPr>
          <w:p>
            <w:pPr>
              <w:jc w:val="right"/>
              <w:ind w:right="695"/>
              <w:spacing w:after="0"/>
              <w:rPr>
                <w:sz w:val="20"/>
                <w:szCs w:val="20"/>
                <w:color w:val="auto"/>
              </w:rPr>
            </w:pPr>
            <w:r>
              <w:rPr>
                <w:rFonts w:ascii="Arial" w:cs="Arial" w:eastAsia="Arial" w:hAnsi="Arial"/>
                <w:sz w:val="14"/>
                <w:szCs w:val="14"/>
                <w:b w:val="1"/>
                <w:bCs w:val="1"/>
                <w:color w:val="auto"/>
                <w:w w:val="89"/>
              </w:rPr>
              <w:t>2020</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7"/>
              </w:rPr>
              <w:t>Cash paid for amounts included in the measurement of lease liabilities:</w:t>
            </w:r>
          </w:p>
        </w:tc>
        <w:tc>
          <w:tcPr>
            <w:tcW w:w="20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31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66.9</w:t>
            </w:r>
          </w:p>
        </w:tc>
        <w:tc>
          <w:tcPr>
            <w:tcW w:w="8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54.4</w:t>
            </w:r>
          </w:p>
        </w:tc>
      </w:tr>
      <w:tr>
        <w:trPr>
          <w:trHeight w:val="224"/>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2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8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50"/>
        </w:trPr>
        <w:tc>
          <w:tcPr>
            <w:tcW w:w="54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w w:val="98"/>
              </w:rPr>
              <w:t>Right-of-use assets obtained in exchange for lease obligations:</w:t>
            </w: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31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8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2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2.6</w:t>
            </w:r>
          </w:p>
        </w:tc>
        <w:tc>
          <w:tcPr>
            <w:tcW w:w="8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881"/>
        </w:trPr>
        <w:tc>
          <w:tcPr>
            <w:tcW w:w="5400" w:type="dxa"/>
            <w:vAlign w:val="bottom"/>
          </w:tcPr>
          <w:p>
            <w:pPr>
              <w:spacing w:after="0"/>
              <w:rPr>
                <w:sz w:val="24"/>
                <w:szCs w:val="24"/>
                <w:color w:val="auto"/>
              </w:rPr>
            </w:pPr>
          </w:p>
        </w:tc>
        <w:tc>
          <w:tcPr>
            <w:tcW w:w="2060" w:type="dxa"/>
            <w:vAlign w:val="bottom"/>
          </w:tcPr>
          <w:p>
            <w:pPr>
              <w:jc w:val="right"/>
              <w:ind w:right="1617"/>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2"/>
        </w:trPr>
        <w:tc>
          <w:tcPr>
            <w:tcW w:w="54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0"/>
        </w:trPr>
        <w:tc>
          <w:tcPr>
            <w:tcW w:w="2600" w:type="dxa"/>
            <w:vAlign w:val="bottom"/>
          </w:tcPr>
          <w:p>
            <w:pPr>
              <w:ind w:left="20"/>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8640" w:type="dxa"/>
            <w:vAlign w:val="bottom"/>
            <w:gridSpan w:val="2"/>
          </w:tcPr>
          <w:p>
            <w:pPr>
              <w:jc w:val="center"/>
              <w:ind w:right="2530"/>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2600" w:type="dxa"/>
            <w:vAlign w:val="bottom"/>
          </w:tcPr>
          <w:p>
            <w:pPr>
              <w:spacing w:after="0"/>
              <w:rPr>
                <w:sz w:val="15"/>
                <w:szCs w:val="15"/>
                <w:color w:val="auto"/>
              </w:rPr>
            </w:pPr>
          </w:p>
        </w:tc>
        <w:tc>
          <w:tcPr>
            <w:tcW w:w="8640" w:type="dxa"/>
            <w:vAlign w:val="bottom"/>
            <w:gridSpan w:val="2"/>
          </w:tcPr>
          <w:p>
            <w:pPr>
              <w:jc w:val="center"/>
              <w:ind w:right="2530"/>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2600" w:type="dxa"/>
            <w:vAlign w:val="bottom"/>
          </w:tcPr>
          <w:p>
            <w:pPr>
              <w:spacing w:after="0"/>
              <w:rPr>
                <w:sz w:val="15"/>
                <w:szCs w:val="15"/>
                <w:color w:val="auto"/>
              </w:rPr>
            </w:pPr>
          </w:p>
        </w:tc>
        <w:tc>
          <w:tcPr>
            <w:tcW w:w="8640" w:type="dxa"/>
            <w:vAlign w:val="bottom"/>
            <w:gridSpan w:val="2"/>
          </w:tcPr>
          <w:p>
            <w:pPr>
              <w:jc w:val="center"/>
              <w:ind w:right="2510"/>
              <w:spacing w:after="0"/>
              <w:rPr>
                <w:sz w:val="20"/>
                <w:szCs w:val="20"/>
                <w:color w:val="auto"/>
              </w:rPr>
            </w:pPr>
            <w:r>
              <w:rPr>
                <w:rFonts w:ascii="Arial" w:cs="Arial" w:eastAsia="Arial" w:hAnsi="Arial"/>
                <w:sz w:val="14"/>
                <w:szCs w:val="14"/>
                <w:b w:val="1"/>
                <w:bCs w:val="1"/>
                <w:color w:val="auto"/>
                <w:w w:val="90"/>
              </w:rPr>
              <w:t>(Dollars in millions, except per share data)</w:t>
            </w:r>
          </w:p>
        </w:tc>
      </w:tr>
      <w:tr>
        <w:trPr>
          <w:trHeight w:val="829"/>
        </w:trPr>
        <w:tc>
          <w:tcPr>
            <w:tcW w:w="11240" w:type="dxa"/>
            <w:vAlign w:val="bottom"/>
            <w:gridSpan w:val="3"/>
          </w:tcPr>
          <w:p>
            <w:pPr>
              <w:ind w:left="440"/>
              <w:spacing w:after="0"/>
              <w:rPr>
                <w:sz w:val="20"/>
                <w:szCs w:val="20"/>
                <w:color w:val="auto"/>
              </w:rPr>
            </w:pPr>
            <w:r>
              <w:rPr>
                <w:rFonts w:ascii="Arial" w:cs="Arial" w:eastAsia="Arial" w:hAnsi="Arial"/>
                <w:sz w:val="18"/>
                <w:szCs w:val="18"/>
                <w:color w:val="auto"/>
              </w:rPr>
              <w:t>Weighted-average remaining lease term and discount rate for the Company’s leases were as follows:</w:t>
            </w:r>
          </w:p>
        </w:tc>
      </w:tr>
      <w:tr>
        <w:trPr>
          <w:trHeight w:val="206"/>
        </w:trPr>
        <w:tc>
          <w:tcPr>
            <w:tcW w:w="2600" w:type="dxa"/>
            <w:vAlign w:val="bottom"/>
            <w:tcBorders>
              <w:bottom w:val="single" w:sz="8" w:color="CCEEFF"/>
            </w:tcBorders>
          </w:tcPr>
          <w:p>
            <w:pPr>
              <w:spacing w:after="0"/>
              <w:rPr>
                <w:sz w:val="17"/>
                <w:szCs w:val="17"/>
                <w:color w:val="auto"/>
              </w:rPr>
            </w:pPr>
          </w:p>
        </w:tc>
        <w:tc>
          <w:tcPr>
            <w:tcW w:w="6220" w:type="dxa"/>
            <w:vAlign w:val="bottom"/>
            <w:tcBorders>
              <w:bottom w:val="single" w:sz="8" w:color="CCEEFF"/>
            </w:tcBorders>
          </w:tcPr>
          <w:p>
            <w:pPr>
              <w:spacing w:after="0"/>
              <w:rPr>
                <w:sz w:val="17"/>
                <w:szCs w:val="17"/>
                <w:color w:val="auto"/>
              </w:rPr>
            </w:pPr>
          </w:p>
        </w:tc>
        <w:tc>
          <w:tcPr>
            <w:tcW w:w="242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September 30, 2021</w:t>
            </w:r>
          </w:p>
        </w:tc>
      </w:tr>
      <w:tr>
        <w:trPr>
          <w:trHeight w:val="209"/>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2420" w:type="dxa"/>
            <w:vAlign w:val="bottom"/>
            <w:shd w:val="clear" w:color="auto" w:fill="CCEEFF"/>
          </w:tcPr>
          <w:p>
            <w:pPr>
              <w:spacing w:after="0"/>
              <w:rPr>
                <w:sz w:val="18"/>
                <w:szCs w:val="18"/>
                <w:color w:val="auto"/>
              </w:rPr>
            </w:pPr>
          </w:p>
        </w:tc>
      </w:tr>
      <w:tr>
        <w:trPr>
          <w:trHeight w:val="223"/>
        </w:trPr>
        <w:tc>
          <w:tcPr>
            <w:tcW w:w="260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86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24"/>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8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260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3"/>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Weighted-average discount rate:</w:t>
            </w:r>
          </w:p>
        </w:tc>
        <w:tc>
          <w:tcPr>
            <w:tcW w:w="622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r>
      <w:tr>
        <w:trPr>
          <w:trHeight w:val="223"/>
        </w:trPr>
        <w:tc>
          <w:tcPr>
            <w:tcW w:w="2600" w:type="dxa"/>
            <w:vAlign w:val="bottom"/>
          </w:tcPr>
          <w:p>
            <w:pPr>
              <w:ind w:left="340"/>
              <w:spacing w:after="0"/>
              <w:rPr>
                <w:sz w:val="20"/>
                <w:szCs w:val="20"/>
                <w:color w:val="auto"/>
              </w:rPr>
            </w:pPr>
            <w:r>
              <w:rPr>
                <w:rFonts w:ascii="Arial" w:cs="Arial" w:eastAsia="Arial" w:hAnsi="Arial"/>
                <w:sz w:val="18"/>
                <w:szCs w:val="18"/>
                <w:color w:val="auto"/>
              </w:rPr>
              <w:t>Operating leases</w:t>
            </w:r>
          </w:p>
        </w:tc>
        <w:tc>
          <w:tcPr>
            <w:tcW w:w="8640" w:type="dxa"/>
            <w:vAlign w:val="bottom"/>
            <w:gridSpan w:val="2"/>
          </w:tcPr>
          <w:p>
            <w:pPr>
              <w:jc w:val="right"/>
              <w:spacing w:after="0"/>
              <w:rPr>
                <w:sz w:val="20"/>
                <w:szCs w:val="20"/>
                <w:color w:val="auto"/>
              </w:rPr>
            </w:pPr>
            <w:r>
              <w:rPr>
                <w:rFonts w:ascii="Arial" w:cs="Arial" w:eastAsia="Arial" w:hAnsi="Arial"/>
                <w:sz w:val="18"/>
                <w:szCs w:val="18"/>
                <w:color w:val="auto"/>
              </w:rPr>
              <w:t>3.2 %</w:t>
            </w:r>
          </w:p>
        </w:tc>
      </w:tr>
      <w:tr>
        <w:trPr>
          <w:trHeight w:val="224"/>
        </w:trPr>
        <w:tc>
          <w:tcPr>
            <w:tcW w:w="2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leases</w:t>
            </w:r>
          </w:p>
        </w:tc>
        <w:tc>
          <w:tcPr>
            <w:tcW w:w="8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r>
    </w:tbl>
    <w:p>
      <w:pPr>
        <w:spacing w:after="0" w:line="200" w:lineRule="exact"/>
        <w:rPr>
          <w:sz w:val="20"/>
          <w:szCs w:val="20"/>
          <w:color w:val="auto"/>
        </w:rPr>
      </w:pP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Maturities of lease liabilities by fiscal year for the Company’s leases as of September 30, 2021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 Leases</w:t>
            </w:r>
          </w:p>
        </w:tc>
        <w:tc>
          <w:tcPr>
            <w:tcW w:w="280" w:type="dxa"/>
            <w:vAlign w:val="bottom"/>
          </w:tcPr>
          <w:p>
            <w:pPr>
              <w:spacing w:after="0"/>
              <w:rPr>
                <w:sz w:val="16"/>
                <w:szCs w:val="16"/>
                <w:color w:val="auto"/>
              </w:rPr>
            </w:pPr>
          </w:p>
        </w:tc>
        <w:tc>
          <w:tcPr>
            <w:tcW w:w="1560" w:type="dxa"/>
            <w:vAlign w:val="bottom"/>
          </w:tcPr>
          <w:p>
            <w:pPr>
              <w:jc w:val="right"/>
              <w:ind w:right="374"/>
              <w:spacing w:after="0"/>
              <w:rPr>
                <w:sz w:val="20"/>
                <w:szCs w:val="20"/>
                <w:color w:val="auto"/>
              </w:rPr>
            </w:pPr>
            <w:r>
              <w:rPr>
                <w:rFonts w:ascii="Arial" w:cs="Arial" w:eastAsia="Arial" w:hAnsi="Arial"/>
                <w:sz w:val="14"/>
                <w:szCs w:val="14"/>
                <w:b w:val="1"/>
                <w:bCs w:val="1"/>
                <w:color w:val="auto"/>
              </w:rPr>
              <w:t>Finance Leases</w:t>
            </w:r>
          </w:p>
        </w:tc>
      </w:tr>
      <w:tr>
        <w:trPr>
          <w:trHeight w:val="222"/>
        </w:trPr>
        <w:tc>
          <w:tcPr>
            <w:tcW w:w="7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17"/>
        </w:trPr>
        <w:tc>
          <w:tcPr>
            <w:tcW w:w="7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7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2"/>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6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r>
      <w:tr>
        <w:trPr>
          <w:trHeight w:val="223"/>
        </w:trPr>
        <w:tc>
          <w:tcPr>
            <w:tcW w:w="9360" w:type="dxa"/>
            <w:vAlign w:val="bottom"/>
          </w:tcPr>
          <w:p>
            <w:pPr>
              <w:ind w:left="20"/>
              <w:spacing w:after="0"/>
              <w:rPr>
                <w:sz w:val="20"/>
                <w:szCs w:val="20"/>
                <w:color w:val="auto"/>
              </w:rPr>
            </w:pPr>
            <w:r>
              <w:rPr>
                <w:rFonts w:ascii="Arial" w:cs="Arial" w:eastAsia="Arial" w:hAnsi="Arial"/>
                <w:sz w:val="18"/>
                <w:szCs w:val="18"/>
                <w:color w:val="auto"/>
              </w:rPr>
              <w:t>2023</w:t>
            </w: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193.7</w:t>
            </w:r>
          </w:p>
        </w:tc>
      </w:tr>
      <w:tr>
        <w:trPr>
          <w:trHeight w:val="224"/>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r>
      <w:tr>
        <w:trPr>
          <w:trHeight w:val="223"/>
        </w:trPr>
        <w:tc>
          <w:tcPr>
            <w:tcW w:w="9360" w:type="dxa"/>
            <w:vAlign w:val="bottom"/>
          </w:tcPr>
          <w:p>
            <w:pPr>
              <w:ind w:left="20"/>
              <w:spacing w:after="0"/>
              <w:rPr>
                <w:sz w:val="20"/>
                <w:szCs w:val="20"/>
                <w:color w:val="auto"/>
              </w:rPr>
            </w:pPr>
            <w:r>
              <w:rPr>
                <w:rFonts w:ascii="Arial" w:cs="Arial" w:eastAsia="Arial" w:hAnsi="Arial"/>
                <w:sz w:val="18"/>
                <w:szCs w:val="18"/>
                <w:color w:val="auto"/>
              </w:rPr>
              <w:t>2025</w:t>
            </w:r>
          </w:p>
        </w:tc>
        <w:tc>
          <w:tcPr>
            <w:tcW w:w="7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24"/>
        </w:trPr>
        <w:tc>
          <w:tcPr>
            <w:tcW w:w="9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42"/>
        </w:trPr>
        <w:tc>
          <w:tcPr>
            <w:tcW w:w="9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including urea and packaging, as well as commitments for warehouse services, grass seed, marketing services and information technology services.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CONTINGENCIES</w:t>
      </w:r>
    </w:p>
    <w:p>
      <w:pPr>
        <w:spacing w:after="0" w:line="101"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82" w:lineRule="exact"/>
        <w:rPr>
          <w:sz w:val="20"/>
          <w:szCs w:val="20"/>
          <w:color w:val="auto"/>
        </w:rPr>
      </w:pPr>
    </w:p>
    <w:p>
      <w:pPr>
        <w:jc w:val="both"/>
        <w:ind w:firstLine="434"/>
        <w:spacing w:after="0" w:line="249" w:lineRule="auto"/>
        <w:rPr>
          <w:sz w:val="20"/>
          <w:szCs w:val="20"/>
          <w:color w:val="auto"/>
        </w:rPr>
      </w:pPr>
      <w:r>
        <w:rPr>
          <w:rFonts w:ascii="Arial" w:cs="Arial" w:eastAsia="Arial" w:hAnsi="Arial"/>
          <w:sz w:val="18"/>
          <w:szCs w:val="18"/>
          <w:color w:val="auto"/>
        </w:rPr>
        <w:t>At September 30, 2021, $3.6 was accrued in the “Other liabilities” line in the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5"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53" w:lineRule="exact"/>
        <w:rPr>
          <w:sz w:val="20"/>
          <w:szCs w:val="20"/>
          <w:color w:val="auto"/>
        </w:rPr>
      </w:pPr>
    </w:p>
    <w:p>
      <w:pPr>
        <w:jc w:val="both"/>
        <w:ind w:firstLine="434"/>
        <w:spacing w:after="0" w:line="277"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along with its Chief Executive Officer, had been named as defendants in four actions filed on and after June 27, 2012, which were consolidated, and, on March 31, 2017, certified as a class action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3:12-cv-01592-JAH-AGS. The plaintiffs alleged various statutory and common law claims associated with the Company’s sale of wild bird food products and a plea agreement entered into in previously pending government proceedings associated with such sales. The plaintiffs alleged, among other things, a class action on behalf of all persons and entities in the United States who purchased certain bird food products. The plaintiffs asserted: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disputed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on June 11, 2019, the Court granted final approval of the settlement. The settlement became effective on July 12, 2019. During the second quarter of fiscal 2019, the Company paid $42.5 to the settlement fund in accordance with the settlement agreement, and the final payment of $20.0 was made during the fourth quarter of fiscal 2019. During fiscal 2018, the Company recognized a pre-tax charge of $85.0 for a probable loss related to this matter in the “Income (loss) from discontinued operations, net of tax” line in the Consolidated Statements of Operations. During fiscal 2019, the Company recognized a favorable adjustment of $22.5 in the “Income (loss) from discontinued operations, net of tax” line in the Consolidated Statements of Operations as a result of the final resolution of the previously disclosed settlement agreement. In addition, during fiscal 2020 and fiscal 2019, the Company recognized insurance recoveries of $1.5 and $13.4, respectively, related to this matter in the “Income (loss) from discontinued operations, net of tax” line in the Consolidated Statements of Operations.</w:t>
      </w:r>
    </w:p>
    <w:p>
      <w:pPr>
        <w:spacing w:after="0" w:line="44"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INFORMATION</w:t>
      </w:r>
    </w:p>
    <w:p>
      <w:pPr>
        <w:spacing w:after="0" w:line="101" w:lineRule="exact"/>
        <w:rPr>
          <w:sz w:val="20"/>
          <w:szCs w:val="20"/>
          <w:color w:val="auto"/>
        </w:rPr>
      </w:pPr>
    </w:p>
    <w:p>
      <w:pPr>
        <w:jc w:val="both"/>
        <w:ind w:firstLine="434"/>
        <w:spacing w:after="0" w:line="286" w:lineRule="auto"/>
        <w:rPr>
          <w:sz w:val="20"/>
          <w:szCs w:val="20"/>
          <w:color w:val="auto"/>
        </w:rPr>
      </w:pPr>
      <w:r>
        <w:rPr>
          <w:rFonts w:ascii="Arial" w:cs="Arial" w:eastAsia="Arial" w:hAnsi="Arial"/>
          <w:sz w:val="16"/>
          <w:szCs w:val="16"/>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47" w:lineRule="exact"/>
        <w:rPr>
          <w:sz w:val="20"/>
          <w:szCs w:val="20"/>
          <w:color w:val="auto"/>
        </w:rPr>
      </w:pPr>
    </w:p>
    <w:p>
      <w:pPr>
        <w:jc w:val="both"/>
        <w:ind w:firstLine="434"/>
        <w:spacing w:after="0" w:line="252" w:lineRule="auto"/>
        <w:rPr>
          <w:sz w:val="20"/>
          <w:szCs w:val="20"/>
          <w:color w:val="auto"/>
        </w:rPr>
      </w:pPr>
      <w:r>
        <w:rPr>
          <w:rFonts w:ascii="Arial" w:cs="Arial" w:eastAsia="Arial" w:hAnsi="Arial"/>
          <w:sz w:val="18"/>
          <w:szCs w:val="18"/>
          <w:color w:val="auto"/>
        </w:rPr>
        <w:t>During the first quarter of fiscal 2021, the Company changed its internal organization structure such that AeroGrow is now managed by and reported within the U.S. Consumer segment. Within the U.S. Consumer segment, AeroGrow is integrated into the Company’s overall direct to consumer focus and strategy. AeroGrow was previously managed by and reported within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Hawthorne segment. The prior period amounts have been reclassified to conform to the new organization structure. This change in organization structure resulted in a change in the Company’s reporting units. As a result, goodwill included in impacted reporting units was reallocated using a relative fair value approach, resulting in $15.8 of goodwill reallocated from the Hawthorne segment to the U.S. Consumer segment during fiscal 2021. In addition, the Company completed an assessment of potential goodwill impairment immediately before and after the reallocation and determined that no impairment existed.</w:t>
      </w:r>
    </w:p>
    <w:p>
      <w:pPr>
        <w:spacing w:after="0" w:line="44" w:lineRule="exact"/>
        <w:rPr>
          <w:sz w:val="20"/>
          <w:szCs w:val="20"/>
          <w:color w:val="auto"/>
        </w:rPr>
      </w:pPr>
    </w:p>
    <w:p>
      <w:pPr>
        <w:jc w:val="both"/>
        <w:ind w:firstLine="434"/>
        <w:spacing w:after="0" w:line="299" w:lineRule="auto"/>
        <w:rPr>
          <w:sz w:val="20"/>
          <w:szCs w:val="20"/>
          <w:color w:val="auto"/>
        </w:rPr>
      </w:pPr>
      <w:r>
        <w:rPr>
          <w:rFonts w:ascii="Arial" w:cs="Arial" w:eastAsia="Arial" w:hAnsi="Arial"/>
          <w:sz w:val="16"/>
          <w:szCs w:val="16"/>
          <w:color w:val="auto"/>
        </w:rPr>
        <w:t>The performance of each reportable segment is evaluated based on several factors, including income (loss) from continuing operations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040" w:type="dxa"/>
            <w:vAlign w:val="bottom"/>
            <w:tcBorders>
              <w:bottom w:val="single" w:sz="8" w:color="CCEEFF"/>
            </w:tcBorders>
          </w:tcPr>
          <w:p>
            <w:pPr>
              <w:spacing w:after="0"/>
              <w:rPr>
                <w:sz w:val="15"/>
                <w:szCs w:val="15"/>
                <w:color w:val="auto"/>
              </w:rPr>
            </w:pPr>
          </w:p>
        </w:tc>
        <w:tc>
          <w:tcPr>
            <w:tcW w:w="16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Sales:</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3,197.7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2,883.5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Consolidated</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Segment Profit:</w:t>
            </w:r>
          </w:p>
        </w:tc>
        <w:tc>
          <w:tcPr>
            <w:tcW w:w="1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Consumer</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Hawthorne</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60"/>
              <w:spacing w:after="0" w:line="203" w:lineRule="exact"/>
              <w:rPr>
                <w:sz w:val="20"/>
                <w:szCs w:val="20"/>
                <w:color w:val="auto"/>
              </w:rPr>
            </w:pPr>
            <w:r>
              <w:rPr>
                <w:rFonts w:ascii="Arial" w:cs="Arial" w:eastAsia="Arial" w:hAnsi="Arial"/>
                <w:sz w:val="18"/>
                <w:szCs w:val="18"/>
                <w:color w:val="auto"/>
              </w:rPr>
              <w:t>Total Segment Profit</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Intangible asset amortization</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restructuring and other</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Equity in income of unconsolidated affiliates</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Costs related to refinancing</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non-operating income, net</w:t>
            </w:r>
          </w:p>
        </w:tc>
        <w:tc>
          <w:tcPr>
            <w:tcW w:w="1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660"/>
              <w:spacing w:after="0" w:line="203" w:lineRule="exact"/>
              <w:rPr>
                <w:sz w:val="20"/>
                <w:szCs w:val="20"/>
                <w:color w:val="auto"/>
              </w:rPr>
            </w:pPr>
            <w:r>
              <w:rPr>
                <w:rFonts w:ascii="Arial" w:cs="Arial" w:eastAsia="Arial" w:hAnsi="Arial"/>
                <w:sz w:val="18"/>
                <w:szCs w:val="18"/>
                <w:color w:val="auto"/>
                <w:w w:val="98"/>
              </w:rPr>
              <w:t>Income from continuing operations before income taxes</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677.1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16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Capital expenditures:</w:t>
            </w:r>
          </w:p>
        </w:tc>
        <w:tc>
          <w:tcPr>
            <w:tcW w:w="1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852"/>
              <w:spacing w:after="0"/>
              <w:rPr>
                <w:sz w:val="20"/>
                <w:szCs w:val="20"/>
                <w:color w:val="auto"/>
              </w:rPr>
            </w:pPr>
            <w:r>
              <w:rPr>
                <w:rFonts w:ascii="Arial" w:cs="Arial" w:eastAsia="Arial" w:hAnsi="Arial"/>
                <w:sz w:val="18"/>
                <w:szCs w:val="18"/>
                <w:color w:val="auto"/>
              </w:rPr>
              <w:t>105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50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0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0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4660" w:type="dxa"/>
            <w:vAlign w:val="bottom"/>
            <w:gridSpan w:val="7"/>
          </w:tcPr>
          <w:p>
            <w:pPr>
              <w:jc w:val="center"/>
              <w:ind w:right="460"/>
              <w:spacing w:after="0"/>
              <w:rPr>
                <w:sz w:val="20"/>
                <w:szCs w:val="20"/>
                <w:color w:val="auto"/>
              </w:rPr>
            </w:pPr>
            <w:r>
              <w:rPr>
                <w:rFonts w:ascii="Arial" w:cs="Arial" w:eastAsia="Arial" w:hAnsi="Arial"/>
                <w:sz w:val="18"/>
                <w:szCs w:val="18"/>
                <w:b w:val="1"/>
                <w:bCs w:val="1"/>
                <w:color w:val="auto"/>
                <w:w w:val="98"/>
              </w:rPr>
              <w:t>THE SCOTTS MIRACLE-GRO COMPANY</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580" w:type="dxa"/>
            <w:vAlign w:val="bottom"/>
            <w:gridSpan w:val="10"/>
          </w:tcPr>
          <w:p>
            <w:pPr>
              <w:jc w:val="center"/>
              <w:ind w:left="2533"/>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460" w:type="dxa"/>
            <w:vAlign w:val="bottom"/>
            <w:gridSpan w:val="3"/>
          </w:tcPr>
          <w:p>
            <w:pPr>
              <w:jc w:val="center"/>
              <w:ind w:left="677"/>
              <w:spacing w:after="0"/>
              <w:rPr>
                <w:sz w:val="20"/>
                <w:szCs w:val="20"/>
                <w:color w:val="auto"/>
              </w:rPr>
            </w:pPr>
            <w:r>
              <w:rPr>
                <w:rFonts w:ascii="Arial" w:cs="Arial" w:eastAsia="Arial" w:hAnsi="Arial"/>
                <w:sz w:val="14"/>
                <w:szCs w:val="14"/>
                <w:b w:val="1"/>
                <w:bCs w:val="1"/>
                <w:color w:val="auto"/>
                <w:w w:val="90"/>
              </w:rPr>
              <w:t>(Dollars in millions, except per share data)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Total assets:</w:t>
            </w:r>
          </w:p>
        </w:tc>
        <w:tc>
          <w:tcPr>
            <w:tcW w:w="2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U.S. Consumer</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2,333.1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Hawthorne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Other</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640"/>
              <w:spacing w:after="0" w:line="203" w:lineRule="exact"/>
              <w:rPr>
                <w:sz w:val="20"/>
                <w:szCs w:val="20"/>
                <w:color w:val="auto"/>
              </w:rPr>
            </w:pPr>
            <w:r>
              <w:rPr>
                <w:rFonts w:ascii="Arial" w:cs="Arial" w:eastAsia="Arial" w:hAnsi="Arial"/>
                <w:sz w:val="18"/>
                <w:szCs w:val="18"/>
                <w:color w:val="auto"/>
              </w:rPr>
              <w:t>Consolidated</w:t>
            </w: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4"/>
            <w:vMerge w:val="restart"/>
          </w:tcPr>
          <w:p>
            <w:pPr>
              <w:ind w:left="420"/>
              <w:spacing w:after="0"/>
              <w:rPr>
                <w:sz w:val="20"/>
                <w:szCs w:val="20"/>
                <w:color w:val="auto"/>
              </w:rPr>
            </w:pPr>
            <w:r>
              <w:rPr>
                <w:rFonts w:ascii="Arial" w:cs="Arial" w:eastAsia="Arial" w:hAnsi="Arial"/>
                <w:sz w:val="18"/>
                <w:szCs w:val="18"/>
                <w:color w:val="auto"/>
                <w:w w:val="97"/>
              </w:rPr>
              <w:t>The following table presents net sales by product category for the periods indicated:</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6960" w:type="dxa"/>
            <w:vAlign w:val="bottom"/>
            <w:gridSpan w:val="4"/>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b w:val="1"/>
                <w:bCs w:val="1"/>
                <w:color w:val="auto"/>
                <w:w w:val="89"/>
              </w:rPr>
              <w:t>Year Ended September 30,</w:t>
            </w: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U.S. Consumer:</w:t>
            </w:r>
          </w:p>
        </w:tc>
        <w:tc>
          <w:tcPr>
            <w:tcW w:w="2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Growing media and mulch</w:t>
            </w:r>
          </w:p>
        </w:tc>
        <w:tc>
          <w:tcPr>
            <w:tcW w:w="3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1,286.7</w:t>
            </w:r>
          </w:p>
        </w:tc>
        <w:tc>
          <w:tcPr>
            <w:tcW w:w="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1,164.0</w:t>
            </w:r>
          </w:p>
        </w:tc>
        <w:tc>
          <w:tcPr>
            <w:tcW w:w="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Lawn care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Controls</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402.4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383.7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320"/>
              <w:spacing w:after="0" w:line="224" w:lineRule="exact"/>
              <w:rPr>
                <w:sz w:val="20"/>
                <w:szCs w:val="20"/>
                <w:color w:val="auto"/>
              </w:rPr>
            </w:pPr>
            <w:r>
              <w:rPr>
                <w:rFonts w:ascii="Arial" w:cs="Arial" w:eastAsia="Arial" w:hAnsi="Arial"/>
                <w:sz w:val="18"/>
                <w:szCs w:val="18"/>
                <w:color w:val="auto"/>
              </w:rPr>
              <w:t>Roundup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marketing agreement</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Other, primarily gardening</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302.8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Hawthorne: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Lighting</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452.4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Nutrients</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Growing environment</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264.0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Growing media</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Other, primarily hardware</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207.4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Growing media</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Lawn care</w:t>
            </w:r>
          </w:p>
        </w:tc>
        <w:tc>
          <w:tcPr>
            <w:tcW w:w="2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primarily gardening and controls</w:t>
            </w:r>
          </w:p>
        </w:tc>
        <w:tc>
          <w:tcPr>
            <w:tcW w:w="29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87.2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60.7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net sales</w:t>
            </w:r>
          </w:p>
        </w:tc>
        <w:tc>
          <w:tcPr>
            <w:tcW w:w="3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4,925.0</w:t>
            </w:r>
          </w:p>
        </w:tc>
        <w:tc>
          <w:tcPr>
            <w:tcW w:w="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4,131.6</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9680" w:type="dxa"/>
            <w:vAlign w:val="bottom"/>
            <w:gridSpan w:val="13"/>
          </w:tcPr>
          <w:p>
            <w:pPr>
              <w:ind w:left="420"/>
              <w:spacing w:after="0"/>
              <w:rPr>
                <w:sz w:val="20"/>
                <w:szCs w:val="20"/>
                <w:color w:val="auto"/>
              </w:rPr>
            </w:pPr>
            <w:r>
              <w:rPr>
                <w:rFonts w:ascii="Arial" w:cs="Arial" w:eastAsia="Arial" w:hAnsi="Arial"/>
                <w:sz w:val="18"/>
                <w:szCs w:val="18"/>
                <w:color w:val="auto"/>
                <w:w w:val="87"/>
              </w:rPr>
              <w:t>The Company’s two largest customers accounted for the following percentages of net sales for the fiscal years ended 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0"/>
              </w:rPr>
              <w:t>Percentage of Net Sales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29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Home Depot</w:t>
            </w: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7"/>
              </w:rPr>
              <w:t>26 %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Lowe’s</w:t>
            </w:r>
          </w:p>
        </w:tc>
        <w:tc>
          <w:tcPr>
            <w:tcW w:w="2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ind w:left="620"/>
              <w:spacing w:after="0"/>
              <w:rPr>
                <w:sz w:val="20"/>
                <w:szCs w:val="20"/>
                <w:color w:val="auto"/>
              </w:rPr>
            </w:pPr>
            <w:r>
              <w:rPr>
                <w:rFonts w:ascii="Arial" w:cs="Arial" w:eastAsia="Arial" w:hAnsi="Arial"/>
                <w:sz w:val="18"/>
                <w:szCs w:val="18"/>
                <w:color w:val="auto"/>
                <w:w w:val="87"/>
              </w:rPr>
              <w:t>18 %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434"/>
        <w:spacing w:after="0" w:line="261" w:lineRule="auto"/>
        <w:rPr>
          <w:sz w:val="20"/>
          <w:szCs w:val="20"/>
          <w:color w:val="auto"/>
        </w:rPr>
      </w:pPr>
      <w:r>
        <w:rPr>
          <w:rFonts w:ascii="Arial" w:cs="Arial" w:eastAsia="Arial" w:hAnsi="Arial"/>
          <w:sz w:val="18"/>
          <w:szCs w:val="18"/>
          <w:color w:val="auto"/>
        </w:rPr>
        <w:t>Accounts receivable for these two largest customers as a percentage of consolidated accounts receivable were 42% and 58% as of September 30, 2021 and 2020, respectively.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geographic area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2"/>
        </w:trPr>
        <w:tc>
          <w:tcPr>
            <w:tcW w:w="67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r>
      <w:tr>
        <w:trPr>
          <w:trHeight w:val="204"/>
        </w:trPr>
        <w:tc>
          <w:tcPr>
            <w:tcW w:w="6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67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4,507.0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3,773.4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2,851.9</w:t>
            </w:r>
          </w:p>
        </w:tc>
      </w:tr>
      <w:tr>
        <w:trPr>
          <w:trHeight w:val="223"/>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w:t>
            </w:r>
          </w:p>
        </w:tc>
      </w:tr>
      <w:tr>
        <w:trPr>
          <w:trHeight w:val="217"/>
        </w:trPr>
        <w:tc>
          <w:tcPr>
            <w:tcW w:w="674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4,925.0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4,131.6</w:t>
            </w:r>
          </w:p>
        </w:tc>
        <w:tc>
          <w:tcPr>
            <w:tcW w:w="120" w:type="dxa"/>
            <w:vAlign w:val="bottom"/>
          </w:tcPr>
          <w:p>
            <w:pPr>
              <w:spacing w:after="0"/>
              <w:rPr>
                <w:sz w:val="18"/>
                <w:szCs w:val="18"/>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3,156.0</w:t>
            </w:r>
          </w:p>
        </w:tc>
      </w:tr>
      <w:tr>
        <w:trPr>
          <w:trHeight w:val="20"/>
        </w:trPr>
        <w:tc>
          <w:tcPr>
            <w:tcW w:w="6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than the United States, no other country accounted for more than 10% of the Company’s net sales for any period presented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0" w:right="33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210"/>
        </w:trPr>
        <w:tc>
          <w:tcPr>
            <w:tcW w:w="1860" w:type="dxa"/>
            <w:vAlign w:val="bottom"/>
          </w:tcPr>
          <w:p>
            <w:pPr>
              <w:spacing w:after="0"/>
              <w:rPr>
                <w:rFonts w:ascii="Arial" w:cs="Arial" w:eastAsia="Arial" w:hAnsi="Arial"/>
                <w:sz w:val="14"/>
                <w:szCs w:val="14"/>
                <w:color w:val="FFFFFF"/>
              </w:rPr>
            </w:pPr>
            <w:hyperlink w:anchor="page1">
              <w:r>
                <w:rPr>
                  <w:rFonts w:ascii="Arial" w:cs="Arial" w:eastAsia="Arial" w:hAnsi="Arial"/>
                  <w:sz w:val="14"/>
                  <w:szCs w:val="14"/>
                  <w:color w:val="FFFFFF"/>
                </w:rPr>
                <w:t>Table of Contents</w:t>
              </w:r>
            </w:hyperlink>
          </w:p>
        </w:tc>
        <w:tc>
          <w:tcPr>
            <w:tcW w:w="6620" w:type="dxa"/>
            <w:vAlign w:val="bottom"/>
          </w:tcPr>
          <w:p>
            <w:pPr>
              <w:jc w:val="center"/>
              <w:ind w:left="778"/>
              <w:spacing w:after="0"/>
              <w:rPr>
                <w:sz w:val="20"/>
                <w:szCs w:val="20"/>
                <w:color w:val="auto"/>
              </w:rPr>
            </w:pPr>
            <w:r>
              <w:rPr>
                <w:rFonts w:ascii="Arial" w:cs="Arial" w:eastAsia="Arial" w:hAnsi="Arial"/>
                <w:sz w:val="18"/>
                <w:szCs w:val="18"/>
                <w:b w:val="1"/>
                <w:bCs w:val="1"/>
                <w:color w:val="auto"/>
                <w:w w:val="98"/>
              </w:rPr>
              <w:t>THE SCOTTS MIRACLE-GRO COMPANY</w:t>
            </w:r>
          </w:p>
        </w:tc>
      </w:tr>
      <w:tr>
        <w:trPr>
          <w:trHeight w:val="176"/>
        </w:trPr>
        <w:tc>
          <w:tcPr>
            <w:tcW w:w="1860" w:type="dxa"/>
            <w:vAlign w:val="bottom"/>
          </w:tcPr>
          <w:p>
            <w:pPr>
              <w:spacing w:after="0"/>
              <w:rPr>
                <w:sz w:val="15"/>
                <w:szCs w:val="15"/>
                <w:color w:val="auto"/>
              </w:rPr>
            </w:pPr>
          </w:p>
        </w:tc>
        <w:tc>
          <w:tcPr>
            <w:tcW w:w="6620" w:type="dxa"/>
            <w:vAlign w:val="bottom"/>
          </w:tcPr>
          <w:p>
            <w:pPr>
              <w:jc w:val="center"/>
              <w:ind w:left="778"/>
              <w:spacing w:after="0" w:line="176" w:lineRule="exact"/>
              <w:rPr>
                <w:sz w:val="20"/>
                <w:szCs w:val="20"/>
                <w:color w:val="auto"/>
              </w:rPr>
            </w:pPr>
            <w:r>
              <w:rPr>
                <w:rFonts w:ascii="Arial" w:cs="Arial" w:eastAsia="Arial" w:hAnsi="Arial"/>
                <w:sz w:val="18"/>
                <w:szCs w:val="18"/>
                <w:b w:val="1"/>
                <w:bCs w:val="1"/>
                <w:color w:val="auto"/>
                <w:w w:val="96"/>
              </w:rPr>
              <w:t>NOTES TO CONSOLIDATED FINANCIAL STATEMENTS — (Continued)</w:t>
            </w:r>
          </w:p>
        </w:tc>
      </w:tr>
      <w:tr>
        <w:trPr>
          <w:trHeight w:val="183"/>
        </w:trPr>
        <w:tc>
          <w:tcPr>
            <w:tcW w:w="1860" w:type="dxa"/>
            <w:vAlign w:val="bottom"/>
          </w:tcPr>
          <w:p>
            <w:pPr>
              <w:spacing w:after="0"/>
              <w:rPr>
                <w:sz w:val="15"/>
                <w:szCs w:val="15"/>
                <w:color w:val="auto"/>
              </w:rPr>
            </w:pPr>
          </w:p>
        </w:tc>
        <w:tc>
          <w:tcPr>
            <w:tcW w:w="6620" w:type="dxa"/>
            <w:vAlign w:val="bottom"/>
          </w:tcPr>
          <w:p>
            <w:pPr>
              <w:jc w:val="center"/>
              <w:ind w:left="798"/>
              <w:spacing w:after="0"/>
              <w:rPr>
                <w:sz w:val="20"/>
                <w:szCs w:val="20"/>
                <w:color w:val="auto"/>
              </w:rPr>
            </w:pPr>
            <w:r>
              <w:rPr>
                <w:rFonts w:ascii="Arial" w:cs="Arial" w:eastAsia="Arial" w:hAnsi="Arial"/>
                <w:sz w:val="14"/>
                <w:szCs w:val="14"/>
                <w:b w:val="1"/>
                <w:bCs w:val="1"/>
                <w:color w:val="auto"/>
                <w:w w:val="90"/>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long-lived assets (property, plant and equipment and finite-lived intangibles) by geographic area: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82"/>
        </w:trPr>
        <w:tc>
          <w:tcPr>
            <w:tcW w:w="80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04"/>
        </w:trPr>
        <w:tc>
          <w:tcPr>
            <w:tcW w:w="80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Long-lived assets: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3"/>
        </w:trPr>
        <w:tc>
          <w:tcPr>
            <w:tcW w:w="806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920" w:type="dxa"/>
            <w:vAlign w:val="bottom"/>
          </w:tcPr>
          <w:p>
            <w:pPr>
              <w:jc w:val="right"/>
              <w:ind w:right="73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868.8</w:t>
            </w:r>
          </w:p>
        </w:tc>
        <w:tc>
          <w:tcPr>
            <w:tcW w:w="12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773.5</w:t>
            </w:r>
          </w:p>
        </w:tc>
      </w:tr>
      <w:tr>
        <w:trPr>
          <w:trHeight w:val="223"/>
        </w:trPr>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17"/>
        </w:trPr>
        <w:tc>
          <w:tcPr>
            <w:tcW w:w="8060" w:type="dxa"/>
            <w:vAlign w:val="bottom"/>
          </w:tcPr>
          <w:p>
            <w:pPr>
              <w:spacing w:after="0"/>
              <w:rPr>
                <w:sz w:val="18"/>
                <w:szCs w:val="18"/>
                <w:color w:val="auto"/>
              </w:rPr>
            </w:pPr>
          </w:p>
        </w:tc>
        <w:tc>
          <w:tcPr>
            <w:tcW w:w="92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1,007.9</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915.3</w:t>
            </w:r>
          </w:p>
        </w:tc>
      </w:tr>
      <w:tr>
        <w:trPr>
          <w:trHeight w:val="20"/>
        </w:trPr>
        <w:tc>
          <w:tcPr>
            <w:tcW w:w="8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60" w:right="359" w:bottom="1440" w:gutter="0" w:footer="0" w:header="0"/>
        </w:sectPr>
      </w:pPr>
    </w:p>
    <w:bookmarkStart w:id="108" w:name="page109"/>
    <w:bookmarkEnd w:id="108"/>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September 30, 2021</w:t>
      </w:r>
    </w:p>
    <w:p>
      <w:pPr>
        <w:sectPr>
          <w:pgSz w:w="11900" w:h="16838" w:orient="portrait"/>
          <w:cols w:equalWidth="0" w:num="1">
            <w:col w:w="11200"/>
          </w:cols>
          <w:pgMar w:left="320" w:top="127" w:right="379" w:bottom="1440" w:gutter="0" w:footer="0" w:header="0"/>
        </w:sectPr>
      </w:pPr>
    </w:p>
    <w:p>
      <w:pPr>
        <w:spacing w:after="0" w:line="4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20320</wp:posOffset>
            </wp:positionV>
            <wp:extent cx="359727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20320</wp:posOffset>
            </wp:positionV>
            <wp:extent cx="35972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10" w:lineRule="exact"/>
        <w:rPr>
          <w:sz w:val="20"/>
          <w:szCs w:val="20"/>
          <w:color w:val="auto"/>
        </w:rPr>
      </w:pPr>
    </w:p>
    <w:p>
      <w:pPr>
        <w:ind w:left="60"/>
        <w:spacing w:after="0" w:line="22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Allowance for doubtful accounts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B</w:t>
            </w:r>
          </w:p>
        </w:tc>
        <w:tc>
          <w:tcPr>
            <w:tcW w:w="1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Column C</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Column D</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Column E</w:t>
            </w:r>
          </w:p>
        </w:tc>
        <w:tc>
          <w:tcPr>
            <w:tcW w:w="16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Column F</w:t>
            </w:r>
          </w:p>
        </w:tc>
        <w:tc>
          <w:tcPr>
            <w:tcW w:w="0" w:type="dxa"/>
            <w:vAlign w:val="bottom"/>
          </w:tcPr>
          <w:p>
            <w:pPr>
              <w:spacing w:after="0"/>
              <w:rPr>
                <w:sz w:val="1"/>
                <w:szCs w:val="1"/>
                <w:color w:val="auto"/>
              </w:rPr>
            </w:pPr>
          </w:p>
        </w:tc>
      </w:tr>
      <w:tr>
        <w:trPr>
          <w:trHeight w:val="130"/>
        </w:trPr>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5"/>
              <w:spacing w:after="0" w:line="130"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6"/>
              <w:spacing w:after="0" w:line="130"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5"/>
              <w:spacing w:after="0" w:line="130"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9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6"/>
              </w:rPr>
              <w:t>at</w:t>
            </w:r>
          </w:p>
        </w:tc>
        <w:tc>
          <w:tcPr>
            <w:tcW w:w="160" w:type="dxa"/>
            <w:vAlign w:val="bottom"/>
          </w:tcPr>
          <w:p>
            <w:pPr>
              <w:spacing w:after="0"/>
              <w:rPr>
                <w:sz w:val="11"/>
                <w:szCs w:val="11"/>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3"/>
              </w:rPr>
              <w:t>Reserves</w:t>
            </w: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Credited</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840" w:type="dxa"/>
            <w:vAlign w:val="bottom"/>
          </w:tcPr>
          <w:p>
            <w:pPr>
              <w:jc w:val="center"/>
              <w:ind w:right="84"/>
              <w:spacing w:after="0" w:line="131"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of Period</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Acquired</w:t>
            </w: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6"/>
              </w:rPr>
              <w:t>Expense</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Write-Offs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6"/>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-533400</wp:posOffset>
            </wp:positionV>
            <wp:extent cx="7085965" cy="250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85965" cy="25019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-140970</wp:posOffset>
            </wp:positionV>
            <wp:extent cx="7085965" cy="141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8596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380"/>
          </w:cols>
          <w:pgMar w:left="320" w:top="127" w:right="379" w:bottom="1440" w:gutter="0" w:footer="0" w:header="0"/>
          <w:type w:val="continuous"/>
        </w:sect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September 30, 2020</w:t>
      </w:r>
    </w:p>
    <w:p>
      <w:pPr>
        <w:sectPr>
          <w:pgSz w:w="11900" w:h="16838" w:orient="portrait"/>
          <w:cols w:equalWidth="0" w:num="1">
            <w:col w:w="11200"/>
          </w:cols>
          <w:pgMar w:left="320" w:top="127" w:right="379" w:bottom="1440" w:gutter="0" w:footer="0" w:header="0"/>
          <w:type w:val="continuous"/>
        </w:sectPr>
      </w:pPr>
    </w:p>
    <w:p>
      <w:pPr>
        <w:spacing w:after="0" w:line="4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20320</wp:posOffset>
            </wp:positionV>
            <wp:extent cx="35972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20320</wp:posOffset>
            </wp:positionV>
            <wp:extent cx="3597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10" w:lineRule="exact"/>
        <w:rPr>
          <w:sz w:val="20"/>
          <w:szCs w:val="20"/>
          <w:color w:val="auto"/>
        </w:rPr>
      </w:pPr>
    </w:p>
    <w:p>
      <w:pPr>
        <w:ind w:left="60"/>
        <w:spacing w:after="0" w:line="22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Allowance for doubtful accounts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B</w:t>
            </w:r>
          </w:p>
        </w:tc>
        <w:tc>
          <w:tcPr>
            <w:tcW w:w="1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Column C</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Column D</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Column E</w:t>
            </w:r>
          </w:p>
        </w:tc>
        <w:tc>
          <w:tcPr>
            <w:tcW w:w="16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Column F</w:t>
            </w:r>
          </w:p>
        </w:tc>
        <w:tc>
          <w:tcPr>
            <w:tcW w:w="0" w:type="dxa"/>
            <w:vAlign w:val="bottom"/>
          </w:tcPr>
          <w:p>
            <w:pPr>
              <w:spacing w:after="0"/>
              <w:rPr>
                <w:sz w:val="1"/>
                <w:szCs w:val="1"/>
                <w:color w:val="auto"/>
              </w:rPr>
            </w:pPr>
          </w:p>
        </w:tc>
      </w:tr>
      <w:tr>
        <w:trPr>
          <w:trHeight w:val="130"/>
        </w:trPr>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5"/>
              <w:spacing w:after="0" w:line="130"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6"/>
              <w:spacing w:after="0" w:line="130"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5"/>
              <w:spacing w:after="0" w:line="130"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9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6"/>
              </w:rPr>
              <w:t>at</w:t>
            </w:r>
          </w:p>
        </w:tc>
        <w:tc>
          <w:tcPr>
            <w:tcW w:w="160" w:type="dxa"/>
            <w:vAlign w:val="bottom"/>
          </w:tcPr>
          <w:p>
            <w:pPr>
              <w:spacing w:after="0"/>
              <w:rPr>
                <w:sz w:val="11"/>
                <w:szCs w:val="11"/>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3"/>
              </w:rPr>
              <w:t>Reserves</w:t>
            </w: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Credited</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840" w:type="dxa"/>
            <w:vAlign w:val="bottom"/>
          </w:tcPr>
          <w:p>
            <w:pPr>
              <w:jc w:val="center"/>
              <w:ind w:right="84"/>
              <w:spacing w:after="0" w:line="131"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of Period</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Acquired</w:t>
            </w: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6"/>
              </w:rPr>
              <w:t>Expense</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Write-Offs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6"/>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-533400</wp:posOffset>
            </wp:positionV>
            <wp:extent cx="7085965" cy="250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85965" cy="25019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-140970</wp:posOffset>
            </wp:positionV>
            <wp:extent cx="7085965" cy="141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8596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380"/>
          </w:cols>
          <w:pgMar w:left="320" w:top="127" w:right="379" w:bottom="1440" w:gutter="0" w:footer="0" w:header="0"/>
          <w:type w:val="continuous"/>
        </w:sect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Schedule II—Valuation and Qualifying Accounts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the fiscal year ended September 30, 2019</w:t>
      </w:r>
    </w:p>
    <w:p>
      <w:pPr>
        <w:sectPr>
          <w:pgSz w:w="11900" w:h="16838" w:orient="portrait"/>
          <w:cols w:equalWidth="0" w:num="1">
            <w:col w:w="11200"/>
          </w:cols>
          <w:pgMar w:left="320" w:top="127" w:right="379" w:bottom="1440" w:gutter="0" w:footer="0" w:header="0"/>
          <w:type w:val="continuous"/>
        </w:sectPr>
      </w:pPr>
    </w:p>
    <w:p>
      <w:pPr>
        <w:spacing w:after="0" w:line="4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20320</wp:posOffset>
            </wp:positionV>
            <wp:extent cx="35972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20320</wp:posOffset>
            </wp:positionV>
            <wp:extent cx="35972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97275" cy="8255"/>
                    </a:xfrm>
                    <a:prstGeom prst="rect">
                      <a:avLst/>
                    </a:prstGeom>
                    <a:noFill/>
                  </pic:spPr>
                </pic:pic>
              </a:graphicData>
            </a:graphic>
          </wp:anchor>
        </w:drawing>
      </w:r>
    </w:p>
    <w:p>
      <w:pPr>
        <w:spacing w:after="0" w:line="210" w:lineRule="exact"/>
        <w:rPr>
          <w:sz w:val="20"/>
          <w:szCs w:val="20"/>
          <w:color w:val="auto"/>
        </w:rPr>
      </w:pPr>
    </w:p>
    <w:p>
      <w:pPr>
        <w:ind w:left="60"/>
        <w:spacing w:after="0" w:line="227" w:lineRule="auto"/>
        <w:rPr>
          <w:sz w:val="20"/>
          <w:szCs w:val="20"/>
          <w:color w:val="auto"/>
        </w:rPr>
      </w:pPr>
      <w:r>
        <w:rPr>
          <w:rFonts w:ascii="Arial" w:cs="Arial" w:eastAsia="Arial" w:hAnsi="Arial"/>
          <w:sz w:val="18"/>
          <w:szCs w:val="18"/>
          <w:color w:val="auto"/>
        </w:rPr>
        <w:t>Valuation and qualifying accounts deducted from the assets to which they apply: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Allowance for doubtful accounts</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Column B</w:t>
            </w:r>
          </w:p>
        </w:tc>
        <w:tc>
          <w:tcPr>
            <w:tcW w:w="16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Column C</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Column D</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Column E</w:t>
            </w:r>
          </w:p>
        </w:tc>
        <w:tc>
          <w:tcPr>
            <w:tcW w:w="160" w:type="dxa"/>
            <w:vAlign w:val="bottom"/>
          </w:tcPr>
          <w:p>
            <w:pPr>
              <w:spacing w:after="0"/>
              <w:rPr>
                <w:sz w:val="16"/>
                <w:szCs w:val="16"/>
                <w:color w:val="auto"/>
              </w:rPr>
            </w:pPr>
          </w:p>
        </w:tc>
        <w:tc>
          <w:tcPr>
            <w:tcW w:w="840" w:type="dxa"/>
            <w:vAlign w:val="bottom"/>
          </w:tcPr>
          <w:p>
            <w:pPr>
              <w:jc w:val="center"/>
              <w:ind w:right="84"/>
              <w:spacing w:after="0"/>
              <w:rPr>
                <w:sz w:val="20"/>
                <w:szCs w:val="20"/>
                <w:color w:val="auto"/>
              </w:rPr>
            </w:pPr>
            <w:r>
              <w:rPr>
                <w:rFonts w:ascii="Arial" w:cs="Arial" w:eastAsia="Arial" w:hAnsi="Arial"/>
                <w:sz w:val="14"/>
                <w:szCs w:val="14"/>
                <w:b w:val="1"/>
                <w:bCs w:val="1"/>
                <w:color w:val="auto"/>
                <w:w w:val="92"/>
              </w:rPr>
              <w:t>Column F</w:t>
            </w:r>
          </w:p>
        </w:tc>
        <w:tc>
          <w:tcPr>
            <w:tcW w:w="0" w:type="dxa"/>
            <w:vAlign w:val="bottom"/>
          </w:tcPr>
          <w:p>
            <w:pPr>
              <w:spacing w:after="0"/>
              <w:rPr>
                <w:sz w:val="1"/>
                <w:szCs w:val="1"/>
                <w:color w:val="auto"/>
              </w:rPr>
            </w:pPr>
          </w:p>
        </w:tc>
      </w:tr>
      <w:tr>
        <w:trPr>
          <w:trHeight w:val="130"/>
        </w:trPr>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65"/>
              <w:spacing w:after="0" w:line="130"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ind w:right="26"/>
              <w:spacing w:after="0" w:line="130" w:lineRule="exact"/>
              <w:rPr>
                <w:sz w:val="20"/>
                <w:szCs w:val="20"/>
                <w:color w:val="auto"/>
              </w:rPr>
            </w:pPr>
            <w:r>
              <w:rPr>
                <w:rFonts w:ascii="Arial" w:cs="Arial" w:eastAsia="Arial" w:hAnsi="Arial"/>
                <w:sz w:val="14"/>
                <w:szCs w:val="14"/>
                <w:b w:val="1"/>
                <w:bCs w:val="1"/>
                <w:color w:val="auto"/>
                <w:w w:val="89"/>
              </w:rPr>
              <w:t>Additions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5"/>
              <w:spacing w:after="0" w:line="130" w:lineRule="exact"/>
              <w:rPr>
                <w:sz w:val="20"/>
                <w:szCs w:val="20"/>
                <w:color w:val="auto"/>
              </w:rPr>
            </w:pPr>
            <w:r>
              <w:rPr>
                <w:rFonts w:ascii="Arial" w:cs="Arial" w:eastAsia="Arial" w:hAnsi="Arial"/>
                <w:sz w:val="14"/>
                <w:szCs w:val="14"/>
                <w:b w:val="1"/>
                <w:bCs w:val="1"/>
                <w:color w:val="auto"/>
                <w:w w:val="89"/>
              </w:rPr>
              <w:t>Deductions</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94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6"/>
              </w:rPr>
              <w:t>at</w:t>
            </w:r>
          </w:p>
        </w:tc>
        <w:tc>
          <w:tcPr>
            <w:tcW w:w="160" w:type="dxa"/>
            <w:vAlign w:val="bottom"/>
          </w:tcPr>
          <w:p>
            <w:pPr>
              <w:spacing w:after="0"/>
              <w:rPr>
                <w:sz w:val="11"/>
                <w:szCs w:val="11"/>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3"/>
              </w:rPr>
              <w:t>Reserves</w:t>
            </w: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1"/>
              </w:rPr>
              <w:t>Charged</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Credited</w:t>
            </w:r>
          </w:p>
        </w:tc>
        <w:tc>
          <w:tcPr>
            <w:tcW w:w="1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98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90"/>
              </w:rPr>
              <w:t>to</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1"/>
                <w:szCs w:val="11"/>
                <w:color w:val="auto"/>
              </w:rPr>
            </w:pPr>
          </w:p>
        </w:tc>
        <w:tc>
          <w:tcPr>
            <w:tcW w:w="840" w:type="dxa"/>
            <w:vAlign w:val="bottom"/>
          </w:tcPr>
          <w:p>
            <w:pPr>
              <w:jc w:val="center"/>
              <w:ind w:right="84"/>
              <w:spacing w:after="0" w:line="131" w:lineRule="exact"/>
              <w:rPr>
                <w:sz w:val="20"/>
                <w:szCs w:val="20"/>
                <w:color w:val="auto"/>
              </w:rPr>
            </w:pPr>
            <w:r>
              <w:rPr>
                <w:rFonts w:ascii="Arial" w:cs="Arial" w:eastAsia="Arial" w:hAnsi="Arial"/>
                <w:sz w:val="14"/>
                <w:szCs w:val="14"/>
                <w:b w:val="1"/>
                <w:bCs w:val="1"/>
                <w:color w:val="auto"/>
                <w:w w:val="93"/>
              </w:rPr>
              <w:t>at End of</w:t>
            </w:r>
          </w:p>
        </w:tc>
        <w:tc>
          <w:tcPr>
            <w:tcW w:w="0" w:type="dxa"/>
            <w:vAlign w:val="bottom"/>
          </w:tcPr>
          <w:p>
            <w:pPr>
              <w:spacing w:after="0"/>
              <w:rPr>
                <w:sz w:val="1"/>
                <w:szCs w:val="1"/>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of Period</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Acquired</w:t>
            </w:r>
          </w:p>
        </w:tc>
        <w:tc>
          <w:tcPr>
            <w:tcW w:w="9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6"/>
              </w:rPr>
              <w:t>Expense</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Write-Offs</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8"/>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  $</w:t>
            </w:r>
          </w:p>
        </w:tc>
        <w:tc>
          <w:tcPr>
            <w:tcW w:w="880" w:type="dxa"/>
            <w:vAlign w:val="bottom"/>
          </w:tcPr>
          <w:p>
            <w:pPr>
              <w:jc w:val="right"/>
              <w:ind w:right="6"/>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-533400</wp:posOffset>
            </wp:positionV>
            <wp:extent cx="7085965" cy="250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85965" cy="250190"/>
                    </a:xfrm>
                    <a:prstGeom prst="rect">
                      <a:avLst/>
                    </a:prstGeom>
                    <a:noFill/>
                  </pic:spPr>
                </pic:pic>
              </a:graphicData>
            </a:graphic>
          </wp:anchor>
        </w:drawing>
        <w:drawing>
          <wp:anchor simplePos="0" relativeHeight="251657728" behindDoc="1" locked="0" layoutInCell="0" allowOverlap="1">
            <wp:simplePos x="0" y="0"/>
            <wp:positionH relativeFrom="column">
              <wp:posOffset>-3666490</wp:posOffset>
            </wp:positionH>
            <wp:positionV relativeFrom="paragraph">
              <wp:posOffset>-140970</wp:posOffset>
            </wp:positionV>
            <wp:extent cx="7085965" cy="141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8596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600"/>
            <w:col w:w="5380"/>
          </w:cols>
          <w:pgMar w:left="320" w:top="12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85725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09" w:name="page110"/>
    <w:bookmarkEnd w:id="109"/>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340" w:type="dxa"/>
            <w:vAlign w:val="bottom"/>
            <w:gridSpan w:val="22"/>
          </w:tcPr>
          <w:p>
            <w:pPr>
              <w:jc w:val="center"/>
              <w:ind w:left="1272"/>
              <w:spacing w:after="0"/>
              <w:rPr>
                <w:sz w:val="20"/>
                <w:szCs w:val="20"/>
                <w:color w:val="auto"/>
              </w:rPr>
            </w:pPr>
            <w:r>
              <w:rPr>
                <w:rFonts w:ascii="Arial" w:cs="Arial" w:eastAsia="Arial" w:hAnsi="Arial"/>
                <w:sz w:val="18"/>
                <w:szCs w:val="18"/>
                <w:b w:val="1"/>
                <w:bCs w:val="1"/>
                <w:color w:val="auto"/>
                <w:w w:val="89"/>
              </w:rPr>
              <w:t>The Scotts Miracle-Gro Company</w:t>
            </w:r>
          </w:p>
        </w:tc>
        <w:tc>
          <w:tcPr>
            <w:tcW w:w="0" w:type="dxa"/>
            <w:vAlign w:val="bottom"/>
          </w:tcPr>
          <w:p>
            <w:pPr>
              <w:spacing w:after="0"/>
              <w:rPr>
                <w:sz w:val="1"/>
                <w:szCs w:val="1"/>
                <w:color w:val="auto"/>
              </w:rPr>
            </w:pPr>
          </w:p>
        </w:tc>
      </w:tr>
      <w:tr>
        <w:trPr>
          <w:trHeight w:val="368"/>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360" w:type="dxa"/>
            <w:vAlign w:val="bottom"/>
            <w:gridSpan w:val="21"/>
          </w:tcPr>
          <w:p>
            <w:pPr>
              <w:jc w:val="center"/>
              <w:ind w:right="640"/>
              <w:spacing w:after="0"/>
              <w:rPr>
                <w:sz w:val="20"/>
                <w:szCs w:val="20"/>
                <w:color w:val="auto"/>
              </w:rPr>
            </w:pPr>
            <w:r>
              <w:rPr>
                <w:rFonts w:ascii="Arial" w:cs="Arial" w:eastAsia="Arial" w:hAnsi="Arial"/>
                <w:sz w:val="18"/>
                <w:szCs w:val="18"/>
                <w:b w:val="1"/>
                <w:bCs w:val="1"/>
                <w:color w:val="auto"/>
                <w:w w:val="88"/>
              </w:rPr>
              <w:t>Index to Exhibits</w:t>
            </w:r>
          </w:p>
        </w:tc>
        <w:tc>
          <w:tcPr>
            <w:tcW w:w="0" w:type="dxa"/>
            <w:vAlign w:val="bottom"/>
          </w:tcPr>
          <w:p>
            <w:pPr>
              <w:spacing w:after="0"/>
              <w:rPr>
                <w:sz w:val="1"/>
                <w:szCs w:val="1"/>
                <w:color w:val="auto"/>
              </w:rPr>
            </w:pPr>
          </w:p>
        </w:tc>
      </w:tr>
      <w:tr>
        <w:trPr>
          <w:trHeight w:val="421"/>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40" w:type="dxa"/>
            <w:vAlign w:val="bottom"/>
            <w:gridSpan w:val="22"/>
            <w:vMerge w:val="restart"/>
          </w:tcPr>
          <w:p>
            <w:pPr>
              <w:ind w:left="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2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3.1(a)</w:t>
            </w:r>
          </w:p>
        </w:tc>
        <w:tc>
          <w:tcPr>
            <w:tcW w:w="20" w:type="dxa"/>
            <w:vAlign w:val="bottom"/>
          </w:tcPr>
          <w:p>
            <w:pPr>
              <w:spacing w:after="0"/>
              <w:rPr>
                <w:sz w:val="15"/>
                <w:szCs w:val="15"/>
                <w:color w:val="auto"/>
              </w:rPr>
            </w:pPr>
          </w:p>
        </w:tc>
        <w:tc>
          <w:tcPr>
            <w:tcW w:w="5920" w:type="dxa"/>
            <w:vAlign w:val="bottom"/>
            <w:gridSpan w:val="26"/>
          </w:tcPr>
          <w:p>
            <w:pPr>
              <w:spacing w:after="0" w:line="177" w:lineRule="exact"/>
              <w:rPr>
                <w:rFonts w:ascii="Arial" w:cs="Arial" w:eastAsia="Arial" w:hAnsi="Arial"/>
                <w:sz w:val="18"/>
                <w:szCs w:val="18"/>
                <w:color w:val="0000FF"/>
                <w:w w:val="94"/>
              </w:rPr>
            </w:pPr>
            <w:hyperlink r:id="rId146">
              <w:r>
                <w:rPr>
                  <w:rFonts w:ascii="Arial" w:cs="Arial" w:eastAsia="Arial" w:hAnsi="Arial"/>
                  <w:sz w:val="18"/>
                  <w:szCs w:val="18"/>
                  <w:color w:val="0000FF"/>
                  <w:w w:val="94"/>
                </w:rPr>
                <w:t>Initial Articles of Incorporation of The Scotts Miracle-Gro Company as filed with</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22"/>
          </w:tcPr>
          <w:p>
            <w:pPr>
              <w:spacing w:after="0" w:line="151" w:lineRule="exact"/>
              <w:rPr>
                <w:rFonts w:ascii="Arial" w:cs="Arial" w:eastAsia="Arial" w:hAnsi="Arial"/>
                <w:sz w:val="16"/>
                <w:szCs w:val="16"/>
                <w:color w:val="0000FF"/>
              </w:rPr>
            </w:pPr>
            <w:hyperlink r:id="rId146">
              <w:r>
                <w:rPr>
                  <w:rFonts w:ascii="Arial" w:cs="Arial" w:eastAsia="Arial" w:hAnsi="Arial"/>
                  <w:sz w:val="16"/>
                  <w:szCs w:val="16"/>
                  <w:color w:val="0000FF"/>
                </w:rPr>
                <w:t>the Ohio Secretary of State on November 22, 2004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3.1(b)</w:t>
            </w:r>
          </w:p>
        </w:tc>
        <w:tc>
          <w:tcPr>
            <w:tcW w:w="20" w:type="dxa"/>
            <w:vAlign w:val="bottom"/>
          </w:tcPr>
          <w:p>
            <w:pPr>
              <w:spacing w:after="0"/>
              <w:rPr>
                <w:sz w:val="17"/>
                <w:szCs w:val="17"/>
                <w:color w:val="auto"/>
              </w:rPr>
            </w:pPr>
          </w:p>
        </w:tc>
        <w:tc>
          <w:tcPr>
            <w:tcW w:w="5500" w:type="dxa"/>
            <w:vAlign w:val="bottom"/>
            <w:tcBorders>
              <w:bottom w:val="single" w:sz="8" w:color="0000FF"/>
            </w:tcBorders>
            <w:gridSpan w:val="13"/>
          </w:tcPr>
          <w:p>
            <w:pPr>
              <w:spacing w:after="0" w:line="203" w:lineRule="exact"/>
              <w:rPr>
                <w:rFonts w:ascii="Arial" w:cs="Arial" w:eastAsia="Arial" w:hAnsi="Arial"/>
                <w:sz w:val="18"/>
                <w:szCs w:val="18"/>
                <w:color w:val="0000FF"/>
                <w:w w:val="89"/>
              </w:rPr>
            </w:pPr>
            <w:hyperlink r:id="rId147">
              <w:r>
                <w:rPr>
                  <w:rFonts w:ascii="Arial" w:cs="Arial" w:eastAsia="Arial" w:hAnsi="Arial"/>
                  <w:sz w:val="18"/>
                  <w:szCs w:val="18"/>
                  <w:color w:val="0000FF"/>
                  <w:w w:val="89"/>
                </w:rPr>
                <w:t>Certificate of Amendment by Shareholders to Articles of Incorporation of The</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47">
              <w:r>
                <w:rPr>
                  <w:rFonts w:ascii="Arial" w:cs="Arial" w:eastAsia="Arial" w:hAnsi="Arial"/>
                  <w:sz w:val="16"/>
                  <w:szCs w:val="16"/>
                  <w:color w:val="0000FF"/>
                </w:rPr>
                <w:t>Scotts Miracle-Gro Company as filed with the Ohio Secretary of State on March</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96"/>
              </w:rPr>
            </w:pPr>
            <w:hyperlink r:id="rId147">
              <w:r>
                <w:rPr>
                  <w:rFonts w:ascii="Arial" w:cs="Arial" w:eastAsia="Arial" w:hAnsi="Arial"/>
                  <w:sz w:val="16"/>
                  <w:szCs w:val="16"/>
                  <w:color w:val="0000FF"/>
                  <w:w w:val="96"/>
                </w:rPr>
                <w:t>18, 2005</w:t>
              </w:r>
            </w:hyperlink>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0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rPr>
            </w:pPr>
            <w:hyperlink r:id="rId148">
              <w:r>
                <w:rPr>
                  <w:rFonts w:ascii="Arial" w:cs="Arial" w:eastAsia="Arial" w:hAnsi="Arial"/>
                  <w:sz w:val="18"/>
                  <w:szCs w:val="18"/>
                  <w:color w:val="0000FF"/>
                </w:rPr>
                <w:t>Code of Regulations of The Scotts Miracle-Gro Company</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4.1(a)</w:t>
            </w:r>
          </w:p>
        </w:tc>
        <w:tc>
          <w:tcPr>
            <w:tcW w:w="20" w:type="dxa"/>
            <w:vAlign w:val="bottom"/>
          </w:tcPr>
          <w:p>
            <w:pPr>
              <w:spacing w:after="0"/>
              <w:rPr>
                <w:sz w:val="24"/>
                <w:szCs w:val="24"/>
                <w:color w:val="auto"/>
              </w:rPr>
            </w:pPr>
          </w:p>
        </w:tc>
        <w:tc>
          <w:tcPr>
            <w:tcW w:w="5920" w:type="dxa"/>
            <w:vAlign w:val="bottom"/>
            <w:gridSpan w:val="26"/>
          </w:tcPr>
          <w:p>
            <w:pPr>
              <w:spacing w:after="0"/>
              <w:rPr>
                <w:rFonts w:ascii="Arial" w:cs="Arial" w:eastAsia="Arial" w:hAnsi="Arial"/>
                <w:sz w:val="18"/>
                <w:szCs w:val="18"/>
                <w:color w:val="0000FF"/>
                <w:w w:val="90"/>
              </w:rPr>
            </w:pPr>
            <w:hyperlink r:id="rId149">
              <w:r>
                <w:rPr>
                  <w:rFonts w:ascii="Arial" w:cs="Arial" w:eastAsia="Arial" w:hAnsi="Arial"/>
                  <w:sz w:val="18"/>
                  <w:szCs w:val="18"/>
                  <w:color w:val="0000FF"/>
                  <w:w w:val="90"/>
                </w:rPr>
                <w:t>Indenture, dated as of December 15, 2016, by and among The Scotts Miracle-Gro</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bottom w:val="single" w:sz="8" w:color="0000FF"/>
            </w:tcBorders>
            <w:gridSpan w:val="20"/>
          </w:tcPr>
          <w:p>
            <w:pPr>
              <w:spacing w:after="0" w:line="151" w:lineRule="exact"/>
              <w:rPr>
                <w:rFonts w:ascii="Arial" w:cs="Arial" w:eastAsia="Arial" w:hAnsi="Arial"/>
                <w:sz w:val="16"/>
                <w:szCs w:val="16"/>
                <w:color w:val="0000FF"/>
                <w:w w:val="97"/>
              </w:rPr>
            </w:pPr>
            <w:hyperlink r:id="rId149">
              <w:r>
                <w:rPr>
                  <w:rFonts w:ascii="Arial" w:cs="Arial" w:eastAsia="Arial" w:hAnsi="Arial"/>
                  <w:sz w:val="16"/>
                  <w:szCs w:val="16"/>
                  <w:color w:val="0000FF"/>
                  <w:w w:val="97"/>
                </w:rPr>
                <w:t>Company, the Guarantors (as defined therein) and U.S. Bank National Association,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bottom w:val="single" w:sz="8" w:color="0000FF"/>
            </w:tcBorders>
            <w:gridSpan w:val="3"/>
          </w:tcPr>
          <w:p>
            <w:pPr>
              <w:spacing w:after="0" w:line="151" w:lineRule="exact"/>
              <w:rPr>
                <w:rFonts w:ascii="Arial" w:cs="Arial" w:eastAsia="Arial" w:hAnsi="Arial"/>
                <w:sz w:val="16"/>
                <w:szCs w:val="16"/>
                <w:color w:val="0000FF"/>
                <w:w w:val="93"/>
              </w:rPr>
            </w:pPr>
            <w:hyperlink r:id="rId149">
              <w:r>
                <w:rPr>
                  <w:rFonts w:ascii="Arial" w:cs="Arial" w:eastAsia="Arial" w:hAnsi="Arial"/>
                  <w:sz w:val="16"/>
                  <w:szCs w:val="16"/>
                  <w:color w:val="0000FF"/>
                  <w:w w:val="93"/>
                </w:rPr>
                <w:t>as trustee</w:t>
              </w:r>
            </w:hyperlink>
          </w:p>
        </w:tc>
        <w:tc>
          <w:tcPr>
            <w:tcW w:w="516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4.1(b)</w:t>
            </w: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w w:val="96"/>
              </w:rPr>
            </w:pPr>
            <w:hyperlink r:id="rId150">
              <w:r>
                <w:rPr>
                  <w:rFonts w:ascii="Arial" w:cs="Arial" w:eastAsia="Arial" w:hAnsi="Arial"/>
                  <w:sz w:val="18"/>
                  <w:szCs w:val="18"/>
                  <w:color w:val="0000FF"/>
                  <w:w w:val="96"/>
                </w:rPr>
                <w:t>First Supplemental Indenture, dated July 17, 2018,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0"/>
          </w:tcPr>
          <w:p>
            <w:pPr>
              <w:spacing w:after="0" w:line="151" w:lineRule="exact"/>
              <w:rPr>
                <w:rFonts w:ascii="Arial" w:cs="Arial" w:eastAsia="Arial" w:hAnsi="Arial"/>
                <w:sz w:val="16"/>
                <w:szCs w:val="16"/>
                <w:color w:val="0000FF"/>
              </w:rPr>
            </w:pPr>
            <w:hyperlink r:id="rId150">
              <w:r>
                <w:rPr>
                  <w:rFonts w:ascii="Arial" w:cs="Arial" w:eastAsia="Arial" w:hAnsi="Arial"/>
                  <w:sz w:val="16"/>
                  <w:szCs w:val="16"/>
                  <w:color w:val="0000FF"/>
                </w:rPr>
                <w:t>Miracle-Gro Company, the Guarantors (as defined therein) and U.S. Bank</w:t>
              </w:r>
            </w:hyperlink>
          </w:p>
        </w:tc>
        <w:tc>
          <w:tcPr>
            <w:tcW w:w="540" w:type="dxa"/>
            <w:vAlign w:val="bottom"/>
            <w:gridSpan w:val="16"/>
          </w:tcPr>
          <w:p>
            <w:pPr>
              <w:spacing w:after="0" w:line="151" w:lineRule="exact"/>
              <w:rPr>
                <w:rFonts w:ascii="Arial" w:cs="Arial" w:eastAsia="Arial" w:hAnsi="Arial"/>
                <w:sz w:val="16"/>
                <w:szCs w:val="16"/>
                <w:color w:val="0000FF"/>
                <w:w w:val="88"/>
              </w:rPr>
            </w:pPr>
            <w:hyperlink r:id="rId150">
              <w:r>
                <w:rPr>
                  <w:rFonts w:ascii="Arial" w:cs="Arial" w:eastAsia="Arial" w:hAnsi="Arial"/>
                  <w:sz w:val="16"/>
                  <w:szCs w:val="16"/>
                  <w:color w:val="0000FF"/>
                  <w:w w:val="88"/>
                </w:rPr>
                <w:t>National</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0">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4.1(c)</w:t>
            </w: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w w:val="89"/>
              </w:rPr>
            </w:pPr>
            <w:hyperlink r:id="rId151">
              <w:r>
                <w:rPr>
                  <w:rFonts w:ascii="Arial" w:cs="Arial" w:eastAsia="Arial" w:hAnsi="Arial"/>
                  <w:sz w:val="18"/>
                  <w:szCs w:val="18"/>
                  <w:color w:val="0000FF"/>
                  <w:w w:val="89"/>
                </w:rPr>
                <w:t>Second Supplemental Indenture, dated March 24, 2020,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1"/>
          </w:tcPr>
          <w:p>
            <w:pPr>
              <w:spacing w:after="0" w:line="151" w:lineRule="exact"/>
              <w:rPr>
                <w:rFonts w:ascii="Arial" w:cs="Arial" w:eastAsia="Arial" w:hAnsi="Arial"/>
                <w:sz w:val="16"/>
                <w:szCs w:val="16"/>
                <w:color w:val="0000FF"/>
                <w:w w:val="98"/>
              </w:rPr>
            </w:pPr>
            <w:hyperlink r:id="rId151">
              <w:r>
                <w:rPr>
                  <w:rFonts w:ascii="Arial" w:cs="Arial" w:eastAsia="Arial" w:hAnsi="Arial"/>
                  <w:sz w:val="16"/>
                  <w:szCs w:val="16"/>
                  <w:color w:val="0000FF"/>
                  <w:w w:val="98"/>
                </w:rPr>
                <w:t>Miracle-Gro Company, the Guarantors (as defined therein) and U.S. Bank National</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1">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4.1(d)</w:t>
            </w:r>
          </w:p>
        </w:tc>
        <w:tc>
          <w:tcPr>
            <w:tcW w:w="20" w:type="dxa"/>
            <w:vAlign w:val="bottom"/>
          </w:tcPr>
          <w:p>
            <w:pPr>
              <w:spacing w:after="0"/>
              <w:rPr>
                <w:sz w:val="17"/>
                <w:szCs w:val="17"/>
                <w:color w:val="auto"/>
              </w:rPr>
            </w:pPr>
          </w:p>
        </w:tc>
        <w:tc>
          <w:tcPr>
            <w:tcW w:w="5620" w:type="dxa"/>
            <w:vAlign w:val="bottom"/>
            <w:tcBorders>
              <w:bottom w:val="single" w:sz="8" w:color="0000FF"/>
            </w:tcBorders>
            <w:gridSpan w:val="18"/>
          </w:tcPr>
          <w:p>
            <w:pPr>
              <w:spacing w:after="0" w:line="203" w:lineRule="exact"/>
              <w:rPr>
                <w:rFonts w:ascii="Arial" w:cs="Arial" w:eastAsia="Arial" w:hAnsi="Arial"/>
                <w:sz w:val="18"/>
                <w:szCs w:val="18"/>
                <w:color w:val="0000FF"/>
                <w:w w:val="87"/>
              </w:rPr>
            </w:pPr>
            <w:hyperlink r:id="rId152">
              <w:r>
                <w:rPr>
                  <w:rFonts w:ascii="Arial" w:cs="Arial" w:eastAsia="Arial" w:hAnsi="Arial"/>
                  <w:sz w:val="18"/>
                  <w:szCs w:val="18"/>
                  <w:color w:val="0000FF"/>
                  <w:w w:val="87"/>
                </w:rPr>
                <w:t>Third Supplemental Indenture, dated March 29, 2021, by and among The Scotts</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52">
              <w:r>
                <w:rPr>
                  <w:rFonts w:ascii="Arial" w:cs="Arial" w:eastAsia="Arial" w:hAnsi="Arial"/>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2">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4.1(e)</w:t>
            </w:r>
          </w:p>
        </w:tc>
        <w:tc>
          <w:tcPr>
            <w:tcW w:w="20" w:type="dxa"/>
            <w:vAlign w:val="bottom"/>
          </w:tcPr>
          <w:p>
            <w:pPr>
              <w:spacing w:after="0"/>
              <w:rPr>
                <w:sz w:val="17"/>
                <w:szCs w:val="17"/>
                <w:color w:val="auto"/>
              </w:rPr>
            </w:pPr>
          </w:p>
        </w:tc>
        <w:tc>
          <w:tcPr>
            <w:tcW w:w="5560" w:type="dxa"/>
            <w:vAlign w:val="bottom"/>
            <w:tcBorders>
              <w:bottom w:val="single" w:sz="8" w:color="0000FF"/>
            </w:tcBorders>
            <w:gridSpan w:val="15"/>
          </w:tcPr>
          <w:p>
            <w:pPr>
              <w:spacing w:after="0" w:line="203" w:lineRule="exact"/>
              <w:rPr>
                <w:rFonts w:ascii="Arial" w:cs="Arial" w:eastAsia="Arial" w:hAnsi="Arial"/>
                <w:sz w:val="18"/>
                <w:szCs w:val="18"/>
                <w:color w:val="0000FF"/>
                <w:w w:val="86"/>
              </w:rPr>
            </w:pPr>
            <w:hyperlink r:id="rId153">
              <w:r>
                <w:rPr>
                  <w:rFonts w:ascii="Arial" w:cs="Arial" w:eastAsia="Arial" w:hAnsi="Arial"/>
                  <w:sz w:val="18"/>
                  <w:szCs w:val="18"/>
                  <w:color w:val="0000FF"/>
                  <w:w w:val="86"/>
                </w:rPr>
                <w:t>Fourth Supplemental Indenture, dated June 24, 2021, by and among The Scotts</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53">
              <w:r>
                <w:rPr>
                  <w:rFonts w:ascii="Arial" w:cs="Arial" w:eastAsia="Arial" w:hAnsi="Arial"/>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3">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4.1(f)</w:t>
            </w:r>
          </w:p>
        </w:tc>
        <w:tc>
          <w:tcPr>
            <w:tcW w:w="20" w:type="dxa"/>
            <w:vAlign w:val="bottom"/>
          </w:tcPr>
          <w:p>
            <w:pPr>
              <w:spacing w:after="0"/>
              <w:rPr>
                <w:sz w:val="17"/>
                <w:szCs w:val="17"/>
                <w:color w:val="auto"/>
              </w:rPr>
            </w:pPr>
          </w:p>
        </w:tc>
        <w:tc>
          <w:tcPr>
            <w:tcW w:w="4580" w:type="dxa"/>
            <w:vAlign w:val="bottom"/>
            <w:tcBorders>
              <w:bottom w:val="single" w:sz="8" w:color="0000FF"/>
            </w:tcBorders>
            <w:gridSpan w:val="8"/>
          </w:tcPr>
          <w:p>
            <w:pPr>
              <w:spacing w:after="0" w:line="203" w:lineRule="exact"/>
              <w:rPr>
                <w:rFonts w:ascii="Arial" w:cs="Arial" w:eastAsia="Arial" w:hAnsi="Arial"/>
                <w:sz w:val="18"/>
                <w:szCs w:val="18"/>
                <w:color w:val="0000FF"/>
                <w:w w:val="89"/>
              </w:rPr>
            </w:pPr>
            <w:hyperlink r:id="rId149">
              <w:r>
                <w:rPr>
                  <w:rFonts w:ascii="Arial" w:cs="Arial" w:eastAsia="Arial" w:hAnsi="Arial"/>
                  <w:sz w:val="18"/>
                  <w:szCs w:val="18"/>
                  <w:color w:val="0000FF"/>
                  <w:w w:val="89"/>
                </w:rPr>
                <w:t>Form of 5.250% Senior Notes due 2026 (included in Exhibit 4.1)</w:t>
              </w:r>
            </w:hyperlink>
          </w:p>
        </w:tc>
        <w:tc>
          <w:tcPr>
            <w:tcW w:w="1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4.2(a)</w:t>
            </w:r>
          </w:p>
        </w:tc>
        <w:tc>
          <w:tcPr>
            <w:tcW w:w="20" w:type="dxa"/>
            <w:vAlign w:val="bottom"/>
          </w:tcPr>
          <w:p>
            <w:pPr>
              <w:spacing w:after="0"/>
              <w:rPr>
                <w:sz w:val="24"/>
                <w:szCs w:val="24"/>
                <w:color w:val="auto"/>
              </w:rPr>
            </w:pPr>
          </w:p>
        </w:tc>
        <w:tc>
          <w:tcPr>
            <w:tcW w:w="5580" w:type="dxa"/>
            <w:vAlign w:val="bottom"/>
            <w:tcBorders>
              <w:bottom w:val="single" w:sz="8" w:color="0000FF"/>
            </w:tcBorders>
            <w:gridSpan w:val="16"/>
          </w:tcPr>
          <w:p>
            <w:pPr>
              <w:spacing w:after="0"/>
              <w:rPr>
                <w:rFonts w:ascii="Arial" w:cs="Arial" w:eastAsia="Arial" w:hAnsi="Arial"/>
                <w:sz w:val="18"/>
                <w:szCs w:val="18"/>
                <w:color w:val="0000FF"/>
                <w:w w:val="87"/>
              </w:rPr>
            </w:pPr>
            <w:hyperlink r:id="rId154">
              <w:r>
                <w:rPr>
                  <w:rFonts w:ascii="Arial" w:cs="Arial" w:eastAsia="Arial" w:hAnsi="Arial"/>
                  <w:sz w:val="18"/>
                  <w:szCs w:val="18"/>
                  <w:color w:val="0000FF"/>
                  <w:w w:val="87"/>
                </w:rPr>
                <w:t>Indenture, dated as of October 22, 2019, by and among The Scotts Miracle-Gro</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54">
              <w:r>
                <w:rPr>
                  <w:rFonts w:ascii="Arial" w:cs="Arial" w:eastAsia="Arial" w:hAnsi="Arial"/>
                  <w:sz w:val="16"/>
                  <w:szCs w:val="16"/>
                  <w:color w:val="0000FF"/>
                </w:rPr>
                <w:t>Company, the Guarantors (as defined therein) and U.S. Bank National Association,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3"/>
              </w:rPr>
            </w:pPr>
            <w:hyperlink r:id="rId154">
              <w:r>
                <w:rPr>
                  <w:rFonts w:ascii="Arial" w:cs="Arial" w:eastAsia="Arial" w:hAnsi="Arial"/>
                  <w:sz w:val="16"/>
                  <w:szCs w:val="16"/>
                  <w:color w:val="0000FF"/>
                  <w:w w:val="93"/>
                </w:rPr>
                <w:t>as trustee</w:t>
              </w:r>
            </w:hyperlink>
          </w:p>
        </w:tc>
        <w:tc>
          <w:tcPr>
            <w:tcW w:w="5160" w:type="dxa"/>
            <w:vAlign w:val="bottom"/>
            <w:tcBorders>
              <w:top w:val="single" w:sz="8" w:color="0000FF"/>
            </w:tcBorders>
            <w:gridSpan w:val="21"/>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4.2(b)</w:t>
            </w: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w w:val="93"/>
              </w:rPr>
            </w:pPr>
            <w:hyperlink r:id="rId155">
              <w:r>
                <w:rPr>
                  <w:rFonts w:ascii="Arial" w:cs="Arial" w:eastAsia="Arial" w:hAnsi="Arial"/>
                  <w:sz w:val="18"/>
                  <w:szCs w:val="18"/>
                  <w:color w:val="0000FF"/>
                  <w:w w:val="93"/>
                </w:rPr>
                <w:t>First Supplemental Indenture, dated March 24, 2020, by and among The Scotts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55">
              <w:r>
                <w:rPr>
                  <w:rFonts w:ascii="Arial" w:cs="Arial" w:eastAsia="Arial" w:hAnsi="Arial"/>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5">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4.2(c)</w:t>
            </w: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w w:val="89"/>
              </w:rPr>
            </w:pPr>
            <w:hyperlink r:id="rId156">
              <w:r>
                <w:rPr>
                  <w:rFonts w:ascii="Arial" w:cs="Arial" w:eastAsia="Arial" w:hAnsi="Arial"/>
                  <w:sz w:val="18"/>
                  <w:szCs w:val="18"/>
                  <w:color w:val="0000FF"/>
                  <w:w w:val="89"/>
                </w:rPr>
                <w:t>Second Supplemental Indenture, dated March 29, 2021,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1"/>
          </w:tcPr>
          <w:p>
            <w:pPr>
              <w:spacing w:after="0" w:line="151" w:lineRule="exact"/>
              <w:rPr>
                <w:rFonts w:ascii="Arial" w:cs="Arial" w:eastAsia="Arial" w:hAnsi="Arial"/>
                <w:sz w:val="16"/>
                <w:szCs w:val="16"/>
                <w:color w:val="0000FF"/>
                <w:w w:val="98"/>
              </w:rPr>
            </w:pPr>
            <w:hyperlink r:id="rId156">
              <w:r>
                <w:rPr>
                  <w:rFonts w:ascii="Arial" w:cs="Arial" w:eastAsia="Arial" w:hAnsi="Arial"/>
                  <w:sz w:val="16"/>
                  <w:szCs w:val="16"/>
                  <w:color w:val="0000FF"/>
                  <w:w w:val="98"/>
                </w:rPr>
                <w:t>Miracle-Gro Company, the Guarantors (as defined therein) and U.S. Bank National</w:t>
              </w:r>
            </w:hyperlink>
          </w:p>
        </w:tc>
        <w:tc>
          <w:tcPr>
            <w:tcW w:w="40" w:type="dxa"/>
            <w:vAlign w:val="bottom"/>
            <w:gridSpan w:val="2"/>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6">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4.2(d)</w:t>
            </w:r>
          </w:p>
        </w:tc>
        <w:tc>
          <w:tcPr>
            <w:tcW w:w="20" w:type="dxa"/>
            <w:vAlign w:val="bottom"/>
          </w:tcPr>
          <w:p>
            <w:pPr>
              <w:spacing w:after="0"/>
              <w:rPr>
                <w:sz w:val="17"/>
                <w:szCs w:val="17"/>
                <w:color w:val="auto"/>
              </w:rPr>
            </w:pPr>
          </w:p>
        </w:tc>
        <w:tc>
          <w:tcPr>
            <w:tcW w:w="5480" w:type="dxa"/>
            <w:vAlign w:val="bottom"/>
            <w:tcBorders>
              <w:bottom w:val="single" w:sz="8" w:color="0000FF"/>
            </w:tcBorders>
            <w:gridSpan w:val="12"/>
          </w:tcPr>
          <w:p>
            <w:pPr>
              <w:spacing w:after="0" w:line="203" w:lineRule="exact"/>
              <w:rPr>
                <w:rFonts w:ascii="Arial" w:cs="Arial" w:eastAsia="Arial" w:hAnsi="Arial"/>
                <w:sz w:val="18"/>
                <w:szCs w:val="18"/>
                <w:color w:val="0000FF"/>
                <w:w w:val="87"/>
              </w:rPr>
            </w:pPr>
            <w:hyperlink r:id="rId157">
              <w:r>
                <w:rPr>
                  <w:rFonts w:ascii="Arial" w:cs="Arial" w:eastAsia="Arial" w:hAnsi="Arial"/>
                  <w:sz w:val="18"/>
                  <w:szCs w:val="18"/>
                  <w:color w:val="0000FF"/>
                  <w:w w:val="87"/>
                </w:rPr>
                <w:t>Third Supplemental Indenture, dated June 24, 2021, by and among The Scotts</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57">
              <w:r>
                <w:rPr>
                  <w:rFonts w:ascii="Arial" w:cs="Arial" w:eastAsia="Arial" w:hAnsi="Arial"/>
                  <w:sz w:val="16"/>
                  <w:szCs w:val="16"/>
                  <w:color w:val="0000FF"/>
                </w:rPr>
                <w:t>Miracle-Gro Company, the Guarantors (as defined therein) and U.S. Bank National</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7">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4.2(e)</w:t>
            </w: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rPr>
            </w:pPr>
            <w:hyperlink r:id="rId154">
              <w:r>
                <w:rPr>
                  <w:rFonts w:ascii="Arial" w:cs="Arial" w:eastAsia="Arial" w:hAnsi="Arial"/>
                  <w:sz w:val="18"/>
                  <w:szCs w:val="18"/>
                  <w:color w:val="0000FF"/>
                </w:rPr>
                <w:t>Form of 4.500% Senior Notes due 2029 (included in Exhibit 4.1)</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4.3(a)</w:t>
            </w:r>
          </w:p>
        </w:tc>
        <w:tc>
          <w:tcPr>
            <w:tcW w:w="20" w:type="dxa"/>
            <w:vAlign w:val="bottom"/>
          </w:tcPr>
          <w:p>
            <w:pPr>
              <w:spacing w:after="0"/>
              <w:rPr>
                <w:sz w:val="24"/>
                <w:szCs w:val="24"/>
                <w:color w:val="auto"/>
              </w:rPr>
            </w:pPr>
          </w:p>
        </w:tc>
        <w:tc>
          <w:tcPr>
            <w:tcW w:w="5920" w:type="dxa"/>
            <w:vAlign w:val="bottom"/>
            <w:gridSpan w:val="26"/>
          </w:tcPr>
          <w:p>
            <w:pPr>
              <w:spacing w:after="0"/>
              <w:rPr>
                <w:rFonts w:ascii="Arial" w:cs="Arial" w:eastAsia="Arial" w:hAnsi="Arial"/>
                <w:sz w:val="18"/>
                <w:szCs w:val="18"/>
                <w:color w:val="0000FF"/>
                <w:w w:val="95"/>
              </w:rPr>
            </w:pPr>
            <w:hyperlink r:id="rId158">
              <w:r>
                <w:rPr>
                  <w:rFonts w:ascii="Arial" w:cs="Arial" w:eastAsia="Arial" w:hAnsi="Arial"/>
                  <w:sz w:val="18"/>
                  <w:szCs w:val="18"/>
                  <w:color w:val="0000FF"/>
                  <w:w w:val="95"/>
                </w:rPr>
                <w:t>Indenture, dated as of March 17, 2021, by and among The Scotts Miracle-Gro</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58">
              <w:r>
                <w:rPr>
                  <w:rFonts w:ascii="Arial" w:cs="Arial" w:eastAsia="Arial" w:hAnsi="Arial"/>
                  <w:sz w:val="16"/>
                  <w:szCs w:val="16"/>
                  <w:color w:val="0000FF"/>
                </w:rPr>
                <w:t>Company, the Guarantors (as defined therein) and U.S. Bank National Association,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w w:val="93"/>
              </w:rPr>
            </w:pPr>
            <w:hyperlink r:id="rId158">
              <w:r>
                <w:rPr>
                  <w:rFonts w:ascii="Arial" w:cs="Arial" w:eastAsia="Arial" w:hAnsi="Arial"/>
                  <w:sz w:val="16"/>
                  <w:szCs w:val="16"/>
                  <w:color w:val="0000FF"/>
                  <w:w w:val="93"/>
                </w:rPr>
                <w:t>as trustee</w:t>
              </w:r>
            </w:hyperlink>
          </w:p>
        </w:tc>
        <w:tc>
          <w:tcPr>
            <w:tcW w:w="5160" w:type="dxa"/>
            <w:vAlign w:val="bottom"/>
            <w:tcBorders>
              <w:top w:val="single" w:sz="8" w:color="0000FF"/>
            </w:tcBorders>
            <w:gridSpan w:val="21"/>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4.3(b)</w:t>
            </w:r>
          </w:p>
        </w:tc>
        <w:tc>
          <w:tcPr>
            <w:tcW w:w="20" w:type="dxa"/>
            <w:vAlign w:val="bottom"/>
          </w:tcPr>
          <w:p>
            <w:pPr>
              <w:spacing w:after="0"/>
              <w:rPr>
                <w:sz w:val="17"/>
                <w:szCs w:val="17"/>
                <w:color w:val="auto"/>
              </w:rPr>
            </w:pPr>
          </w:p>
        </w:tc>
        <w:tc>
          <w:tcPr>
            <w:tcW w:w="5920" w:type="dxa"/>
            <w:vAlign w:val="bottom"/>
            <w:gridSpan w:val="26"/>
          </w:tcPr>
          <w:p>
            <w:pPr>
              <w:spacing w:after="0" w:line="203" w:lineRule="exact"/>
              <w:rPr>
                <w:rFonts w:ascii="Arial" w:cs="Arial" w:eastAsia="Arial" w:hAnsi="Arial"/>
                <w:sz w:val="18"/>
                <w:szCs w:val="18"/>
                <w:color w:val="0000FF"/>
                <w:w w:val="88"/>
              </w:rPr>
            </w:pPr>
            <w:hyperlink r:id="rId159">
              <w:r>
                <w:rPr>
                  <w:rFonts w:ascii="Arial" w:cs="Arial" w:eastAsia="Arial" w:hAnsi="Arial"/>
                  <w:sz w:val="18"/>
                  <w:szCs w:val="18"/>
                  <w:color w:val="0000FF"/>
                  <w:w w:val="88"/>
                </w:rPr>
                <w:t>First Supplemental Indenture, dated as of June 24, 2021, by and among The Scotts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23"/>
          </w:tcPr>
          <w:p>
            <w:pPr>
              <w:spacing w:after="0" w:line="151" w:lineRule="exact"/>
              <w:rPr>
                <w:rFonts w:ascii="Arial" w:cs="Arial" w:eastAsia="Arial" w:hAnsi="Arial"/>
                <w:sz w:val="16"/>
                <w:szCs w:val="16"/>
                <w:color w:val="0000FF"/>
                <w:w w:val="98"/>
              </w:rPr>
            </w:pPr>
            <w:hyperlink r:id="rId159">
              <w:r>
                <w:rPr>
                  <w:rFonts w:ascii="Arial" w:cs="Arial" w:eastAsia="Arial" w:hAnsi="Arial"/>
                  <w:sz w:val="16"/>
                  <w:szCs w:val="16"/>
                  <w:color w:val="0000FF"/>
                  <w:w w:val="98"/>
                </w:rPr>
                <w:t>Miracle-Gro Company, the Guarantors (as defined therein) and U.S. Bank National</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w w:val="96"/>
              </w:rPr>
            </w:pPr>
            <w:hyperlink r:id="rId159">
              <w:r>
                <w:rPr>
                  <w:rFonts w:ascii="Arial" w:cs="Arial" w:eastAsia="Arial" w:hAnsi="Arial"/>
                  <w:sz w:val="16"/>
                  <w:szCs w:val="16"/>
                  <w:color w:val="0000FF"/>
                  <w:w w:val="96"/>
                </w:rPr>
                <w:t>Association, as trustee</w:t>
              </w:r>
            </w:hyperlink>
          </w:p>
        </w:tc>
        <w:tc>
          <w:tcPr>
            <w:tcW w:w="4280" w:type="dxa"/>
            <w:vAlign w:val="bottom"/>
            <w:tcBorders>
              <w:top w:val="single" w:sz="8" w:color="0000FF"/>
            </w:tcBorders>
            <w:gridSpan w:val="21"/>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4.3(c)</w:t>
            </w:r>
          </w:p>
        </w:tc>
        <w:tc>
          <w:tcPr>
            <w:tcW w:w="20" w:type="dxa"/>
            <w:vAlign w:val="bottom"/>
          </w:tcPr>
          <w:p>
            <w:pPr>
              <w:spacing w:after="0"/>
              <w:rPr>
                <w:sz w:val="17"/>
                <w:szCs w:val="17"/>
                <w:color w:val="auto"/>
              </w:rPr>
            </w:pPr>
          </w:p>
        </w:tc>
        <w:tc>
          <w:tcPr>
            <w:tcW w:w="4580" w:type="dxa"/>
            <w:vAlign w:val="bottom"/>
            <w:tcBorders>
              <w:bottom w:val="single" w:sz="8" w:color="0000FF"/>
            </w:tcBorders>
            <w:gridSpan w:val="8"/>
          </w:tcPr>
          <w:p>
            <w:pPr>
              <w:spacing w:after="0" w:line="203" w:lineRule="exact"/>
              <w:rPr>
                <w:rFonts w:ascii="Arial" w:cs="Arial" w:eastAsia="Arial" w:hAnsi="Arial"/>
                <w:sz w:val="18"/>
                <w:szCs w:val="18"/>
                <w:color w:val="0000FF"/>
                <w:w w:val="89"/>
              </w:rPr>
            </w:pPr>
            <w:hyperlink r:id="rId158">
              <w:r>
                <w:rPr>
                  <w:rFonts w:ascii="Arial" w:cs="Arial" w:eastAsia="Arial" w:hAnsi="Arial"/>
                  <w:sz w:val="18"/>
                  <w:szCs w:val="18"/>
                  <w:color w:val="0000FF"/>
                  <w:w w:val="89"/>
                </w:rPr>
                <w:t>Form of 4.000% Senior Notes due 2031 (included in Exhibit 4.1)</w:t>
              </w:r>
            </w:hyperlink>
          </w:p>
        </w:tc>
        <w:tc>
          <w:tcPr>
            <w:tcW w:w="13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4.3(d)</w:t>
            </w:r>
          </w:p>
        </w:tc>
        <w:tc>
          <w:tcPr>
            <w:tcW w:w="20" w:type="dxa"/>
            <w:vAlign w:val="bottom"/>
          </w:tcPr>
          <w:p>
            <w:pPr>
              <w:spacing w:after="0"/>
              <w:rPr>
                <w:sz w:val="24"/>
                <w:szCs w:val="24"/>
                <w:color w:val="auto"/>
              </w:rPr>
            </w:pPr>
          </w:p>
        </w:tc>
        <w:tc>
          <w:tcPr>
            <w:tcW w:w="5920" w:type="dxa"/>
            <w:vAlign w:val="bottom"/>
            <w:gridSpan w:val="26"/>
          </w:tcPr>
          <w:p>
            <w:pPr>
              <w:spacing w:after="0"/>
              <w:rPr>
                <w:rFonts w:ascii="Arial" w:cs="Arial" w:eastAsia="Arial" w:hAnsi="Arial"/>
                <w:sz w:val="18"/>
                <w:szCs w:val="18"/>
                <w:color w:val="0000FF"/>
                <w:w w:val="93"/>
              </w:rPr>
            </w:pPr>
            <w:hyperlink r:id="rId160">
              <w:r>
                <w:rPr>
                  <w:rFonts w:ascii="Arial" w:cs="Arial" w:eastAsia="Arial" w:hAnsi="Arial"/>
                  <w:sz w:val="18"/>
                  <w:szCs w:val="18"/>
                  <w:color w:val="0000FF"/>
                  <w:w w:val="93"/>
                </w:rPr>
                <w:t>Registration Rights Agreement, dated as of March 17, 2021, by and among The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16"/>
          </w:tcPr>
          <w:p>
            <w:pPr>
              <w:spacing w:after="0" w:line="151" w:lineRule="exact"/>
              <w:rPr>
                <w:rFonts w:ascii="Arial" w:cs="Arial" w:eastAsia="Arial" w:hAnsi="Arial"/>
                <w:sz w:val="16"/>
                <w:szCs w:val="16"/>
                <w:color w:val="0000FF"/>
              </w:rPr>
            </w:pPr>
            <w:hyperlink r:id="rId160">
              <w:r>
                <w:rPr>
                  <w:rFonts w:ascii="Arial" w:cs="Arial" w:eastAsia="Arial" w:hAnsi="Arial"/>
                  <w:sz w:val="16"/>
                  <w:szCs w:val="16"/>
                  <w:color w:val="0000FF"/>
                </w:rPr>
                <w:t>Scotts Miracle-Gro Company, the guarantors named therein and J.P. Morgan</w:t>
              </w:r>
            </w:hyperlink>
          </w:p>
        </w:tc>
        <w:tc>
          <w:tcPr>
            <w:tcW w:w="20" w:type="dxa"/>
            <w:vAlign w:val="bottom"/>
          </w:tcPr>
          <w:p>
            <w:pPr>
              <w:spacing w:after="0"/>
              <w:rPr>
                <w:sz w:val="13"/>
                <w:szCs w:val="13"/>
                <w:color w:val="auto"/>
              </w:rPr>
            </w:pPr>
          </w:p>
        </w:tc>
        <w:tc>
          <w:tcPr>
            <w:tcW w:w="3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700" w:type="dxa"/>
            <w:vAlign w:val="bottom"/>
            <w:gridSpan w:val="7"/>
            <w:shd w:val="clear" w:color="auto" w:fill="0000FF"/>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60">
              <w:r>
                <w:rPr>
                  <w:rFonts w:ascii="Arial" w:cs="Arial" w:eastAsia="Arial" w:hAnsi="Arial"/>
                  <w:sz w:val="16"/>
                  <w:szCs w:val="16"/>
                  <w:color w:val="0000FF"/>
                </w:rPr>
                <w:t>Securities LLC, as representative of the several initial purchasers named therein</w:t>
              </w:r>
            </w:hyperlink>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4.4(a)</w:t>
            </w:r>
          </w:p>
        </w:tc>
        <w:tc>
          <w:tcPr>
            <w:tcW w:w="20" w:type="dxa"/>
            <w:vAlign w:val="bottom"/>
          </w:tcPr>
          <w:p>
            <w:pPr>
              <w:spacing w:after="0"/>
              <w:rPr>
                <w:sz w:val="17"/>
                <w:szCs w:val="17"/>
                <w:color w:val="auto"/>
              </w:rPr>
            </w:pPr>
          </w:p>
        </w:tc>
        <w:tc>
          <w:tcPr>
            <w:tcW w:w="5540" w:type="dxa"/>
            <w:vAlign w:val="bottom"/>
            <w:tcBorders>
              <w:top w:val="single" w:sz="8" w:color="0000FF"/>
              <w:bottom w:val="single" w:sz="8" w:color="0000FF"/>
            </w:tcBorders>
            <w:gridSpan w:val="14"/>
          </w:tcPr>
          <w:p>
            <w:pPr>
              <w:spacing w:after="0" w:line="203" w:lineRule="exact"/>
              <w:rPr>
                <w:rFonts w:ascii="Arial" w:cs="Arial" w:eastAsia="Arial" w:hAnsi="Arial"/>
                <w:sz w:val="18"/>
                <w:szCs w:val="18"/>
                <w:color w:val="0000FF"/>
                <w:w w:val="87"/>
              </w:rPr>
            </w:pPr>
            <w:hyperlink r:id="rId161">
              <w:r>
                <w:rPr>
                  <w:rFonts w:ascii="Arial" w:cs="Arial" w:eastAsia="Arial" w:hAnsi="Arial"/>
                  <w:sz w:val="18"/>
                  <w:szCs w:val="18"/>
                  <w:color w:val="0000FF"/>
                  <w:w w:val="87"/>
                </w:rPr>
                <w:t>Indenture, dated as of August 13, 2021, by and among The Scotts Miracle-Gro</w:t>
              </w:r>
            </w:hyperlink>
          </w:p>
        </w:tc>
        <w:tc>
          <w:tcPr>
            <w:tcW w:w="60" w:type="dxa"/>
            <w:vAlign w:val="bottom"/>
            <w:tcBorders>
              <w:top w:val="single" w:sz="8" w:color="0000FF"/>
            </w:tcBorders>
            <w:gridSpan w:val="3"/>
          </w:tcPr>
          <w:p>
            <w:pPr>
              <w:spacing w:after="0"/>
              <w:rPr>
                <w:sz w:val="17"/>
                <w:szCs w:val="17"/>
                <w:color w:val="auto"/>
              </w:rPr>
            </w:pP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26"/>
          </w:tcPr>
          <w:p>
            <w:pPr>
              <w:spacing w:after="0" w:line="151" w:lineRule="exact"/>
              <w:rPr>
                <w:rFonts w:ascii="Arial" w:cs="Arial" w:eastAsia="Arial" w:hAnsi="Arial"/>
                <w:sz w:val="16"/>
                <w:szCs w:val="16"/>
                <w:color w:val="0000FF"/>
              </w:rPr>
            </w:pPr>
            <w:hyperlink r:id="rId161">
              <w:r>
                <w:rPr>
                  <w:rFonts w:ascii="Arial" w:cs="Arial" w:eastAsia="Arial" w:hAnsi="Arial"/>
                  <w:sz w:val="16"/>
                  <w:szCs w:val="16"/>
                  <w:color w:val="0000FF"/>
                </w:rPr>
                <w:t>Company, the Guarantors (as defined therein) and U.S. Bank National Association,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24"/>
          </w:tcPr>
          <w:p>
            <w:pPr>
              <w:spacing w:after="0" w:line="151" w:lineRule="exact"/>
              <w:rPr>
                <w:rFonts w:ascii="Arial" w:cs="Arial" w:eastAsia="Arial" w:hAnsi="Arial"/>
                <w:sz w:val="16"/>
                <w:szCs w:val="16"/>
                <w:color w:val="0000FF"/>
              </w:rPr>
            </w:pPr>
            <w:hyperlink r:id="rId161">
              <w:r>
                <w:rPr>
                  <w:rFonts w:ascii="Arial" w:cs="Arial" w:eastAsia="Arial" w:hAnsi="Arial"/>
                  <w:sz w:val="16"/>
                  <w:szCs w:val="16"/>
                  <w:color w:val="0000FF"/>
                </w:rPr>
                <w:t>as trustee</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74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0000FF"/>
            </w:tcBorders>
            <w:gridSpan w:val="2"/>
          </w:tcPr>
          <w:p>
            <w:pPr>
              <w:spacing w:after="0"/>
              <w:rPr>
                <w:sz w:val="24"/>
                <w:szCs w:val="24"/>
                <w:color w:val="auto"/>
              </w:rPr>
            </w:pPr>
          </w:p>
        </w:tc>
        <w:tc>
          <w:tcPr>
            <w:tcW w:w="3900" w:type="dxa"/>
            <w:vAlign w:val="bottom"/>
            <w:gridSpan w:val="5"/>
          </w:tcPr>
          <w:p>
            <w:pPr>
              <w:jc w:val="center"/>
              <w:ind w:left="3552"/>
              <w:spacing w:after="0"/>
              <w:rPr>
                <w:sz w:val="20"/>
                <w:szCs w:val="20"/>
                <w:color w:val="auto"/>
              </w:rPr>
            </w:pPr>
            <w:r>
              <w:rPr>
                <w:rFonts w:ascii="Arial" w:cs="Arial" w:eastAsia="Arial" w:hAnsi="Arial"/>
                <w:sz w:val="18"/>
                <w:szCs w:val="18"/>
                <w:color w:val="auto"/>
                <w:w w:val="86"/>
              </w:rPr>
              <w:t>109</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9"/>
                <w:szCs w:val="19"/>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1"/>
        </w:trPr>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80" w:type="dxa"/>
            <w:vAlign w:val="bottom"/>
            <w:vMerge w:val="restart"/>
          </w:tcPr>
          <w:p>
            <w:pPr>
              <w:spacing w:after="0"/>
              <w:rPr>
                <w:sz w:val="13"/>
                <w:szCs w:val="13"/>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100" w:type="dxa"/>
            <w:vAlign w:val="bottom"/>
            <w:vMerge w:val="restart"/>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5"/>
        </w:trPr>
        <w:tc>
          <w:tcPr>
            <w:tcW w:w="720" w:type="dxa"/>
            <w:vAlign w:val="bottom"/>
            <w:gridSpan w:val="2"/>
          </w:tcPr>
          <w:p>
            <w:pPr>
              <w:jc w:val="center"/>
              <w:ind w:right="80"/>
              <w:spacing w:after="0" w:line="165"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6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18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March 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March 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March 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December 16,</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6, 2020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12,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11,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December 16,</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October 28,</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6, 2020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12, 2021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11,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October 28,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March 17,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11,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March 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March 17,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13,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7120" w:space="100"/>
            <w:col w:w="4020"/>
          </w:cols>
          <w:pgMar w:left="320" w:top="127" w:right="339" w:bottom="1440" w:gutter="0" w:footer="0" w:header="0"/>
        </w:sectPr>
      </w:pPr>
    </w:p>
    <w:bookmarkStart w:id="110" w:name="page111"/>
    <w:bookmarkEnd w:id="110"/>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80" w:type="dxa"/>
            <w:vAlign w:val="bottom"/>
            <w:gridSpan w:val="35"/>
            <w:vMerge w:val="restart"/>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3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4.4(b)</w:t>
            </w:r>
          </w:p>
        </w:tc>
        <w:tc>
          <w:tcPr>
            <w:tcW w:w="20" w:type="dxa"/>
            <w:vAlign w:val="bottom"/>
          </w:tcPr>
          <w:p>
            <w:pPr>
              <w:spacing w:after="0"/>
              <w:rPr>
                <w:sz w:val="15"/>
                <w:szCs w:val="15"/>
                <w:color w:val="auto"/>
              </w:rPr>
            </w:pPr>
          </w:p>
        </w:tc>
        <w:tc>
          <w:tcPr>
            <w:tcW w:w="5960" w:type="dxa"/>
            <w:vAlign w:val="bottom"/>
            <w:gridSpan w:val="40"/>
          </w:tcPr>
          <w:p>
            <w:pPr>
              <w:spacing w:after="0" w:line="177" w:lineRule="exact"/>
              <w:rPr>
                <w:rFonts w:ascii="Arial" w:cs="Arial" w:eastAsia="Arial" w:hAnsi="Arial"/>
                <w:sz w:val="18"/>
                <w:szCs w:val="18"/>
                <w:color w:val="0000FF"/>
              </w:rPr>
            </w:pPr>
            <w:hyperlink r:id="rId161">
              <w:r>
                <w:rPr>
                  <w:rFonts w:ascii="Arial" w:cs="Arial" w:eastAsia="Arial" w:hAnsi="Arial"/>
                  <w:sz w:val="18"/>
                  <w:szCs w:val="18"/>
                  <w:color w:val="0000FF"/>
                </w:rPr>
                <w:t>Form of 4.375% Senior Notes due 2032 (included in Exhibit 4.1)</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4.4(c)</w:t>
            </w:r>
          </w:p>
        </w:tc>
        <w:tc>
          <w:tcPr>
            <w:tcW w:w="20" w:type="dxa"/>
            <w:vAlign w:val="bottom"/>
          </w:tcPr>
          <w:p>
            <w:pPr>
              <w:spacing w:after="0"/>
              <w:rPr>
                <w:sz w:val="24"/>
                <w:szCs w:val="24"/>
                <w:color w:val="auto"/>
              </w:rPr>
            </w:pPr>
          </w:p>
        </w:tc>
        <w:tc>
          <w:tcPr>
            <w:tcW w:w="5960" w:type="dxa"/>
            <w:vAlign w:val="bottom"/>
            <w:gridSpan w:val="40"/>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Registration Rights Agreement, dated as of August 13, 2021, by and among The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15"/>
          </w:tcPr>
          <w:p>
            <w:pPr>
              <w:spacing w:after="0" w:line="151" w:lineRule="exact"/>
              <w:rPr>
                <w:rFonts w:ascii="Arial" w:cs="Arial" w:eastAsia="Arial" w:hAnsi="Arial"/>
                <w:sz w:val="16"/>
                <w:szCs w:val="16"/>
                <w:color w:val="0000FF"/>
                <w:w w:val="98"/>
              </w:rPr>
            </w:pPr>
            <w:hyperlink r:id="rId163">
              <w:r>
                <w:rPr>
                  <w:rFonts w:ascii="Arial" w:cs="Arial" w:eastAsia="Arial" w:hAnsi="Arial"/>
                  <w:sz w:val="16"/>
                  <w:szCs w:val="16"/>
                  <w:color w:val="0000FF"/>
                  <w:w w:val="98"/>
                </w:rPr>
                <w:t>Scotts Miracle-Gro Company, the guarantors named therein and Wells Fargo</w:t>
              </w:r>
            </w:hyperlink>
          </w:p>
        </w:tc>
        <w:tc>
          <w:tcPr>
            <w:tcW w:w="26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bottom w:val="single" w:sz="8" w:color="0000FF"/>
            </w:tcBorders>
            <w:gridSpan w:val="28"/>
          </w:tcPr>
          <w:p>
            <w:pPr>
              <w:spacing w:after="0" w:line="151" w:lineRule="exact"/>
              <w:rPr>
                <w:rFonts w:ascii="Arial" w:cs="Arial" w:eastAsia="Arial" w:hAnsi="Arial"/>
                <w:sz w:val="16"/>
                <w:szCs w:val="16"/>
                <w:color w:val="0000FF"/>
                <w:w w:val="99"/>
              </w:rPr>
            </w:pPr>
            <w:hyperlink r:id="rId163">
              <w:r>
                <w:rPr>
                  <w:rFonts w:ascii="Arial" w:cs="Arial" w:eastAsia="Arial" w:hAnsi="Arial"/>
                  <w:sz w:val="16"/>
                  <w:szCs w:val="16"/>
                  <w:color w:val="0000FF"/>
                  <w:w w:val="99"/>
                </w:rPr>
                <w:t>Securities, LLC, as representative of the several initial purchasers named therein</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6"/>
              </w:rPr>
            </w:pPr>
            <w:hyperlink w:anchor="page115">
              <w:r>
                <w:rPr>
                  <w:rFonts w:ascii="Arial" w:cs="Arial" w:eastAsia="Arial" w:hAnsi="Arial"/>
                  <w:sz w:val="18"/>
                  <w:szCs w:val="18"/>
                  <w:color w:val="0000FF"/>
                  <w:w w:val="96"/>
                </w:rPr>
                <w:t>Agreement to furnish copies of instruments and agreements defining rights of</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3"/>
          </w:tcPr>
          <w:p>
            <w:pPr>
              <w:spacing w:after="0" w:line="151" w:lineRule="exact"/>
              <w:rPr>
                <w:rFonts w:ascii="Arial" w:cs="Arial" w:eastAsia="Arial" w:hAnsi="Arial"/>
                <w:sz w:val="16"/>
                <w:szCs w:val="16"/>
                <w:color w:val="0000FF"/>
              </w:rPr>
            </w:pPr>
            <w:hyperlink w:anchor="page115">
              <w:r>
                <w:rPr>
                  <w:rFonts w:ascii="Arial" w:cs="Arial" w:eastAsia="Arial" w:hAnsi="Arial"/>
                  <w:sz w:val="16"/>
                  <w:szCs w:val="16"/>
                  <w:color w:val="0000FF"/>
                </w:rPr>
                <w:t>holders of long-term debt</w:t>
              </w:r>
            </w:hyperlink>
          </w:p>
        </w:tc>
        <w:tc>
          <w:tcPr>
            <w:tcW w:w="36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rPr>
            </w:pPr>
            <w:hyperlink r:id="rId164">
              <w:r>
                <w:rPr>
                  <w:rFonts w:ascii="Arial" w:cs="Arial" w:eastAsia="Arial" w:hAnsi="Arial"/>
                  <w:sz w:val="18"/>
                  <w:szCs w:val="18"/>
                  <w:color w:val="0000FF"/>
                </w:rPr>
                <w:t>Description of Capital Stock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10.1(a)(i)</w:t>
            </w:r>
          </w:p>
        </w:tc>
        <w:tc>
          <w:tcPr>
            <w:tcW w:w="20" w:type="dxa"/>
            <w:vAlign w:val="bottom"/>
          </w:tcPr>
          <w:p>
            <w:pPr>
              <w:spacing w:after="0"/>
              <w:rPr>
                <w:sz w:val="24"/>
                <w:szCs w:val="24"/>
                <w:color w:val="auto"/>
              </w:rPr>
            </w:pPr>
          </w:p>
        </w:tc>
        <w:tc>
          <w:tcPr>
            <w:tcW w:w="5640" w:type="dxa"/>
            <w:vAlign w:val="bottom"/>
            <w:tcBorders>
              <w:bottom w:val="single" w:sz="8" w:color="0000FF"/>
            </w:tcBorders>
            <w:gridSpan w:val="24"/>
          </w:tcPr>
          <w:p>
            <w:pPr>
              <w:spacing w:after="0"/>
              <w:rPr>
                <w:rFonts w:ascii="Arial" w:cs="Arial" w:eastAsia="Arial" w:hAnsi="Arial"/>
                <w:sz w:val="18"/>
                <w:szCs w:val="18"/>
                <w:color w:val="0000FF"/>
                <w:w w:val="87"/>
              </w:rPr>
            </w:pPr>
            <w:hyperlink r:id="rId165">
              <w:r>
                <w:rPr>
                  <w:rFonts w:ascii="Arial" w:cs="Arial" w:eastAsia="Arial" w:hAnsi="Arial"/>
                  <w:sz w:val="18"/>
                  <w:szCs w:val="18"/>
                  <w:color w:val="0000FF"/>
                  <w:w w:val="87"/>
                </w:rPr>
                <w:t>Fifth Amended and Restated Credit Agreement, dated as of July 5, 2018, by and</w:t>
              </w:r>
            </w:hyperlink>
          </w:p>
        </w:tc>
        <w:tc>
          <w:tcPr>
            <w:tcW w:w="3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gridSpan w:val="40"/>
          </w:tcPr>
          <w:p>
            <w:pPr>
              <w:spacing w:after="0" w:line="151" w:lineRule="exact"/>
              <w:rPr>
                <w:rFonts w:ascii="Arial" w:cs="Arial" w:eastAsia="Arial" w:hAnsi="Arial"/>
                <w:sz w:val="16"/>
                <w:szCs w:val="16"/>
                <w:color w:val="0000FF"/>
              </w:rPr>
            </w:pPr>
            <w:hyperlink r:id="rId165">
              <w:r>
                <w:rPr>
                  <w:rFonts w:ascii="Arial" w:cs="Arial" w:eastAsia="Arial" w:hAnsi="Arial"/>
                  <w:sz w:val="16"/>
                  <w:szCs w:val="16"/>
                  <w:color w:val="0000FF"/>
                </w:rPr>
                <w:t>among The Scotts Miracle-Gro Company, as a Borrower; the Subsidiary Borrowers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37"/>
          </w:tcPr>
          <w:p>
            <w:pPr>
              <w:spacing w:after="0" w:line="151" w:lineRule="exact"/>
              <w:rPr>
                <w:rFonts w:ascii="Arial" w:cs="Arial" w:eastAsia="Arial" w:hAnsi="Arial"/>
                <w:sz w:val="16"/>
                <w:szCs w:val="16"/>
                <w:color w:val="0000FF"/>
              </w:rPr>
            </w:pPr>
            <w:hyperlink r:id="rId165">
              <w:r>
                <w:rPr>
                  <w:rFonts w:ascii="Arial" w:cs="Arial" w:eastAsia="Arial" w:hAnsi="Arial"/>
                  <w:sz w:val="16"/>
                  <w:szCs w:val="16"/>
                  <w:color w:val="0000FF"/>
                </w:rPr>
                <w:t>(as defined therein); JPMorgan Chase Bank, N.A., as Administrative Agent; Wells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31"/>
          </w:tcPr>
          <w:p>
            <w:pPr>
              <w:spacing w:after="0" w:line="151" w:lineRule="exact"/>
              <w:rPr>
                <w:rFonts w:ascii="Arial" w:cs="Arial" w:eastAsia="Arial" w:hAnsi="Arial"/>
                <w:sz w:val="16"/>
                <w:szCs w:val="16"/>
                <w:color w:val="0000FF"/>
              </w:rPr>
            </w:pPr>
            <w:hyperlink r:id="rId165">
              <w:r>
                <w:rPr>
                  <w:rFonts w:ascii="Arial" w:cs="Arial" w:eastAsia="Arial" w:hAnsi="Arial"/>
                  <w:sz w:val="16"/>
                  <w:szCs w:val="16"/>
                  <w:color w:val="0000FF"/>
                </w:rPr>
                <w:t>Fargo Bank, National Association, and Mizuho Bank, Ltd. as Co-Syndication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bottom w:val="single" w:sz="8" w:color="0000FF"/>
            </w:tcBorders>
            <w:gridSpan w:val="16"/>
          </w:tcPr>
          <w:p>
            <w:pPr>
              <w:spacing w:after="0" w:line="151" w:lineRule="exact"/>
              <w:rPr>
                <w:rFonts w:ascii="Arial" w:cs="Arial" w:eastAsia="Arial" w:hAnsi="Arial"/>
                <w:sz w:val="16"/>
                <w:szCs w:val="16"/>
                <w:color w:val="0000FF"/>
                <w:w w:val="98"/>
              </w:rPr>
            </w:pPr>
            <w:hyperlink r:id="rId165">
              <w:r>
                <w:rPr>
                  <w:rFonts w:ascii="Arial" w:cs="Arial" w:eastAsia="Arial" w:hAnsi="Arial"/>
                  <w:sz w:val="16"/>
                  <w:szCs w:val="16"/>
                  <w:color w:val="0000FF"/>
                  <w:w w:val="98"/>
                </w:rPr>
                <w:t>Agents; CoBank, ACB, Bank of America, N.A., Fifth Third Bank, Coöperatieve</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80" w:type="dxa"/>
            <w:vAlign w:val="bottom"/>
            <w:gridSpan w:val="14"/>
            <w:vMerge w:val="restart"/>
          </w:tcPr>
          <w:p>
            <w:pPr>
              <w:jc w:val="right"/>
              <w:ind w:right="80"/>
              <w:spacing w:after="0"/>
              <w:rPr>
                <w:rFonts w:ascii="Arial" w:cs="Arial" w:eastAsia="Arial" w:hAnsi="Arial"/>
                <w:sz w:val="18"/>
                <w:szCs w:val="18"/>
                <w:color w:val="0000FF"/>
                <w:w w:val="74"/>
              </w:rPr>
            </w:pPr>
            <w:hyperlink r:id="rId165">
              <w:r>
                <w:rPr>
                  <w:rFonts w:ascii="Arial" w:cs="Arial" w:eastAsia="Arial" w:hAnsi="Arial"/>
                  <w:sz w:val="18"/>
                  <w:szCs w:val="18"/>
                  <w:color w:val="0000FF"/>
                  <w:w w:val="74"/>
                </w:rPr>
                <w:t>TD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gridSpan w:val="26"/>
          </w:tcPr>
          <w:p>
            <w:pPr>
              <w:spacing w:after="0" w:line="151" w:lineRule="exact"/>
              <w:rPr>
                <w:rFonts w:ascii="Arial" w:cs="Arial" w:eastAsia="Arial" w:hAnsi="Arial"/>
                <w:sz w:val="16"/>
                <w:szCs w:val="16"/>
                <w:color w:val="0000FF"/>
              </w:rPr>
            </w:pPr>
            <w:hyperlink r:id="rId165">
              <w:r>
                <w:rPr>
                  <w:rFonts w:ascii="Arial" w:cs="Arial" w:eastAsia="Arial" w:hAnsi="Arial"/>
                  <w:sz w:val="16"/>
                  <w:szCs w:val="16"/>
                  <w:color w:val="0000FF"/>
                </w:rPr>
                <w:t>Rabobank U.A., New York Branch, Sumitomo Mitsui Banking Corporation and</w:t>
              </w:r>
            </w:hyperlink>
          </w:p>
        </w:tc>
        <w:tc>
          <w:tcPr>
            <w:tcW w:w="280" w:type="dxa"/>
            <w:vAlign w:val="bottom"/>
            <w:gridSpan w:val="1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38"/>
          </w:tcPr>
          <w:p>
            <w:pPr>
              <w:spacing w:after="0" w:line="151" w:lineRule="exact"/>
              <w:rPr>
                <w:rFonts w:ascii="Arial" w:cs="Arial" w:eastAsia="Arial" w:hAnsi="Arial"/>
                <w:sz w:val="16"/>
                <w:szCs w:val="16"/>
                <w:color w:val="0000FF"/>
              </w:rPr>
            </w:pPr>
            <w:hyperlink r:id="rId165">
              <w:r>
                <w:rPr>
                  <w:rFonts w:ascii="Arial" w:cs="Arial" w:eastAsia="Arial" w:hAnsi="Arial"/>
                  <w:sz w:val="16"/>
                  <w:szCs w:val="16"/>
                  <w:color w:val="0000FF"/>
                </w:rPr>
                <w:t>Bank N.A., as Co-Documentation Agents; and the several other banks and other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6"/>
          </w:tcPr>
          <w:p>
            <w:pPr>
              <w:spacing w:after="0" w:line="151" w:lineRule="exact"/>
              <w:rPr>
                <w:rFonts w:ascii="Arial" w:cs="Arial" w:eastAsia="Arial" w:hAnsi="Arial"/>
                <w:sz w:val="16"/>
                <w:szCs w:val="16"/>
                <w:color w:val="0000FF"/>
              </w:rPr>
            </w:pPr>
            <w:hyperlink r:id="rId165">
              <w:r>
                <w:rPr>
                  <w:rFonts w:ascii="Arial" w:cs="Arial" w:eastAsia="Arial" w:hAnsi="Arial"/>
                  <w:sz w:val="16"/>
                  <w:szCs w:val="16"/>
                  <w:color w:val="0000FF"/>
                </w:rPr>
                <w:t>financial institutions from time to time parties thereto</w:t>
              </w:r>
            </w:hyperlink>
          </w:p>
        </w:tc>
        <w:tc>
          <w:tcPr>
            <w:tcW w:w="18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10.1(a)(ii)</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Amendment No. 1, dated August 3, 2021, to Fifth Amended and Restated Credit</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8"/>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Agreement, dated as of July 5, 2018, by and among The Scotts Miracle-Gro</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gridSpan w:val="40"/>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Company, as a Borrower; the Subsidiary Borrowers (as defined therein); JPMorgan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36"/>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Chase Bank, N.A., as Administrative Agent; Wells Fargo Bank, National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9"/>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Association, and Mizuho Bank, Ltd. as Co-Syndication Agents; CoBank,</w:t>
              </w:r>
            </w:hyperlink>
          </w:p>
        </w:tc>
        <w:tc>
          <w:tcPr>
            <w:tcW w:w="20" w:type="dxa"/>
            <w:vAlign w:val="bottom"/>
          </w:tcPr>
          <w:p>
            <w:pPr>
              <w:spacing w:after="0"/>
              <w:rPr>
                <w:sz w:val="13"/>
                <w:szCs w:val="13"/>
                <w:color w:val="auto"/>
              </w:rPr>
            </w:pPr>
          </w:p>
        </w:tc>
        <w:tc>
          <w:tcPr>
            <w:tcW w:w="820" w:type="dxa"/>
            <w:vAlign w:val="bottom"/>
            <w:gridSpan w:val="30"/>
          </w:tcPr>
          <w:p>
            <w:pPr>
              <w:ind w:left="40"/>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ACB,</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22"/>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Bank of America, N.A., Fifth Third Bank, Coöperatieve Rabobank U.A., New</w:t>
              </w:r>
            </w:hyperlink>
          </w:p>
        </w:tc>
        <w:tc>
          <w:tcPr>
            <w:tcW w:w="380" w:type="dxa"/>
            <w:vAlign w:val="bottom"/>
            <w:gridSpan w:val="18"/>
          </w:tcPr>
          <w:p>
            <w:pPr>
              <w:jc w:val="right"/>
              <w:ind w:right="80"/>
              <w:spacing w:after="0" w:line="151" w:lineRule="exact"/>
              <w:rPr>
                <w:rFonts w:ascii="Arial" w:cs="Arial" w:eastAsia="Arial" w:hAnsi="Arial"/>
                <w:sz w:val="16"/>
                <w:szCs w:val="16"/>
                <w:color w:val="0000FF"/>
                <w:w w:val="84"/>
              </w:rPr>
            </w:pPr>
            <w:hyperlink r:id="rId166">
              <w:r>
                <w:rPr>
                  <w:rFonts w:ascii="Arial" w:cs="Arial" w:eastAsia="Arial" w:hAnsi="Arial"/>
                  <w:sz w:val="16"/>
                  <w:szCs w:val="16"/>
                  <w:color w:val="0000FF"/>
                  <w:w w:val="84"/>
                </w:rPr>
                <w:t>York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12"/>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Branch, Sumitomo Mitsui Banking Corporation and TD Bank N.A., as Co-</w:t>
              </w:r>
            </w:hyperlink>
          </w:p>
        </w:tc>
        <w:tc>
          <w:tcPr>
            <w:tcW w:w="620" w:type="dxa"/>
            <w:vAlign w:val="bottom"/>
            <w:tcBorders>
              <w:top w:val="single" w:sz="8" w:color="0000FF"/>
            </w:tcBorders>
            <w:gridSpan w:val="2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gridSpan w:val="40"/>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Documentation Agents; and the several other banks and other financial institutions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tcBorders>
              <w:top w:val="single" w:sz="8" w:color="0000FF"/>
              <w:bottom w:val="single" w:sz="8" w:color="0000FF"/>
            </w:tcBorders>
            <w:gridSpan w:val="5"/>
          </w:tcPr>
          <w:p>
            <w:pPr>
              <w:spacing w:after="0" w:line="151" w:lineRule="exact"/>
              <w:rPr>
                <w:rFonts w:ascii="Arial" w:cs="Arial" w:eastAsia="Arial" w:hAnsi="Arial"/>
                <w:sz w:val="16"/>
                <w:szCs w:val="16"/>
                <w:color w:val="0000FF"/>
              </w:rPr>
            </w:pPr>
            <w:hyperlink r:id="rId166">
              <w:r>
                <w:rPr>
                  <w:rFonts w:ascii="Arial" w:cs="Arial" w:eastAsia="Arial" w:hAnsi="Arial"/>
                  <w:sz w:val="16"/>
                  <w:szCs w:val="16"/>
                  <w:color w:val="0000FF"/>
                </w:rPr>
                <w:t>from time to time parties thereto</w:t>
              </w:r>
            </w:hyperlink>
          </w:p>
        </w:tc>
        <w:tc>
          <w:tcPr>
            <w:tcW w:w="354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10.1(b)</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89"/>
              </w:rPr>
            </w:pPr>
            <w:hyperlink r:id="rId167">
              <w:r>
                <w:rPr>
                  <w:rFonts w:ascii="Arial" w:cs="Arial" w:eastAsia="Arial" w:hAnsi="Arial"/>
                  <w:sz w:val="18"/>
                  <w:szCs w:val="18"/>
                  <w:color w:val="0000FF"/>
                  <w:w w:val="89"/>
                </w:rPr>
                <w:t>Fifth Amended and Restated Guarantee and Collateral Agreement, dated as of July</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34"/>
          </w:tcPr>
          <w:p>
            <w:pPr>
              <w:spacing w:after="0" w:line="151" w:lineRule="exact"/>
              <w:rPr>
                <w:rFonts w:ascii="Arial" w:cs="Arial" w:eastAsia="Arial" w:hAnsi="Arial"/>
                <w:sz w:val="16"/>
                <w:szCs w:val="16"/>
                <w:color w:val="0000FF"/>
              </w:rPr>
            </w:pPr>
            <w:hyperlink r:id="rId167">
              <w:r>
                <w:rPr>
                  <w:rFonts w:ascii="Arial" w:cs="Arial" w:eastAsia="Arial" w:hAnsi="Arial"/>
                  <w:sz w:val="16"/>
                  <w:szCs w:val="16"/>
                  <w:color w:val="0000FF"/>
                </w:rPr>
                <w:t>5, 2018, made by The Scotts Miracle-Gro Company, each domestic Subsidiary</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20"/>
          </w:tcPr>
          <w:p>
            <w:pPr>
              <w:spacing w:after="0" w:line="151" w:lineRule="exact"/>
              <w:rPr>
                <w:rFonts w:ascii="Arial" w:cs="Arial" w:eastAsia="Arial" w:hAnsi="Arial"/>
                <w:sz w:val="16"/>
                <w:szCs w:val="16"/>
                <w:color w:val="0000FF"/>
                <w:w w:val="98"/>
              </w:rPr>
            </w:pPr>
            <w:hyperlink r:id="rId167">
              <w:r>
                <w:rPr>
                  <w:rFonts w:ascii="Arial" w:cs="Arial" w:eastAsia="Arial" w:hAnsi="Arial"/>
                  <w:sz w:val="16"/>
                  <w:szCs w:val="16"/>
                  <w:color w:val="0000FF"/>
                  <w:w w:val="98"/>
                </w:rPr>
                <w:t>Borrower under the Fifth Amended and Restated Credit Agreement, and certain</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320" w:type="dxa"/>
            <w:vAlign w:val="bottom"/>
            <w:gridSpan w:val="16"/>
          </w:tcPr>
          <w:p>
            <w:pPr>
              <w:spacing w:after="0" w:line="151" w:lineRule="exact"/>
              <w:rPr>
                <w:rFonts w:ascii="Arial" w:cs="Arial" w:eastAsia="Arial" w:hAnsi="Arial"/>
                <w:sz w:val="16"/>
                <w:szCs w:val="16"/>
                <w:color w:val="0000FF"/>
              </w:rPr>
            </w:pPr>
            <w:hyperlink r:id="rId167">
              <w:r>
                <w:rPr>
                  <w:rFonts w:ascii="Arial" w:cs="Arial" w:eastAsia="Arial" w:hAnsi="Arial"/>
                  <w:sz w:val="16"/>
                  <w:szCs w:val="16"/>
                  <w:color w:val="0000FF"/>
                </w:rPr>
                <w:t>of</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32"/>
          </w:tcPr>
          <w:p>
            <w:pPr>
              <w:spacing w:after="0" w:line="151" w:lineRule="exact"/>
              <w:rPr>
                <w:rFonts w:ascii="Arial" w:cs="Arial" w:eastAsia="Arial" w:hAnsi="Arial"/>
                <w:sz w:val="16"/>
                <w:szCs w:val="16"/>
                <w:color w:val="0000FF"/>
              </w:rPr>
            </w:pPr>
            <w:hyperlink r:id="rId167">
              <w:r>
                <w:rPr>
                  <w:rFonts w:ascii="Arial" w:cs="Arial" w:eastAsia="Arial" w:hAnsi="Arial"/>
                  <w:sz w:val="16"/>
                  <w:szCs w:val="16"/>
                  <w:color w:val="0000FF"/>
                </w:rPr>
                <w:t>its and their domestic subsidiaries, in favor of JPMorgan Chase Bank, N.A., as</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9"/>
          </w:tcPr>
          <w:p>
            <w:pPr>
              <w:spacing w:after="0" w:line="151" w:lineRule="exact"/>
              <w:rPr>
                <w:rFonts w:ascii="Arial" w:cs="Arial" w:eastAsia="Arial" w:hAnsi="Arial"/>
                <w:sz w:val="16"/>
                <w:szCs w:val="16"/>
                <w:color w:val="0000FF"/>
              </w:rPr>
            </w:pPr>
            <w:hyperlink r:id="rId167">
              <w:r>
                <w:rPr>
                  <w:rFonts w:ascii="Arial" w:cs="Arial" w:eastAsia="Arial" w:hAnsi="Arial"/>
                  <w:sz w:val="16"/>
                  <w:szCs w:val="16"/>
                  <w:color w:val="0000FF"/>
                </w:rPr>
                <w:t>Administrative Agent</w:t>
              </w:r>
            </w:hyperlink>
          </w:p>
        </w:tc>
        <w:tc>
          <w:tcPr>
            <w:tcW w:w="4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10.2(a)†</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1"/>
              </w:rPr>
            </w:pPr>
            <w:hyperlink r:id="rId168">
              <w:r>
                <w:rPr>
                  <w:rFonts w:ascii="Arial" w:cs="Arial" w:eastAsia="Arial" w:hAnsi="Arial"/>
                  <w:sz w:val="18"/>
                  <w:szCs w:val="18"/>
                  <w:color w:val="0000FF"/>
                  <w:w w:val="91"/>
                </w:rPr>
                <w:t>The Scotts Miracle-Gro Company Long-Term Incentive Plan (reflects amendment</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30"/>
          </w:tcPr>
          <w:p>
            <w:pPr>
              <w:spacing w:after="0" w:line="151" w:lineRule="exact"/>
              <w:rPr>
                <w:rFonts w:ascii="Arial" w:cs="Arial" w:eastAsia="Arial" w:hAnsi="Arial"/>
                <w:sz w:val="16"/>
                <w:szCs w:val="16"/>
                <w:color w:val="0000FF"/>
                <w:w w:val="98"/>
              </w:rPr>
            </w:pPr>
            <w:hyperlink r:id="rId168">
              <w:r>
                <w:rPr>
                  <w:rFonts w:ascii="Arial" w:cs="Arial" w:eastAsia="Arial" w:hAnsi="Arial"/>
                  <w:sz w:val="16"/>
                  <w:szCs w:val="16"/>
                  <w:color w:val="0000FF"/>
                  <w:w w:val="98"/>
                </w:rPr>
                <w:t>and restatement of plan formerly known as The Scotts Miracle-Gro Company 2006</w:t>
              </w:r>
            </w:hyperlink>
          </w:p>
        </w:tc>
        <w:tc>
          <w:tcPr>
            <w:tcW w:w="100" w:type="dxa"/>
            <w:vAlign w:val="bottom"/>
            <w:tcBorders>
              <w:bottom w:val="single" w:sz="8" w:color="0000FF"/>
            </w:tcBorders>
            <w:gridSpan w:val="5"/>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bottom w:val="single" w:sz="8" w:color="0000FF"/>
            </w:tcBorders>
            <w:gridSpan w:val="29"/>
          </w:tcPr>
          <w:p>
            <w:pPr>
              <w:spacing w:after="0" w:line="151" w:lineRule="exact"/>
              <w:rPr>
                <w:rFonts w:ascii="Arial" w:cs="Arial" w:eastAsia="Arial" w:hAnsi="Arial"/>
                <w:sz w:val="16"/>
                <w:szCs w:val="16"/>
                <w:color w:val="0000FF"/>
              </w:rPr>
            </w:pPr>
            <w:hyperlink r:id="rId168">
              <w:r>
                <w:rPr>
                  <w:rFonts w:ascii="Arial" w:cs="Arial" w:eastAsia="Arial" w:hAnsi="Arial"/>
                  <w:sz w:val="16"/>
                  <w:szCs w:val="16"/>
                  <w:color w:val="0000FF"/>
                </w:rPr>
                <w:t>Long-Term Incentive Plan) [January 17, 2013 through January 26, 2017 version]</w:t>
              </w:r>
            </w:hyperlink>
          </w:p>
        </w:tc>
        <w:tc>
          <w:tcPr>
            <w:tcW w:w="14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10.2(b)†</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Form of Nonqualified Stock Option Award Agreement for Employees used to</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18"/>
          </w:tcPr>
          <w:p>
            <w:pPr>
              <w:spacing w:after="0" w:line="151" w:lineRule="exact"/>
              <w:rPr>
                <w:rFonts w:ascii="Arial" w:cs="Arial" w:eastAsia="Arial" w:hAnsi="Arial"/>
                <w:sz w:val="16"/>
                <w:szCs w:val="16"/>
                <w:color w:val="0000FF"/>
              </w:rPr>
            </w:pPr>
            <w:hyperlink r:id="rId169">
              <w:r>
                <w:rPr>
                  <w:rFonts w:ascii="Arial" w:cs="Arial" w:eastAsia="Arial" w:hAnsi="Arial"/>
                  <w:sz w:val="16"/>
                  <w:szCs w:val="16"/>
                  <w:color w:val="0000FF"/>
                </w:rPr>
                <w:t>evidence grants made under The Scotts Miracle-Gro Company Long-Term</w:t>
              </w:r>
            </w:hyperlink>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11"/>
          </w:tcPr>
          <w:p>
            <w:pPr>
              <w:spacing w:after="0" w:line="151" w:lineRule="exact"/>
              <w:rPr>
                <w:rFonts w:ascii="Arial" w:cs="Arial" w:eastAsia="Arial" w:hAnsi="Arial"/>
                <w:sz w:val="16"/>
                <w:szCs w:val="16"/>
                <w:color w:val="0000FF"/>
              </w:rPr>
            </w:pPr>
            <w:hyperlink r:id="rId169">
              <w:r>
                <w:rPr>
                  <w:rFonts w:ascii="Arial" w:cs="Arial" w:eastAsia="Arial" w:hAnsi="Arial"/>
                  <w:sz w:val="16"/>
                  <w:szCs w:val="16"/>
                  <w:color w:val="0000FF"/>
                </w:rPr>
                <w:t>Incentive Plan [January 17, 2013 through January 26, 2017 version]</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60" w:type="dxa"/>
            <w:vAlign w:val="bottom"/>
            <w:gridSpan w:val="7"/>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10.3(a)†</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8"/>
              </w:rPr>
            </w:pPr>
            <w:hyperlink r:id="rId170">
              <w:r>
                <w:rPr>
                  <w:rFonts w:ascii="Arial" w:cs="Arial" w:eastAsia="Arial" w:hAnsi="Arial"/>
                  <w:sz w:val="18"/>
                  <w:szCs w:val="18"/>
                  <w:color w:val="0000FF"/>
                  <w:w w:val="98"/>
                </w:rPr>
                <w:t>The Scotts Miracle-Gro Company Long-Term Incentive Plan (effective as of</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tcBorders>
            <w:gridSpan w:val="14"/>
          </w:tcPr>
          <w:p>
            <w:pPr>
              <w:spacing w:after="0" w:line="151" w:lineRule="exact"/>
              <w:rPr>
                <w:rFonts w:ascii="Arial" w:cs="Arial" w:eastAsia="Arial" w:hAnsi="Arial"/>
                <w:sz w:val="16"/>
                <w:szCs w:val="16"/>
                <w:color w:val="0000FF"/>
              </w:rPr>
            </w:pPr>
            <w:hyperlink r:id="rId170">
              <w:r>
                <w:rPr>
                  <w:rFonts w:ascii="Arial" w:cs="Arial" w:eastAsia="Arial" w:hAnsi="Arial"/>
                  <w:sz w:val="16"/>
                  <w:szCs w:val="16"/>
                  <w:color w:val="0000FF"/>
                </w:rPr>
                <w:t>January 27, 2017)</w:t>
              </w:r>
            </w:hyperlink>
          </w:p>
        </w:tc>
        <w:tc>
          <w:tcPr>
            <w:tcW w:w="180" w:type="dxa"/>
            <w:vAlign w:val="bottom"/>
            <w:gridSpan w:val="7"/>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gridSpan w:val="2"/>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10.3(b)(i)†</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3"/>
              </w:rPr>
            </w:pPr>
            <w:hyperlink r:id="rId171">
              <w:r>
                <w:rPr>
                  <w:rFonts w:ascii="Arial" w:cs="Arial" w:eastAsia="Arial" w:hAnsi="Arial"/>
                  <w:sz w:val="18"/>
                  <w:szCs w:val="18"/>
                  <w:color w:val="0000FF"/>
                  <w:w w:val="93"/>
                </w:rPr>
                <w:t>Form of Project Focus Performance Unit Award Agreement which may be made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27"/>
          </w:tcPr>
          <w:p>
            <w:pPr>
              <w:spacing w:after="0" w:line="151" w:lineRule="exact"/>
              <w:rPr>
                <w:rFonts w:ascii="Arial" w:cs="Arial" w:eastAsia="Arial" w:hAnsi="Arial"/>
                <w:sz w:val="16"/>
                <w:szCs w:val="16"/>
                <w:color w:val="0000FF"/>
              </w:rPr>
            </w:pPr>
            <w:hyperlink r:id="rId171">
              <w:r>
                <w:rPr>
                  <w:rFonts w:ascii="Arial" w:cs="Arial" w:eastAsia="Arial" w:hAnsi="Arial"/>
                  <w:sz w:val="16"/>
                  <w:szCs w:val="16"/>
                  <w:color w:val="0000FF"/>
                </w:rPr>
                <w:t>under The Scotts Miracle-Gro Company Long-Term Incentive Plan</w:t>
              </w:r>
            </w:hyperlink>
          </w:p>
        </w:tc>
        <w:tc>
          <w:tcPr>
            <w:tcW w:w="20" w:type="dxa"/>
            <w:vAlign w:val="bottom"/>
            <w:gridSpan w:val="2"/>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10.3(b)(ii)†</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2"/>
              </w:rPr>
            </w:pPr>
            <w:hyperlink r:id="rId172">
              <w:r>
                <w:rPr>
                  <w:rFonts w:ascii="Arial" w:cs="Arial" w:eastAsia="Arial" w:hAnsi="Arial"/>
                  <w:sz w:val="18"/>
                  <w:szCs w:val="18"/>
                  <w:color w:val="0000FF"/>
                  <w:w w:val="92"/>
                </w:rPr>
                <w:t>Form of Amendment to Project Focus Amendment Award Agreement which may</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13"/>
          </w:tcPr>
          <w:p>
            <w:pPr>
              <w:spacing w:after="0" w:line="151" w:lineRule="exact"/>
              <w:rPr>
                <w:rFonts w:ascii="Arial" w:cs="Arial" w:eastAsia="Arial" w:hAnsi="Arial"/>
                <w:sz w:val="16"/>
                <w:szCs w:val="16"/>
                <w:color w:val="0000FF"/>
                <w:w w:val="99"/>
              </w:rPr>
            </w:pPr>
            <w:hyperlink r:id="rId172">
              <w:r>
                <w:rPr>
                  <w:rFonts w:ascii="Arial" w:cs="Arial" w:eastAsia="Arial" w:hAnsi="Arial"/>
                  <w:sz w:val="16"/>
                  <w:szCs w:val="16"/>
                  <w:color w:val="0000FF"/>
                  <w:w w:val="99"/>
                </w:rPr>
                <w:t>be made under The Scotts Miracle-Gro Company Long-Term Incentive Plan</w:t>
              </w:r>
            </w:hyperlink>
          </w:p>
        </w:tc>
        <w:tc>
          <w:tcPr>
            <w:tcW w:w="360" w:type="dxa"/>
            <w:vAlign w:val="bottom"/>
            <w:tcBorders>
              <w:top w:val="single" w:sz="8" w:color="0000FF"/>
            </w:tcBorders>
            <w:gridSpan w:val="16"/>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10.3(c)†</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4"/>
              </w:rPr>
            </w:pPr>
            <w:hyperlink r:id="rId173">
              <w:r>
                <w:rPr>
                  <w:rFonts w:ascii="Arial" w:cs="Arial" w:eastAsia="Arial" w:hAnsi="Arial"/>
                  <w:sz w:val="18"/>
                  <w:szCs w:val="18"/>
                  <w:color w:val="0000FF"/>
                  <w:w w:val="94"/>
                </w:rPr>
                <w:t>Form of Standard Restricted Stock Unit Award Agreement which may be made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21"/>
          </w:tcPr>
          <w:p>
            <w:pPr>
              <w:spacing w:after="0" w:line="151" w:lineRule="exact"/>
              <w:rPr>
                <w:rFonts w:ascii="Arial" w:cs="Arial" w:eastAsia="Arial" w:hAnsi="Arial"/>
                <w:sz w:val="16"/>
                <w:szCs w:val="16"/>
                <w:color w:val="0000FF"/>
              </w:rPr>
            </w:pPr>
            <w:hyperlink r:id="rId173">
              <w:r>
                <w:rPr>
                  <w:rFonts w:ascii="Arial" w:cs="Arial" w:eastAsia="Arial" w:hAnsi="Arial"/>
                  <w:sz w:val="16"/>
                  <w:szCs w:val="16"/>
                  <w:color w:val="0000FF"/>
                </w:rPr>
                <w:t>under The Scotts Miracle-Gro Company Long-Term Incentive Plan</w:t>
              </w:r>
            </w:hyperlink>
          </w:p>
        </w:tc>
        <w:tc>
          <w:tcPr>
            <w:tcW w:w="80" w:type="dxa"/>
            <w:vAlign w:val="bottom"/>
            <w:gridSpan w:val="3"/>
          </w:tcPr>
          <w:p>
            <w:pPr>
              <w:spacing w:after="0"/>
              <w:rPr>
                <w:sz w:val="13"/>
                <w:szCs w:val="13"/>
                <w:color w:val="auto"/>
              </w:rPr>
            </w:pPr>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8"/>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10.3(d)†</w:t>
            </w:r>
          </w:p>
        </w:tc>
        <w:tc>
          <w:tcPr>
            <w:tcW w:w="20" w:type="dxa"/>
            <w:vAlign w:val="bottom"/>
          </w:tcPr>
          <w:p>
            <w:pPr>
              <w:spacing w:after="0"/>
              <w:rPr>
                <w:sz w:val="17"/>
                <w:szCs w:val="17"/>
                <w:color w:val="auto"/>
              </w:rPr>
            </w:pPr>
          </w:p>
        </w:tc>
        <w:tc>
          <w:tcPr>
            <w:tcW w:w="5960" w:type="dxa"/>
            <w:vAlign w:val="bottom"/>
            <w:gridSpan w:val="40"/>
          </w:tcPr>
          <w:p>
            <w:pPr>
              <w:spacing w:after="0" w:line="203" w:lineRule="exact"/>
              <w:rPr>
                <w:rFonts w:ascii="Arial" w:cs="Arial" w:eastAsia="Arial" w:hAnsi="Arial"/>
                <w:sz w:val="18"/>
                <w:szCs w:val="18"/>
                <w:color w:val="0000FF"/>
                <w:w w:val="94"/>
              </w:rPr>
            </w:pPr>
            <w:hyperlink r:id="rId174">
              <w:r>
                <w:rPr>
                  <w:rFonts w:ascii="Arial" w:cs="Arial" w:eastAsia="Arial" w:hAnsi="Arial"/>
                  <w:sz w:val="18"/>
                  <w:szCs w:val="18"/>
                  <w:color w:val="0000FF"/>
                  <w:w w:val="94"/>
                </w:rPr>
                <w:t>Form of Standard Non-Qualified Stock Option Award Agreement which may be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24"/>
          </w:tcPr>
          <w:p>
            <w:pPr>
              <w:spacing w:after="0" w:line="151" w:lineRule="exact"/>
              <w:rPr>
                <w:rFonts w:ascii="Arial" w:cs="Arial" w:eastAsia="Arial" w:hAnsi="Arial"/>
                <w:sz w:val="16"/>
                <w:szCs w:val="16"/>
                <w:color w:val="0000FF"/>
              </w:rPr>
            </w:pPr>
            <w:hyperlink r:id="rId174">
              <w:r>
                <w:rPr>
                  <w:rFonts w:ascii="Arial" w:cs="Arial" w:eastAsia="Arial" w:hAnsi="Arial"/>
                  <w:sz w:val="16"/>
                  <w:szCs w:val="16"/>
                  <w:color w:val="0000FF"/>
                </w:rPr>
                <w:t>made under The Scotts Miracle-Gro Company Long-Term Incentive Plan</w:t>
              </w:r>
            </w:hyperlink>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74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top w:val="single" w:sz="8" w:color="0000FF"/>
            </w:tcBorders>
            <w:gridSpan w:val="7"/>
          </w:tcPr>
          <w:p>
            <w:pPr>
              <w:ind w:left="4300"/>
              <w:spacing w:after="0"/>
              <w:rPr>
                <w:sz w:val="20"/>
                <w:szCs w:val="20"/>
                <w:color w:val="auto"/>
              </w:rPr>
            </w:pPr>
            <w:r>
              <w:rPr>
                <w:rFonts w:ascii="Arial" w:cs="Arial" w:eastAsia="Arial" w:hAnsi="Arial"/>
                <w:sz w:val="18"/>
                <w:szCs w:val="18"/>
                <w:color w:val="auto"/>
                <w:w w:val="79"/>
              </w:rPr>
              <w:t>110</w:t>
            </w: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9"/>
                <w:szCs w:val="19"/>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1"/>
        </w:trPr>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80" w:type="dxa"/>
            <w:vAlign w:val="bottom"/>
            <w:vMerge w:val="restart"/>
          </w:tcPr>
          <w:p>
            <w:pPr>
              <w:spacing w:after="0"/>
              <w:rPr>
                <w:sz w:val="13"/>
                <w:szCs w:val="13"/>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100" w:type="dxa"/>
            <w:vAlign w:val="bottom"/>
            <w:vMerge w:val="restart"/>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5"/>
        </w:trPr>
        <w:tc>
          <w:tcPr>
            <w:tcW w:w="720" w:type="dxa"/>
            <w:vAlign w:val="bottom"/>
            <w:gridSpan w:val="2"/>
          </w:tcPr>
          <w:p>
            <w:pPr>
              <w:jc w:val="center"/>
              <w:ind w:right="80"/>
              <w:spacing w:after="0" w:line="165"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65"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4"/>
                <w:szCs w:val="14"/>
                <w:color w:val="auto"/>
              </w:rPr>
            </w:pPr>
          </w:p>
        </w:tc>
        <w:tc>
          <w:tcPr>
            <w:tcW w:w="118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August 13,</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August 13,</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020" w:type="dxa"/>
            <w:vAlign w:val="bottom"/>
          </w:tcPr>
          <w:p>
            <w:pPr>
              <w:ind w:lef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July 11, 2018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10-Q   10</w:t>
            </w:r>
          </w:p>
        </w:tc>
        <w:tc>
          <w:tcPr>
            <w:tcW w:w="1240" w:type="dxa"/>
            <w:vAlign w:val="bottom"/>
          </w:tcPr>
          <w:p>
            <w:pPr>
              <w:ind w:left="480"/>
              <w:spacing w:after="0"/>
              <w:rPr>
                <w:sz w:val="20"/>
                <w:szCs w:val="20"/>
                <w:color w:val="auto"/>
              </w:rPr>
            </w:pPr>
            <w:r>
              <w:rPr>
                <w:rFonts w:ascii="Arial" w:cs="Arial" w:eastAsia="Arial" w:hAnsi="Arial"/>
                <w:sz w:val="18"/>
                <w:szCs w:val="18"/>
                <w:color w:val="auto"/>
                <w:w w:val="85"/>
              </w:rPr>
              <w:t>August 11,</w:t>
            </w:r>
          </w:p>
        </w:tc>
      </w:tr>
      <w:tr>
        <w:trPr>
          <w:trHeight w:val="222"/>
        </w:trPr>
        <w:tc>
          <w:tcPr>
            <w:tcW w:w="1260" w:type="dxa"/>
            <w:vAlign w:val="bottom"/>
          </w:tcPr>
          <w:p>
            <w:pPr>
              <w:spacing w:after="0"/>
              <w:rPr>
                <w:sz w:val="19"/>
                <w:szCs w:val="19"/>
                <w:color w:val="auto"/>
              </w:rPr>
            </w:pPr>
          </w:p>
        </w:tc>
        <w:tc>
          <w:tcPr>
            <w:tcW w:w="1240" w:type="dxa"/>
            <w:vAlign w:val="bottom"/>
          </w:tcPr>
          <w:p>
            <w:pPr>
              <w:ind w:left="480"/>
              <w:spacing w:after="0"/>
              <w:rPr>
                <w:sz w:val="20"/>
                <w:szCs w:val="20"/>
                <w:color w:val="auto"/>
              </w:rPr>
            </w:pPr>
            <w:r>
              <w:rPr>
                <w:rFonts w:ascii="Arial" w:cs="Arial" w:eastAsia="Arial" w:hAnsi="Arial"/>
                <w:sz w:val="18"/>
                <w:szCs w:val="18"/>
                <w:color w:val="auto"/>
              </w:rPr>
              <w:t>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10.2</w:t>
            </w:r>
          </w:p>
        </w:tc>
        <w:tc>
          <w:tcPr>
            <w:tcW w:w="1360" w:type="dxa"/>
            <w:vAlign w:val="bottom"/>
          </w:tcPr>
          <w:p>
            <w:pPr>
              <w:ind w:left="420"/>
              <w:spacing w:after="0"/>
              <w:rPr>
                <w:sz w:val="20"/>
                <w:szCs w:val="20"/>
                <w:color w:val="auto"/>
              </w:rPr>
            </w:pPr>
            <w:r>
              <w:rPr>
                <w:rFonts w:ascii="Arial" w:cs="Arial" w:eastAsia="Arial" w:hAnsi="Arial"/>
                <w:sz w:val="18"/>
                <w:szCs w:val="18"/>
                <w:color w:val="auto"/>
                <w:w w:val="85"/>
              </w:rPr>
              <w:t>July 11, 2018</w:t>
            </w:r>
          </w:p>
        </w:tc>
      </w:tr>
      <w:tr>
        <w:trPr>
          <w:trHeight w:val="856"/>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360" w:type="dxa"/>
            <w:vAlign w:val="bottom"/>
          </w:tcPr>
          <w:p>
            <w:pPr>
              <w:ind w:left="420"/>
              <w:spacing w:after="0"/>
              <w:rPr>
                <w:sz w:val="20"/>
                <w:szCs w:val="20"/>
                <w:color w:val="auto"/>
              </w:rPr>
            </w:pPr>
            <w:r>
              <w:rPr>
                <w:rFonts w:ascii="Arial" w:cs="Arial" w:eastAsia="Arial" w:hAnsi="Arial"/>
                <w:sz w:val="18"/>
                <w:szCs w:val="18"/>
                <w:color w:val="auto"/>
                <w:w w:val="97"/>
              </w:rPr>
              <w:t>January 24,</w:t>
            </w:r>
          </w:p>
        </w:tc>
      </w:tr>
      <w:tr>
        <w:trPr>
          <w:trHeight w:val="222"/>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ind w:left="420"/>
              <w:spacing w:after="0"/>
              <w:rPr>
                <w:sz w:val="20"/>
                <w:szCs w:val="20"/>
                <w:color w:val="auto"/>
              </w:rPr>
            </w:pPr>
            <w:r>
              <w:rPr>
                <w:rFonts w:ascii="Arial" w:cs="Arial" w:eastAsia="Arial" w:hAnsi="Arial"/>
                <w:sz w:val="18"/>
                <w:szCs w:val="18"/>
                <w:color w:val="auto"/>
              </w:rPr>
              <w:t>2013</w:t>
            </w:r>
          </w:p>
        </w:tc>
      </w:tr>
      <w:tr>
        <w:trPr>
          <w:trHeight w:val="394"/>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89"/>
              </w:rPr>
              <w:t>10-Q</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10.7</w:t>
            </w:r>
          </w:p>
        </w:tc>
        <w:tc>
          <w:tcPr>
            <w:tcW w:w="1360" w:type="dxa"/>
            <w:vAlign w:val="bottom"/>
          </w:tcPr>
          <w:p>
            <w:pPr>
              <w:ind w:left="420"/>
              <w:spacing w:after="0"/>
              <w:rPr>
                <w:sz w:val="20"/>
                <w:szCs w:val="20"/>
                <w:color w:val="auto"/>
              </w:rPr>
            </w:pPr>
            <w:r>
              <w:rPr>
                <w:rFonts w:ascii="Arial" w:cs="Arial" w:eastAsia="Arial" w:hAnsi="Arial"/>
                <w:sz w:val="18"/>
                <w:szCs w:val="18"/>
                <w:color w:val="auto"/>
                <w:w w:val="92"/>
              </w:rPr>
              <w:t>May 7, 2015</w:t>
            </w:r>
          </w:p>
        </w:tc>
      </w:tr>
      <w:tr>
        <w:trPr>
          <w:trHeight w:val="514"/>
        </w:trPr>
        <w:tc>
          <w:tcPr>
            <w:tcW w:w="480" w:type="dxa"/>
            <w:vAlign w:val="bottom"/>
          </w:tcPr>
          <w:p>
            <w:pPr>
              <w:jc w:val="center"/>
              <w:ind w:right="32"/>
              <w:spacing w:after="0"/>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10.1</w:t>
            </w:r>
          </w:p>
        </w:tc>
        <w:tc>
          <w:tcPr>
            <w:tcW w:w="1360" w:type="dxa"/>
            <w:vAlign w:val="bottom"/>
          </w:tcPr>
          <w:p>
            <w:pPr>
              <w:ind w:left="420"/>
              <w:spacing w:after="0"/>
              <w:rPr>
                <w:sz w:val="20"/>
                <w:szCs w:val="20"/>
                <w:color w:val="auto"/>
              </w:rPr>
            </w:pPr>
            <w:r>
              <w:rPr>
                <w:rFonts w:ascii="Arial" w:cs="Arial" w:eastAsia="Arial" w:hAnsi="Arial"/>
                <w:sz w:val="18"/>
                <w:szCs w:val="18"/>
                <w:color w:val="auto"/>
                <w:w w:val="97"/>
              </w:rPr>
              <w:t>January 30,</w:t>
            </w:r>
          </w:p>
        </w:tc>
      </w:tr>
      <w:tr>
        <w:trPr>
          <w:trHeight w:val="222"/>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ind w:left="420"/>
              <w:spacing w:after="0"/>
              <w:rPr>
                <w:sz w:val="20"/>
                <w:szCs w:val="20"/>
                <w:color w:val="auto"/>
              </w:rPr>
            </w:pPr>
            <w:r>
              <w:rPr>
                <w:rFonts w:ascii="Arial" w:cs="Arial" w:eastAsia="Arial" w:hAnsi="Arial"/>
                <w:sz w:val="18"/>
                <w:szCs w:val="18"/>
                <w:color w:val="auto"/>
              </w:rPr>
              <w:t>2017</w:t>
            </w:r>
          </w:p>
        </w:tc>
      </w:tr>
      <w:tr>
        <w:trPr>
          <w:trHeight w:val="172"/>
        </w:trPr>
        <w:tc>
          <w:tcPr>
            <w:tcW w:w="480" w:type="dxa"/>
            <w:vAlign w:val="bottom"/>
          </w:tcPr>
          <w:p>
            <w:pPr>
              <w:jc w:val="center"/>
              <w:ind w:right="32"/>
              <w:spacing w:after="0" w:line="172" w:lineRule="exact"/>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line="172" w:lineRule="exact"/>
              <w:rPr>
                <w:sz w:val="20"/>
                <w:szCs w:val="20"/>
                <w:color w:val="auto"/>
              </w:rPr>
            </w:pPr>
            <w:r>
              <w:rPr>
                <w:rFonts w:ascii="Arial" w:cs="Arial" w:eastAsia="Arial" w:hAnsi="Arial"/>
                <w:sz w:val="18"/>
                <w:szCs w:val="18"/>
                <w:color w:val="auto"/>
              </w:rPr>
              <w:t>10.2</w:t>
            </w:r>
          </w:p>
        </w:tc>
        <w:tc>
          <w:tcPr>
            <w:tcW w:w="1360" w:type="dxa"/>
            <w:vAlign w:val="bottom"/>
          </w:tcPr>
          <w:p>
            <w:pPr>
              <w:ind w:left="420"/>
              <w:spacing w:after="0" w:line="172" w:lineRule="exact"/>
              <w:rPr>
                <w:sz w:val="20"/>
                <w:szCs w:val="20"/>
                <w:color w:val="auto"/>
              </w:rPr>
            </w:pPr>
            <w:r>
              <w:rPr>
                <w:rFonts w:ascii="Arial" w:cs="Arial" w:eastAsia="Arial" w:hAnsi="Arial"/>
                <w:sz w:val="18"/>
                <w:szCs w:val="18"/>
                <w:color w:val="auto"/>
                <w:w w:val="97"/>
              </w:rPr>
              <w:t>January 30,</w:t>
            </w:r>
          </w:p>
        </w:tc>
      </w:tr>
      <w:tr>
        <w:trPr>
          <w:trHeight w:val="222"/>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ind w:left="420"/>
              <w:spacing w:after="0"/>
              <w:rPr>
                <w:sz w:val="20"/>
                <w:szCs w:val="20"/>
                <w:color w:val="auto"/>
              </w:rPr>
            </w:pPr>
            <w:r>
              <w:rPr>
                <w:rFonts w:ascii="Arial" w:cs="Arial" w:eastAsia="Arial" w:hAnsi="Arial"/>
                <w:sz w:val="18"/>
                <w:szCs w:val="18"/>
                <w:color w:val="auto"/>
              </w:rPr>
              <w:t>2017</w:t>
            </w:r>
          </w:p>
        </w:tc>
      </w:tr>
      <w:tr>
        <w:trPr>
          <w:trHeight w:val="172"/>
        </w:trPr>
        <w:tc>
          <w:tcPr>
            <w:tcW w:w="480" w:type="dxa"/>
            <w:vAlign w:val="bottom"/>
          </w:tcPr>
          <w:p>
            <w:pPr>
              <w:jc w:val="center"/>
              <w:ind w:right="32"/>
              <w:spacing w:after="0" w:line="172" w:lineRule="exact"/>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line="172" w:lineRule="exact"/>
              <w:rPr>
                <w:sz w:val="20"/>
                <w:szCs w:val="20"/>
                <w:color w:val="auto"/>
              </w:rPr>
            </w:pPr>
            <w:r>
              <w:rPr>
                <w:rFonts w:ascii="Arial" w:cs="Arial" w:eastAsia="Arial" w:hAnsi="Arial"/>
                <w:sz w:val="18"/>
                <w:szCs w:val="18"/>
                <w:color w:val="auto"/>
              </w:rPr>
              <w:t>10.1</w:t>
            </w:r>
          </w:p>
        </w:tc>
        <w:tc>
          <w:tcPr>
            <w:tcW w:w="1360" w:type="dxa"/>
            <w:vAlign w:val="bottom"/>
          </w:tcPr>
          <w:p>
            <w:pPr>
              <w:ind w:left="420"/>
              <w:spacing w:after="0" w:line="172" w:lineRule="exact"/>
              <w:rPr>
                <w:sz w:val="20"/>
                <w:szCs w:val="20"/>
                <w:color w:val="auto"/>
              </w:rPr>
            </w:pPr>
            <w:r>
              <w:rPr>
                <w:rFonts w:ascii="Arial" w:cs="Arial" w:eastAsia="Arial" w:hAnsi="Arial"/>
                <w:sz w:val="18"/>
                <w:szCs w:val="18"/>
                <w:color w:val="auto"/>
                <w:w w:val="97"/>
              </w:rPr>
              <w:t>January 30,</w:t>
            </w:r>
          </w:p>
        </w:tc>
      </w:tr>
      <w:tr>
        <w:trPr>
          <w:trHeight w:val="222"/>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ind w:left="420"/>
              <w:spacing w:after="0"/>
              <w:rPr>
                <w:sz w:val="20"/>
                <w:szCs w:val="20"/>
                <w:color w:val="auto"/>
              </w:rPr>
            </w:pPr>
            <w:r>
              <w:rPr>
                <w:rFonts w:ascii="Arial" w:cs="Arial" w:eastAsia="Arial" w:hAnsi="Arial"/>
                <w:sz w:val="18"/>
                <w:szCs w:val="18"/>
                <w:color w:val="auto"/>
              </w:rPr>
              <w:t>2019</w:t>
            </w:r>
          </w:p>
        </w:tc>
      </w:tr>
      <w:tr>
        <w:trPr>
          <w:trHeight w:val="172"/>
        </w:trPr>
        <w:tc>
          <w:tcPr>
            <w:tcW w:w="480" w:type="dxa"/>
            <w:vAlign w:val="bottom"/>
          </w:tcPr>
          <w:p>
            <w:pPr>
              <w:jc w:val="center"/>
              <w:ind w:right="32"/>
              <w:spacing w:after="0" w:line="172" w:lineRule="exact"/>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line="172" w:lineRule="exact"/>
              <w:rPr>
                <w:sz w:val="20"/>
                <w:szCs w:val="20"/>
                <w:color w:val="auto"/>
              </w:rPr>
            </w:pPr>
            <w:r>
              <w:rPr>
                <w:rFonts w:ascii="Arial" w:cs="Arial" w:eastAsia="Arial" w:hAnsi="Arial"/>
                <w:sz w:val="18"/>
                <w:szCs w:val="18"/>
                <w:color w:val="auto"/>
              </w:rPr>
              <w:t>10.4</w:t>
            </w:r>
          </w:p>
        </w:tc>
        <w:tc>
          <w:tcPr>
            <w:tcW w:w="1360" w:type="dxa"/>
            <w:vAlign w:val="bottom"/>
          </w:tcPr>
          <w:p>
            <w:pPr>
              <w:ind w:left="420"/>
              <w:spacing w:after="0" w:line="172" w:lineRule="exact"/>
              <w:rPr>
                <w:sz w:val="20"/>
                <w:szCs w:val="20"/>
                <w:color w:val="auto"/>
              </w:rPr>
            </w:pPr>
            <w:r>
              <w:rPr>
                <w:rFonts w:ascii="Arial" w:cs="Arial" w:eastAsia="Arial" w:hAnsi="Arial"/>
                <w:sz w:val="18"/>
                <w:szCs w:val="18"/>
                <w:color w:val="auto"/>
                <w:w w:val="97"/>
              </w:rPr>
              <w:t>January 30,</w:t>
            </w:r>
          </w:p>
        </w:tc>
      </w:tr>
      <w:tr>
        <w:trPr>
          <w:trHeight w:val="222"/>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ind w:left="420"/>
              <w:spacing w:after="0"/>
              <w:rPr>
                <w:sz w:val="20"/>
                <w:szCs w:val="20"/>
                <w:color w:val="auto"/>
              </w:rPr>
            </w:pPr>
            <w:r>
              <w:rPr>
                <w:rFonts w:ascii="Arial" w:cs="Arial" w:eastAsia="Arial" w:hAnsi="Arial"/>
                <w:sz w:val="18"/>
                <w:szCs w:val="18"/>
                <w:color w:val="auto"/>
              </w:rPr>
              <w:t>2017</w:t>
            </w:r>
          </w:p>
        </w:tc>
      </w:tr>
      <w:tr>
        <w:trPr>
          <w:trHeight w:val="172"/>
        </w:trPr>
        <w:tc>
          <w:tcPr>
            <w:tcW w:w="480" w:type="dxa"/>
            <w:vAlign w:val="bottom"/>
          </w:tcPr>
          <w:p>
            <w:pPr>
              <w:jc w:val="center"/>
              <w:ind w:right="32"/>
              <w:spacing w:after="0" w:line="172" w:lineRule="exact"/>
              <w:rPr>
                <w:sz w:val="20"/>
                <w:szCs w:val="20"/>
                <w:color w:val="auto"/>
              </w:rPr>
            </w:pPr>
            <w:r>
              <w:rPr>
                <w:rFonts w:ascii="Arial" w:cs="Arial" w:eastAsia="Arial" w:hAnsi="Arial"/>
                <w:sz w:val="18"/>
                <w:szCs w:val="18"/>
                <w:color w:val="auto"/>
                <w:w w:val="99"/>
              </w:rPr>
              <w:t>8-K</w:t>
            </w:r>
          </w:p>
        </w:tc>
        <w:tc>
          <w:tcPr>
            <w:tcW w:w="840" w:type="dxa"/>
            <w:vAlign w:val="bottom"/>
          </w:tcPr>
          <w:p>
            <w:pPr>
              <w:jc w:val="right"/>
              <w:ind w:right="332"/>
              <w:spacing w:after="0" w:line="172" w:lineRule="exact"/>
              <w:rPr>
                <w:sz w:val="20"/>
                <w:szCs w:val="20"/>
                <w:color w:val="auto"/>
              </w:rPr>
            </w:pPr>
            <w:r>
              <w:rPr>
                <w:rFonts w:ascii="Arial" w:cs="Arial" w:eastAsia="Arial" w:hAnsi="Arial"/>
                <w:sz w:val="18"/>
                <w:szCs w:val="18"/>
                <w:color w:val="auto"/>
              </w:rPr>
              <w:t>10.5</w:t>
            </w:r>
          </w:p>
        </w:tc>
        <w:tc>
          <w:tcPr>
            <w:tcW w:w="1360" w:type="dxa"/>
            <w:vAlign w:val="bottom"/>
          </w:tcPr>
          <w:p>
            <w:pPr>
              <w:ind w:left="420"/>
              <w:spacing w:after="0" w:line="172" w:lineRule="exact"/>
              <w:rPr>
                <w:sz w:val="20"/>
                <w:szCs w:val="20"/>
                <w:color w:val="auto"/>
              </w:rPr>
            </w:pPr>
            <w:r>
              <w:rPr>
                <w:rFonts w:ascii="Arial" w:cs="Arial" w:eastAsia="Arial" w:hAnsi="Arial"/>
                <w:sz w:val="18"/>
                <w:szCs w:val="18"/>
                <w:color w:val="auto"/>
                <w:w w:val="97"/>
              </w:rPr>
              <w:t>January 30,</w:t>
            </w:r>
          </w:p>
        </w:tc>
      </w:tr>
      <w:tr>
        <w:trPr>
          <w:trHeight w:val="222"/>
        </w:trPr>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ind w:left="420"/>
              <w:spacing w:after="0"/>
              <w:rPr>
                <w:sz w:val="20"/>
                <w:szCs w:val="20"/>
                <w:color w:val="auto"/>
              </w:rPr>
            </w:pPr>
            <w:r>
              <w:rPr>
                <w:rFonts w:ascii="Arial" w:cs="Arial" w:eastAsia="Arial" w:hAnsi="Arial"/>
                <w:sz w:val="18"/>
                <w:szCs w:val="18"/>
                <w:color w:val="auto"/>
              </w:rPr>
              <w:t>2017</w:t>
            </w:r>
          </w:p>
        </w:tc>
      </w:tr>
    </w:tbl>
    <w:p>
      <w:pPr>
        <w:sectPr>
          <w:pgSz w:w="11900" w:h="16838" w:orient="portrait"/>
          <w:cols w:equalWidth="0" w:num="2">
            <w:col w:w="7120" w:space="100"/>
            <w:col w:w="4020"/>
          </w:cols>
          <w:pgMar w:left="320" w:top="127" w:right="339" w:bottom="1440" w:gutter="0" w:footer="0" w:header="0"/>
        </w:sectPr>
      </w:pPr>
    </w:p>
    <w:bookmarkStart w:id="111" w:name="page112"/>
    <w:bookmarkEnd w:id="111"/>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80" w:type="dxa"/>
            <w:vAlign w:val="bottom"/>
            <w:gridSpan w:val="40"/>
            <w:vMerge w:val="restart"/>
          </w:tcPr>
          <w:p>
            <w:pPr>
              <w:ind w:left="2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40"/>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10.3(e)†</w:t>
            </w:r>
          </w:p>
        </w:tc>
        <w:tc>
          <w:tcPr>
            <w:tcW w:w="20" w:type="dxa"/>
            <w:vAlign w:val="bottom"/>
          </w:tcPr>
          <w:p>
            <w:pPr>
              <w:spacing w:after="0"/>
              <w:rPr>
                <w:sz w:val="15"/>
                <w:szCs w:val="15"/>
                <w:color w:val="auto"/>
              </w:rPr>
            </w:pPr>
          </w:p>
        </w:tc>
        <w:tc>
          <w:tcPr>
            <w:tcW w:w="5340" w:type="dxa"/>
            <w:vAlign w:val="bottom"/>
            <w:tcBorders>
              <w:bottom w:val="single" w:sz="8" w:color="0000FF"/>
            </w:tcBorders>
            <w:gridSpan w:val="18"/>
          </w:tcPr>
          <w:p>
            <w:pPr>
              <w:spacing w:after="0" w:line="177" w:lineRule="exact"/>
              <w:rPr>
                <w:rFonts w:ascii="Arial" w:cs="Arial" w:eastAsia="Arial" w:hAnsi="Arial"/>
                <w:sz w:val="18"/>
                <w:szCs w:val="18"/>
                <w:color w:val="0000FF"/>
                <w:w w:val="89"/>
              </w:rPr>
            </w:pPr>
            <w:hyperlink r:id="rId176">
              <w:r>
                <w:rPr>
                  <w:rFonts w:ascii="Arial" w:cs="Arial" w:eastAsia="Arial" w:hAnsi="Arial"/>
                  <w:sz w:val="18"/>
                  <w:szCs w:val="18"/>
                  <w:color w:val="0000FF"/>
                  <w:w w:val="89"/>
                </w:rPr>
                <w:t>Form of Deferred Stock Unit Award Agreement for Nonemployee Directors</w:t>
              </w:r>
            </w:hyperlink>
          </w:p>
        </w:tc>
        <w:tc>
          <w:tcPr>
            <w:tcW w:w="720" w:type="dxa"/>
            <w:vAlign w:val="bottom"/>
            <w:gridSpan w:val="30"/>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bottom w:val="single" w:sz="8" w:color="0000FF"/>
            </w:tcBorders>
            <w:gridSpan w:val="26"/>
          </w:tcPr>
          <w:p>
            <w:pPr>
              <w:spacing w:after="0" w:line="151" w:lineRule="exact"/>
              <w:rPr>
                <w:rFonts w:ascii="Arial" w:cs="Arial" w:eastAsia="Arial" w:hAnsi="Arial"/>
                <w:sz w:val="16"/>
                <w:szCs w:val="16"/>
                <w:color w:val="0000FF"/>
                <w:w w:val="99"/>
              </w:rPr>
            </w:pPr>
            <w:hyperlink r:id="rId176">
              <w:r>
                <w:rPr>
                  <w:rFonts w:ascii="Arial" w:cs="Arial" w:eastAsia="Arial" w:hAnsi="Arial"/>
                  <w:sz w:val="16"/>
                  <w:szCs w:val="16"/>
                  <w:color w:val="0000FF"/>
                  <w:w w:val="99"/>
                </w:rPr>
                <w:t>Retainer Deferrals (with Related Dividend Equivalents) used to evidence grants</w:t>
              </w:r>
            </w:hyperlink>
          </w:p>
        </w:tc>
        <w:tc>
          <w:tcPr>
            <w:tcW w:w="46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48"/>
          </w:tcPr>
          <w:p>
            <w:pPr>
              <w:spacing w:after="0" w:line="151" w:lineRule="exact"/>
              <w:rPr>
                <w:rFonts w:ascii="Arial" w:cs="Arial" w:eastAsia="Arial" w:hAnsi="Arial"/>
                <w:sz w:val="16"/>
                <w:szCs w:val="16"/>
                <w:color w:val="0000FF"/>
              </w:rPr>
            </w:pPr>
            <w:hyperlink r:id="rId176">
              <w:r>
                <w:rPr>
                  <w:rFonts w:ascii="Arial" w:cs="Arial" w:eastAsia="Arial" w:hAnsi="Arial"/>
                  <w:sz w:val="16"/>
                  <w:szCs w:val="16"/>
                  <w:color w:val="0000FF"/>
                </w:rPr>
                <w:t>which may be made under The Scotts Miracle-Gro Company Long-Term Incentive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top w:val="single" w:sz="8" w:color="0000FF"/>
              <w:bottom w:val="single" w:sz="8" w:color="0000FF"/>
            </w:tcBorders>
          </w:tcPr>
          <w:p>
            <w:pPr>
              <w:spacing w:after="0" w:line="151" w:lineRule="exact"/>
              <w:rPr>
                <w:rFonts w:ascii="Arial" w:cs="Arial" w:eastAsia="Arial" w:hAnsi="Arial"/>
                <w:sz w:val="16"/>
                <w:szCs w:val="16"/>
                <w:color w:val="0000FF"/>
                <w:w w:val="93"/>
              </w:rPr>
            </w:pPr>
            <w:hyperlink r:id="rId176">
              <w:r>
                <w:rPr>
                  <w:rFonts w:ascii="Arial" w:cs="Arial" w:eastAsia="Arial" w:hAnsi="Arial"/>
                  <w:sz w:val="16"/>
                  <w:szCs w:val="16"/>
                  <w:color w:val="0000FF"/>
                  <w:w w:val="93"/>
                </w:rPr>
                <w:t>Plan</w:t>
              </w:r>
            </w:hyperlink>
          </w:p>
        </w:tc>
        <w:tc>
          <w:tcPr>
            <w:tcW w:w="552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10.3(f)(i)†</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Form of Restricted Stock Unit Award Agreement for Third Party Service-Providers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tcBorders>
            <w:gridSpan w:val="41"/>
          </w:tcPr>
          <w:p>
            <w:pPr>
              <w:spacing w:after="0" w:line="151" w:lineRule="exact"/>
              <w:rPr>
                <w:rFonts w:ascii="Arial" w:cs="Arial" w:eastAsia="Arial" w:hAnsi="Arial"/>
                <w:sz w:val="16"/>
                <w:szCs w:val="16"/>
                <w:color w:val="0000FF"/>
              </w:rPr>
            </w:pPr>
            <w:hyperlink r:id="rId177">
              <w:r>
                <w:rPr>
                  <w:rFonts w:ascii="Arial" w:cs="Arial" w:eastAsia="Arial" w:hAnsi="Arial"/>
                  <w:sz w:val="16"/>
                  <w:szCs w:val="16"/>
                  <w:color w:val="0000FF"/>
                </w:rPr>
                <w:t>(with Related Dividend Equivalents) which may be used to evidence grants made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31"/>
          </w:tcPr>
          <w:p>
            <w:pPr>
              <w:spacing w:after="0" w:line="151" w:lineRule="exact"/>
              <w:rPr>
                <w:rFonts w:ascii="Arial" w:cs="Arial" w:eastAsia="Arial" w:hAnsi="Arial"/>
                <w:sz w:val="16"/>
                <w:szCs w:val="16"/>
                <w:color w:val="0000FF"/>
              </w:rPr>
            </w:pPr>
            <w:hyperlink r:id="rId177">
              <w:r>
                <w:rPr>
                  <w:rFonts w:ascii="Arial" w:cs="Arial" w:eastAsia="Arial" w:hAnsi="Arial"/>
                  <w:sz w:val="16"/>
                  <w:szCs w:val="16"/>
                  <w:color w:val="0000FF"/>
                </w:rPr>
                <w:t>under The Scotts Miracle-Gro Company Long-Term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10.3(f)(ii)†</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9"/>
              </w:rPr>
            </w:pPr>
            <w:hyperlink r:id="rId178">
              <w:r>
                <w:rPr>
                  <w:rFonts w:ascii="Arial" w:cs="Arial" w:eastAsia="Arial" w:hAnsi="Arial"/>
                  <w:sz w:val="18"/>
                  <w:szCs w:val="18"/>
                  <w:color w:val="0000FF"/>
                  <w:w w:val="99"/>
                </w:rPr>
                <w:t>Form of Standard Restricted Stock Unit Award Agreement for Nonemployee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21"/>
          </w:tcPr>
          <w:p>
            <w:pPr>
              <w:spacing w:after="0" w:line="151" w:lineRule="exact"/>
              <w:rPr>
                <w:rFonts w:ascii="Arial" w:cs="Arial" w:eastAsia="Arial" w:hAnsi="Arial"/>
                <w:sz w:val="16"/>
                <w:szCs w:val="16"/>
                <w:color w:val="0000FF"/>
                <w:w w:val="99"/>
              </w:rPr>
            </w:pPr>
            <w:hyperlink r:id="rId178">
              <w:r>
                <w:rPr>
                  <w:rFonts w:ascii="Arial" w:cs="Arial" w:eastAsia="Arial" w:hAnsi="Arial"/>
                  <w:sz w:val="16"/>
                  <w:szCs w:val="16"/>
                  <w:color w:val="0000FF"/>
                  <w:w w:val="99"/>
                </w:rPr>
                <w:t>Directors (with Related Dividend Equivalents) used to evidence grants which</w:t>
              </w:r>
            </w:hyperlink>
          </w:p>
        </w:tc>
        <w:tc>
          <w:tcPr>
            <w:tcW w:w="60" w:type="dxa"/>
            <w:vAlign w:val="bottom"/>
          </w:tcPr>
          <w:p>
            <w:pPr>
              <w:spacing w:after="0"/>
              <w:rPr>
                <w:sz w:val="13"/>
                <w:szCs w:val="13"/>
                <w:color w:val="auto"/>
              </w:rPr>
            </w:pPr>
          </w:p>
        </w:tc>
        <w:tc>
          <w:tcPr>
            <w:tcW w:w="600" w:type="dxa"/>
            <w:vAlign w:val="bottom"/>
            <w:gridSpan w:val="26"/>
          </w:tcPr>
          <w:p>
            <w:pPr>
              <w:ind w:left="20"/>
              <w:spacing w:after="0" w:line="151" w:lineRule="exact"/>
              <w:rPr>
                <w:rFonts w:ascii="Arial" w:cs="Arial" w:eastAsia="Arial" w:hAnsi="Arial"/>
                <w:sz w:val="16"/>
                <w:szCs w:val="16"/>
                <w:color w:val="0000FF"/>
              </w:rPr>
            </w:pPr>
            <w:hyperlink r:id="rId178">
              <w:r>
                <w:rPr>
                  <w:rFonts w:ascii="Arial" w:cs="Arial" w:eastAsia="Arial" w:hAnsi="Arial"/>
                  <w:sz w:val="16"/>
                  <w:szCs w:val="16"/>
                  <w:color w:val="0000FF"/>
                </w:rPr>
                <w:t>may</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35"/>
          </w:tcPr>
          <w:p>
            <w:pPr>
              <w:spacing w:after="0" w:line="151" w:lineRule="exact"/>
              <w:rPr>
                <w:rFonts w:ascii="Arial" w:cs="Arial" w:eastAsia="Arial" w:hAnsi="Arial"/>
                <w:sz w:val="16"/>
                <w:szCs w:val="16"/>
                <w:color w:val="0000FF"/>
              </w:rPr>
            </w:pPr>
            <w:hyperlink r:id="rId178">
              <w:r>
                <w:rPr>
                  <w:rFonts w:ascii="Arial" w:cs="Arial" w:eastAsia="Arial" w:hAnsi="Arial"/>
                  <w:sz w:val="16"/>
                  <w:szCs w:val="16"/>
                  <w:color w:val="0000FF"/>
                </w:rPr>
                <w:t>be made under The Scotts Miracle-Gro Company Long-Term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11"/>
          </w:tcPr>
          <w:p>
            <w:pPr>
              <w:spacing w:after="0" w:line="151" w:lineRule="exact"/>
              <w:rPr>
                <w:rFonts w:ascii="Arial" w:cs="Arial" w:eastAsia="Arial" w:hAnsi="Arial"/>
                <w:sz w:val="16"/>
                <w:szCs w:val="16"/>
                <w:color w:val="0000FF"/>
                <w:w w:val="98"/>
              </w:rPr>
            </w:pPr>
            <w:hyperlink r:id="rId178">
              <w:r>
                <w:rPr>
                  <w:rFonts w:ascii="Arial" w:cs="Arial" w:eastAsia="Arial" w:hAnsi="Arial"/>
                  <w:sz w:val="16"/>
                  <w:szCs w:val="16"/>
                  <w:color w:val="0000FF"/>
                  <w:w w:val="98"/>
                </w:rPr>
                <w:t>[January 30, 2014 through February 2, 2020]</w:t>
              </w:r>
            </w:hyperlink>
          </w:p>
        </w:tc>
        <w:tc>
          <w:tcPr>
            <w:tcW w:w="222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10.3(f)(iii)†</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Form of Standard Restricted Stock Form of Standard Restricted Stock Unit Award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34"/>
          </w:tcPr>
          <w:p>
            <w:pPr>
              <w:spacing w:after="0" w:line="151" w:lineRule="exact"/>
              <w:rPr>
                <w:rFonts w:ascii="Arial" w:cs="Arial" w:eastAsia="Arial" w:hAnsi="Arial"/>
                <w:sz w:val="16"/>
                <w:szCs w:val="16"/>
                <w:color w:val="0000FF"/>
              </w:rPr>
            </w:pPr>
            <w:hyperlink r:id="rId179">
              <w:r>
                <w:rPr>
                  <w:rFonts w:ascii="Arial" w:cs="Arial" w:eastAsia="Arial" w:hAnsi="Arial"/>
                  <w:sz w:val="16"/>
                  <w:szCs w:val="16"/>
                  <w:color w:val="0000FF"/>
                </w:rPr>
                <w:t>Agreement for Nonemployee Directors (with Related Dividend Equivalents) used</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32"/>
          </w:tcPr>
          <w:p>
            <w:pPr>
              <w:spacing w:after="0" w:line="151" w:lineRule="exact"/>
              <w:rPr>
                <w:rFonts w:ascii="Arial" w:cs="Arial" w:eastAsia="Arial" w:hAnsi="Arial"/>
                <w:sz w:val="16"/>
                <w:szCs w:val="16"/>
                <w:color w:val="0000FF"/>
              </w:rPr>
            </w:pPr>
            <w:hyperlink r:id="rId179">
              <w:r>
                <w:rPr>
                  <w:rFonts w:ascii="Arial" w:cs="Arial" w:eastAsia="Arial" w:hAnsi="Arial"/>
                  <w:sz w:val="16"/>
                  <w:szCs w:val="16"/>
                  <w:color w:val="0000FF"/>
                </w:rPr>
                <w:t>to evidence grants which may be made under The Scotts Miracle-Gro Company</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26"/>
          </w:tcPr>
          <w:p>
            <w:pPr>
              <w:spacing w:after="0" w:line="151" w:lineRule="exact"/>
              <w:rPr>
                <w:rFonts w:ascii="Arial" w:cs="Arial" w:eastAsia="Arial" w:hAnsi="Arial"/>
                <w:sz w:val="16"/>
                <w:szCs w:val="16"/>
                <w:color w:val="0000FF"/>
              </w:rPr>
            </w:pPr>
            <w:hyperlink r:id="rId179">
              <w:r>
                <w:rPr>
                  <w:rFonts w:ascii="Arial" w:cs="Arial" w:eastAsia="Arial" w:hAnsi="Arial"/>
                  <w:sz w:val="16"/>
                  <w:szCs w:val="16"/>
                  <w:color w:val="0000FF"/>
                </w:rPr>
                <w:t>Long-Term Incentive Plan [post-February 2,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10.4(a)†</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rPr>
            </w:pPr>
            <w:hyperlink r:id="rId180">
              <w:r>
                <w:rPr>
                  <w:rFonts w:ascii="Arial" w:cs="Arial" w:eastAsia="Arial" w:hAnsi="Arial"/>
                  <w:sz w:val="18"/>
                  <w:szCs w:val="18"/>
                  <w:color w:val="0000FF"/>
                </w:rPr>
                <w:t>The Scotts Company LLC Amended and Restated Executive Incentive Plan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7"/>
          </w:tcPr>
          <w:p>
            <w:pPr>
              <w:spacing w:after="0" w:line="151" w:lineRule="exact"/>
              <w:rPr>
                <w:rFonts w:ascii="Arial" w:cs="Arial" w:eastAsia="Arial" w:hAnsi="Arial"/>
                <w:sz w:val="16"/>
                <w:szCs w:val="16"/>
                <w:color w:val="0000FF"/>
              </w:rPr>
            </w:pPr>
            <w:hyperlink r:id="rId180">
              <w:r>
                <w:rPr>
                  <w:rFonts w:ascii="Arial" w:cs="Arial" w:eastAsia="Arial" w:hAnsi="Arial"/>
                  <w:sz w:val="16"/>
                  <w:szCs w:val="16"/>
                  <w:color w:val="0000FF"/>
                </w:rPr>
                <w:t>(effective as of October 1, 2019)</w:t>
              </w:r>
            </w:hyperlink>
          </w:p>
        </w:tc>
        <w:tc>
          <w:tcPr>
            <w:tcW w:w="4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10.4(b)†</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3"/>
              </w:rPr>
            </w:pPr>
            <w:hyperlink r:id="rId181">
              <w:r>
                <w:rPr>
                  <w:rFonts w:ascii="Arial" w:cs="Arial" w:eastAsia="Arial" w:hAnsi="Arial"/>
                  <w:sz w:val="18"/>
                  <w:szCs w:val="18"/>
                  <w:color w:val="0000FF"/>
                  <w:w w:val="93"/>
                </w:rPr>
                <w:t>Form of Employee Confidentiality, Noncompetition, Nonsolicitation Agreement for</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22"/>
          </w:tcPr>
          <w:p>
            <w:pPr>
              <w:spacing w:after="0" w:line="151" w:lineRule="exact"/>
              <w:rPr>
                <w:rFonts w:ascii="Arial" w:cs="Arial" w:eastAsia="Arial" w:hAnsi="Arial"/>
                <w:sz w:val="16"/>
                <w:szCs w:val="16"/>
                <w:color w:val="0000FF"/>
                <w:w w:val="99"/>
              </w:rPr>
            </w:pPr>
            <w:hyperlink r:id="rId181">
              <w:r>
                <w:rPr>
                  <w:rFonts w:ascii="Arial" w:cs="Arial" w:eastAsia="Arial" w:hAnsi="Arial"/>
                  <w:sz w:val="16"/>
                  <w:szCs w:val="16"/>
                  <w:color w:val="0000FF"/>
                  <w:w w:val="99"/>
                </w:rPr>
                <w:t>employees participating in The Scotts Company LLC Executive/Management</w:t>
              </w:r>
            </w:hyperlink>
          </w:p>
        </w:tc>
        <w:tc>
          <w:tcPr>
            <w:tcW w:w="56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48"/>
          </w:tcPr>
          <w:p>
            <w:pPr>
              <w:spacing w:after="0" w:line="151" w:lineRule="exact"/>
              <w:rPr>
                <w:rFonts w:ascii="Arial" w:cs="Arial" w:eastAsia="Arial" w:hAnsi="Arial"/>
                <w:sz w:val="16"/>
                <w:szCs w:val="16"/>
                <w:color w:val="0000FF"/>
              </w:rPr>
            </w:pPr>
            <w:hyperlink r:id="rId181">
              <w:r>
                <w:rPr>
                  <w:rFonts w:ascii="Arial" w:cs="Arial" w:eastAsia="Arial" w:hAnsi="Arial"/>
                  <w:sz w:val="16"/>
                  <w:szCs w:val="16"/>
                  <w:color w:val="0000FF"/>
                </w:rPr>
                <w:t>Incentive Plan (now known as The Scotts Company LLC Amended and Restated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6"/>
          </w:tcPr>
          <w:p>
            <w:pPr>
              <w:spacing w:after="0" w:line="151" w:lineRule="exact"/>
              <w:rPr>
                <w:rFonts w:ascii="Arial" w:cs="Arial" w:eastAsia="Arial" w:hAnsi="Arial"/>
                <w:sz w:val="16"/>
                <w:szCs w:val="16"/>
                <w:color w:val="0000FF"/>
              </w:rPr>
            </w:pPr>
            <w:hyperlink r:id="rId181">
              <w:r>
                <w:rPr>
                  <w:rFonts w:ascii="Arial" w:cs="Arial" w:eastAsia="Arial" w:hAnsi="Arial"/>
                  <w:sz w:val="16"/>
                  <w:szCs w:val="16"/>
                  <w:color w:val="0000FF"/>
                </w:rPr>
                <w:t>Executive Incentive Plan)</w:t>
              </w:r>
            </w:hyperlink>
          </w:p>
        </w:tc>
        <w:tc>
          <w:tcPr>
            <w:tcW w:w="38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0"/>
              </w:rPr>
            </w:pPr>
            <w:hyperlink r:id="rId182">
              <w:r>
                <w:rPr>
                  <w:rFonts w:ascii="Arial" w:cs="Arial" w:eastAsia="Arial" w:hAnsi="Arial"/>
                  <w:sz w:val="18"/>
                  <w:szCs w:val="18"/>
                  <w:color w:val="0000FF"/>
                  <w:w w:val="90"/>
                </w:rPr>
                <w:t>The Scotts Company LLC Executive Retirement Plan, as Amended and Restated as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13"/>
          </w:tcPr>
          <w:p>
            <w:pPr>
              <w:spacing w:after="0" w:line="151" w:lineRule="exact"/>
              <w:rPr>
                <w:rFonts w:ascii="Arial" w:cs="Arial" w:eastAsia="Arial" w:hAnsi="Arial"/>
                <w:sz w:val="16"/>
                <w:szCs w:val="16"/>
                <w:color w:val="0000FF"/>
                <w:w w:val="98"/>
              </w:rPr>
            </w:pPr>
            <w:hyperlink r:id="rId182">
              <w:r>
                <w:rPr>
                  <w:rFonts w:ascii="Arial" w:cs="Arial" w:eastAsia="Arial" w:hAnsi="Arial"/>
                  <w:sz w:val="16"/>
                  <w:szCs w:val="16"/>
                  <w:color w:val="0000FF"/>
                  <w:w w:val="98"/>
                </w:rPr>
                <w:t>of January 1, 2015 (executed December 31, 2014)</w:t>
              </w:r>
            </w:hyperlink>
          </w:p>
        </w:tc>
        <w:tc>
          <w:tcPr>
            <w:tcW w:w="238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10.6(a)†</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Employee Confidentiality, Noncompetition, Nonsolicitation Agreement, dated as of</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60" w:type="dxa"/>
            <w:vAlign w:val="bottom"/>
            <w:tcBorders>
              <w:top w:val="single" w:sz="8" w:color="0000FF"/>
            </w:tcBorders>
            <w:gridSpan w:val="43"/>
          </w:tcPr>
          <w:p>
            <w:pPr>
              <w:spacing w:after="0" w:line="151" w:lineRule="exact"/>
              <w:rPr>
                <w:rFonts w:ascii="Arial" w:cs="Arial" w:eastAsia="Arial" w:hAnsi="Arial"/>
                <w:sz w:val="16"/>
                <w:szCs w:val="16"/>
                <w:color w:val="0000FF"/>
              </w:rPr>
            </w:pPr>
            <w:hyperlink r:id="rId183">
              <w:r>
                <w:rPr>
                  <w:rFonts w:ascii="Arial" w:cs="Arial" w:eastAsia="Arial" w:hAnsi="Arial"/>
                  <w:sz w:val="16"/>
                  <w:szCs w:val="16"/>
                  <w:color w:val="0000FF"/>
                </w:rPr>
                <w:t>December 12, 2013, by and between The Scotts Company LLC, all companies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23"/>
          </w:tcPr>
          <w:p>
            <w:pPr>
              <w:spacing w:after="0" w:line="151" w:lineRule="exact"/>
              <w:rPr>
                <w:rFonts w:ascii="Arial" w:cs="Arial" w:eastAsia="Arial" w:hAnsi="Arial"/>
                <w:sz w:val="16"/>
                <w:szCs w:val="16"/>
                <w:color w:val="0000FF"/>
              </w:rPr>
            </w:pPr>
            <w:hyperlink r:id="rId183">
              <w:r>
                <w:rPr>
                  <w:rFonts w:ascii="Arial" w:cs="Arial" w:eastAsia="Arial" w:hAnsi="Arial"/>
                  <w:sz w:val="16"/>
                  <w:szCs w:val="16"/>
                  <w:color w:val="0000FF"/>
                </w:rPr>
                <w:t>controlled by, controlling or under common control with The Scotts Company</w:t>
              </w:r>
            </w:hyperlink>
          </w:p>
        </w:tc>
        <w:tc>
          <w:tcPr>
            <w:tcW w:w="540" w:type="dxa"/>
            <w:vAlign w:val="bottom"/>
            <w:gridSpan w:val="25"/>
          </w:tcPr>
          <w:p>
            <w:pPr>
              <w:spacing w:after="0" w:line="151" w:lineRule="exact"/>
              <w:rPr>
                <w:rFonts w:ascii="Arial" w:cs="Arial" w:eastAsia="Arial" w:hAnsi="Arial"/>
                <w:sz w:val="16"/>
                <w:szCs w:val="16"/>
                <w:color w:val="0000FF"/>
              </w:rPr>
            </w:pPr>
            <w:hyperlink r:id="rId183">
              <w:r>
                <w:rPr>
                  <w:rFonts w:ascii="Arial" w:cs="Arial" w:eastAsia="Arial" w:hAnsi="Arial"/>
                  <w:sz w:val="16"/>
                  <w:szCs w:val="16"/>
                  <w:color w:val="0000FF"/>
                </w:rPr>
                <w:t>LLC,</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tcBorders>
              <w:top w:val="single" w:sz="8" w:color="0000FF"/>
            </w:tcBorders>
            <w:gridSpan w:val="47"/>
          </w:tcPr>
          <w:p>
            <w:pPr>
              <w:spacing w:after="0" w:line="151" w:lineRule="exact"/>
              <w:rPr>
                <w:rFonts w:ascii="Arial" w:cs="Arial" w:eastAsia="Arial" w:hAnsi="Arial"/>
                <w:sz w:val="16"/>
                <w:szCs w:val="16"/>
                <w:color w:val="0000FF"/>
              </w:rPr>
            </w:pPr>
            <w:hyperlink r:id="rId183">
              <w:r>
                <w:rPr>
                  <w:rFonts w:ascii="Arial" w:cs="Arial" w:eastAsia="Arial" w:hAnsi="Arial"/>
                  <w:sz w:val="16"/>
                  <w:szCs w:val="16"/>
                  <w:color w:val="0000FF"/>
                </w:rPr>
                <w:t>and James Hagedorn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10.6(b)†</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1"/>
              </w:rPr>
            </w:pPr>
            <w:hyperlink r:id="rId184">
              <w:r>
                <w:rPr>
                  <w:rFonts w:ascii="Arial" w:cs="Arial" w:eastAsia="Arial" w:hAnsi="Arial"/>
                  <w:sz w:val="18"/>
                  <w:szCs w:val="18"/>
                  <w:color w:val="0000FF"/>
                  <w:w w:val="91"/>
                </w:rPr>
                <w:t>Executive Severance Agreement, dated as of December 11, 2013, by and between</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12"/>
          </w:tcPr>
          <w:p>
            <w:pPr>
              <w:spacing w:after="0" w:line="151" w:lineRule="exact"/>
              <w:rPr>
                <w:rFonts w:ascii="Arial" w:cs="Arial" w:eastAsia="Arial" w:hAnsi="Arial"/>
                <w:sz w:val="16"/>
                <w:szCs w:val="16"/>
                <w:color w:val="0000FF"/>
                <w:w w:val="98"/>
              </w:rPr>
            </w:pPr>
            <w:hyperlink r:id="rId184">
              <w:r>
                <w:rPr>
                  <w:rFonts w:ascii="Arial" w:cs="Arial" w:eastAsia="Arial" w:hAnsi="Arial"/>
                  <w:sz w:val="16"/>
                  <w:szCs w:val="16"/>
                  <w:color w:val="0000FF"/>
                  <w:w w:val="98"/>
                </w:rPr>
                <w:t>The Scotts Company LLC and James Hagedorn</w:t>
              </w:r>
            </w:hyperlink>
          </w:p>
        </w:tc>
        <w:tc>
          <w:tcPr>
            <w:tcW w:w="2400" w:type="dxa"/>
            <w:vAlign w:val="bottom"/>
            <w:tcBorders>
              <w:top w:val="single" w:sz="8" w:color="0000FF"/>
            </w:tcBorders>
            <w:gridSpan w:val="21"/>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10.7†</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3"/>
              </w:rPr>
            </w:pPr>
            <w:hyperlink r:id="rId185">
              <w:r>
                <w:rPr>
                  <w:rFonts w:ascii="Arial" w:cs="Arial" w:eastAsia="Arial" w:hAnsi="Arial"/>
                  <w:sz w:val="18"/>
                  <w:szCs w:val="18"/>
                  <w:color w:val="0000FF"/>
                  <w:w w:val="93"/>
                </w:rPr>
                <w:t>Summary of Compensation for Nonemployee Directors of The Scotts Miracle-Gro</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36"/>
          </w:tcPr>
          <w:p>
            <w:pPr>
              <w:spacing w:after="0" w:line="151" w:lineRule="exact"/>
              <w:rPr>
                <w:rFonts w:ascii="Arial" w:cs="Arial" w:eastAsia="Arial" w:hAnsi="Arial"/>
                <w:sz w:val="16"/>
                <w:szCs w:val="16"/>
                <w:color w:val="0000FF"/>
              </w:rPr>
            </w:pPr>
            <w:hyperlink r:id="rId185">
              <w:r>
                <w:rPr>
                  <w:rFonts w:ascii="Arial" w:cs="Arial" w:eastAsia="Arial" w:hAnsi="Arial"/>
                  <w:sz w:val="16"/>
                  <w:szCs w:val="16"/>
                  <w:color w:val="0000FF"/>
                </w:rPr>
                <w:t>Company (effective as of January 27,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10.8(a)†</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Consulting Agreement dated January 15, 2020, between The Scotts Company LLC</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tcBorders>
            <w:gridSpan w:val="38"/>
          </w:tcPr>
          <w:p>
            <w:pPr>
              <w:spacing w:after="0" w:line="151" w:lineRule="exact"/>
              <w:rPr>
                <w:rFonts w:ascii="Arial" w:cs="Arial" w:eastAsia="Arial" w:hAnsi="Arial"/>
                <w:sz w:val="16"/>
                <w:szCs w:val="16"/>
                <w:color w:val="0000FF"/>
              </w:rPr>
            </w:pPr>
            <w:hyperlink r:id="rId186">
              <w:r>
                <w:rPr>
                  <w:rFonts w:ascii="Arial" w:cs="Arial" w:eastAsia="Arial" w:hAnsi="Arial"/>
                  <w:sz w:val="16"/>
                  <w:szCs w:val="16"/>
                  <w:color w:val="0000FF"/>
                </w:rPr>
                <w:t>and Hanft Projects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10.8(b)†</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4"/>
              </w:rPr>
            </w:pPr>
            <w:hyperlink r:id="rId187">
              <w:r>
                <w:rPr>
                  <w:rFonts w:ascii="Arial" w:cs="Arial" w:eastAsia="Arial" w:hAnsi="Arial"/>
                  <w:sz w:val="18"/>
                  <w:szCs w:val="18"/>
                  <w:color w:val="0000FF"/>
                  <w:w w:val="94"/>
                </w:rPr>
                <w:t>Consulting Agreement, dated February 15, 2021, between The Scotts Company</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25"/>
          </w:tcPr>
          <w:p>
            <w:pPr>
              <w:spacing w:after="0" w:line="151" w:lineRule="exact"/>
              <w:rPr>
                <w:rFonts w:ascii="Arial" w:cs="Arial" w:eastAsia="Arial" w:hAnsi="Arial"/>
                <w:sz w:val="16"/>
                <w:szCs w:val="16"/>
                <w:color w:val="0000FF"/>
              </w:rPr>
            </w:pPr>
            <w:hyperlink r:id="rId187">
              <w:r>
                <w:rPr>
                  <w:rFonts w:ascii="Arial" w:cs="Arial" w:eastAsia="Arial" w:hAnsi="Arial"/>
                  <w:sz w:val="16"/>
                  <w:szCs w:val="16"/>
                  <w:color w:val="0000FF"/>
                </w:rPr>
                <w:t>LLC and Hanft Ideas LLC</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10.9(a)†</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4"/>
              </w:rPr>
            </w:pPr>
            <w:hyperlink r:id="rId188">
              <w:r>
                <w:rPr>
                  <w:rFonts w:ascii="Arial" w:cs="Arial" w:eastAsia="Arial" w:hAnsi="Arial"/>
                  <w:sz w:val="18"/>
                  <w:szCs w:val="18"/>
                  <w:color w:val="0000FF"/>
                  <w:w w:val="94"/>
                </w:rPr>
                <w:t>The Scotts Company LLC Executive Severance Plan, adopted on April 25, 2017</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10.9(b)†</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Form of Tier 1 Participation Agreement under The Scotts Company LLC Executive</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tcBorders>
            <w:gridSpan w:val="44"/>
          </w:tcPr>
          <w:p>
            <w:pPr>
              <w:spacing w:after="0" w:line="151" w:lineRule="exact"/>
              <w:rPr>
                <w:rFonts w:ascii="Arial" w:cs="Arial" w:eastAsia="Arial" w:hAnsi="Arial"/>
                <w:sz w:val="16"/>
                <w:szCs w:val="16"/>
                <w:color w:val="0000FF"/>
              </w:rPr>
            </w:pPr>
            <w:hyperlink r:id="rId189">
              <w:r>
                <w:rPr>
                  <w:rFonts w:ascii="Arial" w:cs="Arial" w:eastAsia="Arial" w:hAnsi="Arial"/>
                  <w:sz w:val="16"/>
                  <w:szCs w:val="16"/>
                  <w:color w:val="0000FF"/>
                </w:rPr>
                <w:t>Severance Plan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10.10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0"/>
              </w:rPr>
            </w:pPr>
            <w:hyperlink r:id="rId190">
              <w:r>
                <w:rPr>
                  <w:rFonts w:ascii="Arial" w:cs="Arial" w:eastAsia="Arial" w:hAnsi="Arial"/>
                  <w:sz w:val="18"/>
                  <w:szCs w:val="18"/>
                  <w:color w:val="0000FF"/>
                  <w:w w:val="90"/>
                </w:rPr>
                <w:t>Third Amended and Restated Exclusive Agency and Marketing Agreement, entered</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tcBorders>
            <w:gridSpan w:val="45"/>
          </w:tcPr>
          <w:p>
            <w:pPr>
              <w:spacing w:after="0" w:line="151" w:lineRule="exact"/>
              <w:rPr>
                <w:rFonts w:ascii="Arial" w:cs="Arial" w:eastAsia="Arial" w:hAnsi="Arial"/>
                <w:sz w:val="16"/>
                <w:szCs w:val="16"/>
                <w:color w:val="0000FF"/>
              </w:rPr>
            </w:pPr>
            <w:hyperlink r:id="rId190">
              <w:r>
                <w:rPr>
                  <w:rFonts w:ascii="Arial" w:cs="Arial" w:eastAsia="Arial" w:hAnsi="Arial"/>
                  <w:sz w:val="16"/>
                  <w:szCs w:val="16"/>
                  <w:color w:val="0000FF"/>
                </w:rPr>
                <w:t>into on July 29, 2019 and effective as of August 1, 2019, between Monsanto</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9"/>
          </w:tcPr>
          <w:p>
            <w:pPr>
              <w:spacing w:after="0" w:line="151" w:lineRule="exact"/>
              <w:rPr>
                <w:rFonts w:ascii="Arial" w:cs="Arial" w:eastAsia="Arial" w:hAnsi="Arial"/>
                <w:sz w:val="16"/>
                <w:szCs w:val="16"/>
                <w:color w:val="0000FF"/>
                <w:w w:val="99"/>
              </w:rPr>
            </w:pPr>
            <w:hyperlink r:id="rId190">
              <w:r>
                <w:rPr>
                  <w:rFonts w:ascii="Arial" w:cs="Arial" w:eastAsia="Arial" w:hAnsi="Arial"/>
                  <w:sz w:val="16"/>
                  <w:szCs w:val="16"/>
                  <w:color w:val="0000FF"/>
                  <w:w w:val="99"/>
                </w:rPr>
                <w:t>Company and The Scotts Company LLC</w:t>
              </w:r>
            </w:hyperlink>
          </w:p>
        </w:tc>
        <w:tc>
          <w:tcPr>
            <w:tcW w:w="2480" w:type="dxa"/>
            <w:vAlign w:val="bottom"/>
            <w:tcBorders>
              <w:top w:val="single" w:sz="8" w:color="0000FF"/>
            </w:tcBorders>
            <w:gridSpan w:val="10"/>
          </w:tcPr>
          <w:p>
            <w:pPr>
              <w:spacing w:after="0"/>
              <w:rPr>
                <w:sz w:val="13"/>
                <w:szCs w:val="13"/>
                <w:color w:val="auto"/>
              </w:rPr>
            </w:pPr>
          </w:p>
        </w:tc>
        <w:tc>
          <w:tcPr>
            <w:tcW w:w="200" w:type="dxa"/>
            <w:vAlign w:val="bottom"/>
            <w:gridSpan w:val="5"/>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Brand Extension Agreement Asset Purchase Agreement, entered into on July 29,</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tcBorders>
            <w:gridSpan w:val="28"/>
          </w:tcPr>
          <w:p>
            <w:pPr>
              <w:spacing w:after="0" w:line="151" w:lineRule="exact"/>
              <w:rPr>
                <w:rFonts w:ascii="Arial" w:cs="Arial" w:eastAsia="Arial" w:hAnsi="Arial"/>
                <w:sz w:val="16"/>
                <w:szCs w:val="16"/>
                <w:color w:val="0000FF"/>
              </w:rPr>
            </w:pPr>
            <w:hyperlink r:id="rId191">
              <w:r>
                <w:rPr>
                  <w:rFonts w:ascii="Arial" w:cs="Arial" w:eastAsia="Arial" w:hAnsi="Arial"/>
                  <w:sz w:val="16"/>
                  <w:szCs w:val="16"/>
                  <w:color w:val="0000FF"/>
                </w:rPr>
                <w:t>2019 and effective as of August 1, 2019, between Monsanto Company and The</w:t>
              </w:r>
            </w:hyperlink>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4"/>
          </w:tcPr>
          <w:p>
            <w:pPr>
              <w:spacing w:after="0" w:line="151" w:lineRule="exact"/>
              <w:rPr>
                <w:rFonts w:ascii="Arial" w:cs="Arial" w:eastAsia="Arial" w:hAnsi="Arial"/>
                <w:sz w:val="16"/>
                <w:szCs w:val="16"/>
                <w:color w:val="0000FF"/>
              </w:rPr>
            </w:pPr>
            <w:hyperlink r:id="rId191">
              <w:r>
                <w:rPr>
                  <w:rFonts w:ascii="Arial" w:cs="Arial" w:eastAsia="Arial" w:hAnsi="Arial"/>
                  <w:sz w:val="16"/>
                  <w:szCs w:val="16"/>
                  <w:color w:val="0000FF"/>
                </w:rPr>
                <w:t>Scotts Company LLC</w:t>
              </w:r>
            </w:hyperlink>
          </w:p>
        </w:tc>
        <w:tc>
          <w:tcPr>
            <w:tcW w:w="4020" w:type="dxa"/>
            <w:vAlign w:val="bottom"/>
            <w:tcBorders>
              <w:top w:val="single" w:sz="8" w:color="0000FF"/>
            </w:tcBorders>
            <w:gridSpan w:val="20"/>
          </w:tcPr>
          <w:p>
            <w:pPr>
              <w:spacing w:after="0"/>
              <w:rPr>
                <w:sz w:val="13"/>
                <w:szCs w:val="13"/>
                <w:color w:val="auto"/>
              </w:rPr>
            </w:pPr>
          </w:p>
        </w:tc>
        <w:tc>
          <w:tcPr>
            <w:tcW w:w="140" w:type="dxa"/>
            <w:vAlign w:val="bottom"/>
            <w:gridSpan w:val="6"/>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10.12(a)</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Master Repurchase Agreement, and Annex I thereto,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40"/>
          </w:tcPr>
          <w:p>
            <w:pPr>
              <w:spacing w:after="0" w:line="151" w:lineRule="exact"/>
              <w:rPr>
                <w:rFonts w:ascii="Arial" w:cs="Arial" w:eastAsia="Arial" w:hAnsi="Arial"/>
                <w:sz w:val="16"/>
                <w:szCs w:val="16"/>
                <w:color w:val="0000FF"/>
              </w:rPr>
            </w:pPr>
            <w:hyperlink r:id="rId192">
              <w:r>
                <w:rPr>
                  <w:rFonts w:ascii="Arial" w:cs="Arial" w:eastAsia="Arial" w:hAnsi="Arial"/>
                  <w:sz w:val="16"/>
                  <w:szCs w:val="16"/>
                  <w:color w:val="0000FF"/>
                </w:rPr>
                <w:t>U.A. (New York Branch), as agent and purchaser, and Sumitomo Mitsui Banking</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15"/>
          </w:tcPr>
          <w:p>
            <w:pPr>
              <w:spacing w:after="0" w:line="151" w:lineRule="exact"/>
              <w:rPr>
                <w:rFonts w:ascii="Arial" w:cs="Arial" w:eastAsia="Arial" w:hAnsi="Arial"/>
                <w:sz w:val="16"/>
                <w:szCs w:val="16"/>
                <w:color w:val="0000FF"/>
                <w:w w:val="99"/>
              </w:rPr>
            </w:pPr>
            <w:hyperlink r:id="rId192">
              <w:r>
                <w:rPr>
                  <w:rFonts w:ascii="Arial" w:cs="Arial" w:eastAsia="Arial" w:hAnsi="Arial"/>
                  <w:sz w:val="16"/>
                  <w:szCs w:val="16"/>
                  <w:color w:val="0000FF"/>
                  <w:w w:val="99"/>
                </w:rPr>
                <w:t>Corporation (New York Branch), as purchaser, dated as of April 7, 2017</w:t>
              </w:r>
            </w:hyperlink>
          </w:p>
        </w:tc>
        <w:tc>
          <w:tcPr>
            <w:tcW w:w="640" w:type="dxa"/>
            <w:vAlign w:val="bottom"/>
            <w:tcBorders>
              <w:top w:val="single" w:sz="8" w:color="0000FF"/>
            </w:tcBorders>
            <w:gridSpan w:val="15"/>
          </w:tcPr>
          <w:p>
            <w:pPr>
              <w:spacing w:after="0"/>
              <w:rPr>
                <w:sz w:val="13"/>
                <w:szCs w:val="13"/>
                <w:color w:val="auto"/>
              </w:rPr>
            </w:pPr>
          </w:p>
        </w:tc>
        <w:tc>
          <w:tcPr>
            <w:tcW w:w="18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10.12(b)</w:t>
            </w:r>
          </w:p>
        </w:tc>
        <w:tc>
          <w:tcPr>
            <w:tcW w:w="20" w:type="dxa"/>
            <w:vAlign w:val="bottom"/>
          </w:tcPr>
          <w:p>
            <w:pPr>
              <w:spacing w:after="0"/>
              <w:rPr>
                <w:sz w:val="17"/>
                <w:szCs w:val="17"/>
                <w:color w:val="auto"/>
              </w:rPr>
            </w:pPr>
          </w:p>
        </w:tc>
        <w:tc>
          <w:tcPr>
            <w:tcW w:w="6060" w:type="dxa"/>
            <w:vAlign w:val="bottom"/>
            <w:gridSpan w:val="48"/>
          </w:tcPr>
          <w:p>
            <w:pPr>
              <w:spacing w:after="0" w:line="203"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Amendment No. 1 to Master Repurchase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39"/>
          </w:tcPr>
          <w:p>
            <w:pPr>
              <w:spacing w:after="0" w:line="151" w:lineRule="exact"/>
              <w:rPr>
                <w:rFonts w:ascii="Arial" w:cs="Arial" w:eastAsia="Arial" w:hAnsi="Arial"/>
                <w:sz w:val="16"/>
                <w:szCs w:val="16"/>
                <w:color w:val="0000FF"/>
              </w:rPr>
            </w:pPr>
            <w:hyperlink r:id="rId193">
              <w:r>
                <w:rPr>
                  <w:rFonts w:ascii="Arial" w:cs="Arial" w:eastAsia="Arial" w:hAnsi="Arial"/>
                  <w:sz w:val="16"/>
                  <w:szCs w:val="16"/>
                  <w:color w:val="0000FF"/>
                </w:rPr>
                <w:t>U.A. (New York Branch), as agent and purchaser, and Sumitomo Mitsui Banking</w:t>
              </w:r>
            </w:hyperlink>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30"/>
          </w:tcPr>
          <w:p>
            <w:pPr>
              <w:spacing w:after="0" w:line="151" w:lineRule="exact"/>
              <w:rPr>
                <w:rFonts w:ascii="Arial" w:cs="Arial" w:eastAsia="Arial" w:hAnsi="Arial"/>
                <w:sz w:val="16"/>
                <w:szCs w:val="16"/>
                <w:color w:val="0000FF"/>
              </w:rPr>
            </w:pPr>
            <w:hyperlink r:id="rId193">
              <w:r>
                <w:rPr>
                  <w:rFonts w:ascii="Arial" w:cs="Arial" w:eastAsia="Arial" w:hAnsi="Arial"/>
                  <w:sz w:val="16"/>
                  <w:szCs w:val="16"/>
                  <w:color w:val="0000FF"/>
                </w:rPr>
                <w:t>Corporation (New York Branch), as purchaser, dated as of August 24, 2018</w:t>
              </w:r>
            </w:hyperlink>
          </w:p>
        </w:tc>
        <w:tc>
          <w:tcPr>
            <w:tcW w:w="3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742"/>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14"/>
          </w:tcPr>
          <w:p>
            <w:pPr>
              <w:ind w:left="4300"/>
              <w:spacing w:after="0"/>
              <w:rPr>
                <w:sz w:val="20"/>
                <w:szCs w:val="20"/>
                <w:color w:val="auto"/>
              </w:rPr>
            </w:pPr>
            <w:r>
              <w:rPr>
                <w:rFonts w:ascii="Arial" w:cs="Arial" w:eastAsia="Arial" w:hAnsi="Arial"/>
                <w:sz w:val="18"/>
                <w:szCs w:val="18"/>
                <w:color w:val="auto"/>
              </w:rPr>
              <w:t>111</w:t>
            </w: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54610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9"/>
                <w:szCs w:val="19"/>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1"/>
        </w:trPr>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80" w:type="dxa"/>
            <w:vAlign w:val="bottom"/>
            <w:vMerge w:val="restart"/>
          </w:tcPr>
          <w:p>
            <w:pPr>
              <w:spacing w:after="0"/>
              <w:rPr>
                <w:sz w:val="13"/>
                <w:szCs w:val="13"/>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100" w:type="dxa"/>
            <w:vAlign w:val="bottom"/>
            <w:vMerge w:val="restart"/>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5"/>
        </w:trPr>
        <w:tc>
          <w:tcPr>
            <w:tcW w:w="720" w:type="dxa"/>
            <w:vAlign w:val="bottom"/>
            <w:gridSpan w:val="2"/>
          </w:tcPr>
          <w:p>
            <w:pPr>
              <w:jc w:val="center"/>
              <w:ind w:right="80"/>
              <w:spacing w:after="0" w:line="165" w:lineRule="exact"/>
              <w:rPr>
                <w:sz w:val="20"/>
                <w:szCs w:val="20"/>
                <w:color w:val="auto"/>
              </w:rPr>
            </w:pPr>
            <w:r>
              <w:rPr>
                <w:rFonts w:ascii="Arial" w:cs="Arial" w:eastAsia="Arial" w:hAnsi="Arial"/>
                <w:sz w:val="18"/>
                <w:szCs w:val="18"/>
                <w:color w:val="auto"/>
                <w:w w:val="94"/>
              </w:rPr>
              <w:t>10-K</w:t>
            </w:r>
          </w:p>
        </w:tc>
        <w:tc>
          <w:tcPr>
            <w:tcW w:w="114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10.3(g)</w:t>
            </w:r>
          </w:p>
        </w:tc>
        <w:tc>
          <w:tcPr>
            <w:tcW w:w="118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November 29,</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10.3(h)(i)</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10.3(h)(ii)</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10.3(h)(iii)</w:t>
            </w: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November 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August 10,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February 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December 17,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December 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4"/>
              </w:rPr>
              <w:t>10-K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November 27,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February 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12, 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10, 2017</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July 31, 2019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July 31, 2019</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5"/>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April 13, 2017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7120" w:space="100"/>
            <w:col w:w="4020"/>
          </w:cols>
          <w:pgMar w:left="320" w:top="127" w:right="339" w:bottom="1440" w:gutter="0" w:footer="0" w:header="0"/>
        </w:sectPr>
      </w:pPr>
    </w:p>
    <w:bookmarkStart w:id="112" w:name="page113"/>
    <w:bookmarkEnd w:id="112"/>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80" w:type="dxa"/>
            <w:vAlign w:val="bottom"/>
            <w:gridSpan w:val="18"/>
            <w:vMerge w:val="restart"/>
          </w:tcPr>
          <w:p>
            <w:pPr>
              <w:ind w:left="6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gridSpan w:val="1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8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10.12(c)</w:t>
            </w:r>
          </w:p>
        </w:tc>
        <w:tc>
          <w:tcPr>
            <w:tcW w:w="20" w:type="dxa"/>
            <w:vAlign w:val="bottom"/>
          </w:tcPr>
          <w:p>
            <w:pPr>
              <w:spacing w:after="0"/>
              <w:rPr>
                <w:sz w:val="15"/>
                <w:szCs w:val="15"/>
                <w:color w:val="auto"/>
              </w:rPr>
            </w:pPr>
          </w:p>
        </w:tc>
        <w:tc>
          <w:tcPr>
            <w:tcW w:w="5920" w:type="dxa"/>
            <w:vAlign w:val="bottom"/>
            <w:gridSpan w:val="19"/>
          </w:tcPr>
          <w:p>
            <w:pPr>
              <w:spacing w:after="0" w:line="177" w:lineRule="exact"/>
              <w:rPr>
                <w:rFonts w:ascii="Arial" w:cs="Arial" w:eastAsia="Arial" w:hAnsi="Arial"/>
                <w:sz w:val="18"/>
                <w:szCs w:val="18"/>
                <w:color w:val="0000FF"/>
                <w:w w:val="89"/>
              </w:rPr>
            </w:pPr>
            <w:hyperlink r:id="rId195">
              <w:r>
                <w:rPr>
                  <w:rFonts w:ascii="Arial" w:cs="Arial" w:eastAsia="Arial" w:hAnsi="Arial"/>
                  <w:sz w:val="18"/>
                  <w:szCs w:val="18"/>
                  <w:color w:val="0000FF"/>
                  <w:w w:val="89"/>
                </w:rPr>
                <w:t>Amendment No. 2 to Master Repurchase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17"/>
          </w:tcPr>
          <w:p>
            <w:pPr>
              <w:spacing w:after="0" w:line="151" w:lineRule="exact"/>
              <w:rPr>
                <w:rFonts w:ascii="Arial" w:cs="Arial" w:eastAsia="Arial" w:hAnsi="Arial"/>
                <w:sz w:val="16"/>
                <w:szCs w:val="16"/>
                <w:color w:val="0000FF"/>
              </w:rPr>
            </w:pPr>
            <w:hyperlink r:id="rId195">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Arial" w:cs="Arial" w:eastAsia="Arial" w:hAnsi="Arial"/>
                <w:sz w:val="16"/>
                <w:szCs w:val="16"/>
                <w:color w:val="0000FF"/>
                <w:w w:val="98"/>
              </w:rPr>
            </w:pPr>
            <w:hyperlink r:id="rId195">
              <w:r>
                <w:rPr>
                  <w:rFonts w:ascii="Arial" w:cs="Arial" w:eastAsia="Arial" w:hAnsi="Arial"/>
                  <w:sz w:val="16"/>
                  <w:szCs w:val="16"/>
                  <w:color w:val="0000FF"/>
                  <w:w w:val="98"/>
                </w:rPr>
                <w:t>Corporation (New York Branch), as purchaser, dated as of August 21, 2020</w:t>
              </w:r>
            </w:hyperlink>
          </w:p>
        </w:tc>
        <w:tc>
          <w:tcPr>
            <w:tcW w:w="40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10.12(d)</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89"/>
              </w:rPr>
            </w:pPr>
            <w:hyperlink r:id="rId196">
              <w:r>
                <w:rPr>
                  <w:rFonts w:ascii="Arial" w:cs="Arial" w:eastAsia="Arial" w:hAnsi="Arial"/>
                  <w:sz w:val="18"/>
                  <w:szCs w:val="18"/>
                  <w:color w:val="0000FF"/>
                  <w:w w:val="89"/>
                </w:rPr>
                <w:t>Amendment No. 3 to Master Repurchase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17"/>
          </w:tcPr>
          <w:p>
            <w:pPr>
              <w:spacing w:after="0" w:line="151" w:lineRule="exact"/>
              <w:rPr>
                <w:rFonts w:ascii="Arial" w:cs="Arial" w:eastAsia="Arial" w:hAnsi="Arial"/>
                <w:sz w:val="16"/>
                <w:szCs w:val="16"/>
                <w:color w:val="0000FF"/>
              </w:rPr>
            </w:pPr>
            <w:hyperlink r:id="rId196">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Arial" w:cs="Arial" w:eastAsia="Arial" w:hAnsi="Arial"/>
                <w:sz w:val="16"/>
                <w:szCs w:val="16"/>
                <w:color w:val="0000FF"/>
                <w:w w:val="98"/>
              </w:rPr>
            </w:pPr>
            <w:hyperlink r:id="rId196">
              <w:r>
                <w:rPr>
                  <w:rFonts w:ascii="Arial" w:cs="Arial" w:eastAsia="Arial" w:hAnsi="Arial"/>
                  <w:sz w:val="16"/>
                  <w:szCs w:val="16"/>
                  <w:color w:val="0000FF"/>
                  <w:w w:val="98"/>
                </w:rPr>
                <w:t>Corporation (New York Branch), as purchaser, dated as of August 20, 2021</w:t>
              </w:r>
            </w:hyperlink>
          </w:p>
        </w:tc>
        <w:tc>
          <w:tcPr>
            <w:tcW w:w="400" w:type="dxa"/>
            <w:vAlign w:val="bottom"/>
            <w:tcBorders>
              <w:top w:val="single" w:sz="8" w:color="0000FF"/>
            </w:tcBorders>
            <w:gridSpan w:val="6"/>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10.13(a)</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6"/>
              </w:rPr>
            </w:pPr>
            <w:hyperlink r:id="rId197">
              <w:r>
                <w:rPr>
                  <w:rFonts w:ascii="Arial" w:cs="Arial" w:eastAsia="Arial" w:hAnsi="Arial"/>
                  <w:sz w:val="18"/>
                  <w:szCs w:val="18"/>
                  <w:color w:val="0000FF"/>
                  <w:w w:val="96"/>
                </w:rPr>
                <w:t>Master Framework Agreement with Coöperatieve Rabobank, U.A. (New York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0"/>
          </w:tcPr>
          <w:p>
            <w:pPr>
              <w:spacing w:after="0" w:line="151" w:lineRule="exact"/>
              <w:rPr>
                <w:rFonts w:ascii="Arial" w:cs="Arial" w:eastAsia="Arial" w:hAnsi="Arial"/>
                <w:sz w:val="16"/>
                <w:szCs w:val="16"/>
                <w:color w:val="0000FF"/>
              </w:rPr>
            </w:pPr>
            <w:hyperlink r:id="rId197">
              <w:r>
                <w:rPr>
                  <w:rFonts w:ascii="Arial" w:cs="Arial" w:eastAsia="Arial" w:hAnsi="Arial"/>
                  <w:sz w:val="16"/>
                  <w:szCs w:val="16"/>
                  <w:color w:val="0000FF"/>
                </w:rPr>
                <w:t>Branch), as agent and purchaser, and Sumitomo Mitsui Banking Corporation</w:t>
              </w:r>
            </w:hyperlink>
          </w:p>
        </w:tc>
        <w:tc>
          <w:tcPr>
            <w:tcW w:w="420" w:type="dxa"/>
            <w:vAlign w:val="bottom"/>
            <w:gridSpan w:val="9"/>
          </w:tcPr>
          <w:p>
            <w:pPr>
              <w:spacing w:after="0" w:line="151" w:lineRule="exact"/>
              <w:rPr>
                <w:rFonts w:ascii="Arial" w:cs="Arial" w:eastAsia="Arial" w:hAnsi="Arial"/>
                <w:sz w:val="16"/>
                <w:szCs w:val="16"/>
                <w:color w:val="0000FF"/>
              </w:rPr>
            </w:pPr>
            <w:hyperlink r:id="rId197">
              <w:r>
                <w:rPr>
                  <w:rFonts w:ascii="Arial" w:cs="Arial" w:eastAsia="Arial" w:hAnsi="Arial"/>
                  <w:sz w:val="16"/>
                  <w:szCs w:val="16"/>
                  <w:color w:val="0000FF"/>
                </w:rPr>
                <w:t>(New</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2"/>
          </w:tcPr>
          <w:p>
            <w:pPr>
              <w:spacing w:after="0" w:line="151" w:lineRule="exact"/>
              <w:rPr>
                <w:rFonts w:ascii="Arial" w:cs="Arial" w:eastAsia="Arial" w:hAnsi="Arial"/>
                <w:sz w:val="16"/>
                <w:szCs w:val="16"/>
                <w:color w:val="0000FF"/>
                <w:w w:val="98"/>
              </w:rPr>
            </w:pPr>
            <w:hyperlink r:id="rId197">
              <w:r>
                <w:rPr>
                  <w:rFonts w:ascii="Arial" w:cs="Arial" w:eastAsia="Arial" w:hAnsi="Arial"/>
                  <w:sz w:val="16"/>
                  <w:szCs w:val="16"/>
                  <w:color w:val="0000FF"/>
                  <w:w w:val="98"/>
                </w:rPr>
                <w:t>York Branch), as purchaser, dated as of April 7, 2017</w:t>
              </w:r>
            </w:hyperlink>
          </w:p>
        </w:tc>
        <w:tc>
          <w:tcPr>
            <w:tcW w:w="20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10.13(b)</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Amendment No. 1 to Master Framework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5"/>
          </w:tcPr>
          <w:p>
            <w:pPr>
              <w:spacing w:after="0" w:line="151" w:lineRule="exact"/>
              <w:rPr>
                <w:rFonts w:ascii="Arial" w:cs="Arial" w:eastAsia="Arial" w:hAnsi="Arial"/>
                <w:sz w:val="16"/>
                <w:szCs w:val="16"/>
                <w:color w:val="0000FF"/>
              </w:rPr>
            </w:pPr>
            <w:hyperlink r:id="rId198">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Arial" w:cs="Arial" w:eastAsia="Arial" w:hAnsi="Arial"/>
                <w:sz w:val="16"/>
                <w:szCs w:val="16"/>
                <w:color w:val="0000FF"/>
                <w:w w:val="98"/>
              </w:rPr>
            </w:pPr>
            <w:hyperlink r:id="rId198">
              <w:r>
                <w:rPr>
                  <w:rFonts w:ascii="Arial" w:cs="Arial" w:eastAsia="Arial" w:hAnsi="Arial"/>
                  <w:sz w:val="16"/>
                  <w:szCs w:val="16"/>
                  <w:color w:val="0000FF"/>
                  <w:w w:val="98"/>
                </w:rPr>
                <w:t>Corporation (New York Branch), as purchaser, dated as of August 25, 2017</w:t>
              </w:r>
            </w:hyperlink>
          </w:p>
        </w:tc>
        <w:tc>
          <w:tcPr>
            <w:tcW w:w="40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10.13(c)</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Amendment No. 2 to Master Framework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5"/>
          </w:tcPr>
          <w:p>
            <w:pPr>
              <w:spacing w:after="0" w:line="151" w:lineRule="exact"/>
              <w:rPr>
                <w:rFonts w:ascii="Arial" w:cs="Arial" w:eastAsia="Arial" w:hAnsi="Arial"/>
                <w:sz w:val="16"/>
                <w:szCs w:val="16"/>
                <w:color w:val="0000FF"/>
              </w:rPr>
            </w:pPr>
            <w:hyperlink r:id="rId199">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Arial" w:cs="Arial" w:eastAsia="Arial" w:hAnsi="Arial"/>
                <w:sz w:val="16"/>
                <w:szCs w:val="16"/>
                <w:color w:val="0000FF"/>
                <w:w w:val="98"/>
              </w:rPr>
            </w:pPr>
            <w:hyperlink r:id="rId199">
              <w:r>
                <w:rPr>
                  <w:rFonts w:ascii="Arial" w:cs="Arial" w:eastAsia="Arial" w:hAnsi="Arial"/>
                  <w:sz w:val="16"/>
                  <w:szCs w:val="16"/>
                  <w:color w:val="0000FF"/>
                  <w:w w:val="98"/>
                </w:rPr>
                <w:t>Corporation (New York Branch), as purchaser, dated as of August 24, 2018</w:t>
              </w:r>
            </w:hyperlink>
          </w:p>
        </w:tc>
        <w:tc>
          <w:tcPr>
            <w:tcW w:w="40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10.13(d)</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Amendment No. 3 to Master Framework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5"/>
          </w:tcPr>
          <w:p>
            <w:pPr>
              <w:spacing w:after="0" w:line="151" w:lineRule="exact"/>
              <w:rPr>
                <w:rFonts w:ascii="Arial" w:cs="Arial" w:eastAsia="Arial" w:hAnsi="Arial"/>
                <w:sz w:val="16"/>
                <w:szCs w:val="16"/>
                <w:color w:val="0000FF"/>
              </w:rPr>
            </w:pPr>
            <w:hyperlink r:id="rId200">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Arial" w:cs="Arial" w:eastAsia="Arial" w:hAnsi="Arial"/>
                <w:sz w:val="16"/>
                <w:szCs w:val="16"/>
                <w:color w:val="0000FF"/>
                <w:w w:val="98"/>
              </w:rPr>
            </w:pPr>
            <w:hyperlink r:id="rId200">
              <w:r>
                <w:rPr>
                  <w:rFonts w:ascii="Arial" w:cs="Arial" w:eastAsia="Arial" w:hAnsi="Arial"/>
                  <w:sz w:val="16"/>
                  <w:szCs w:val="16"/>
                  <w:color w:val="0000FF"/>
                  <w:w w:val="98"/>
                </w:rPr>
                <w:t>Corporation (New York Branch), as purchaser, dated as of August 23, 2019</w:t>
              </w:r>
            </w:hyperlink>
          </w:p>
        </w:tc>
        <w:tc>
          <w:tcPr>
            <w:tcW w:w="40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10.13(e)</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0"/>
              </w:rPr>
            </w:pPr>
            <w:hyperlink r:id="rId201">
              <w:r>
                <w:rPr>
                  <w:rFonts w:ascii="Arial" w:cs="Arial" w:eastAsia="Arial" w:hAnsi="Arial"/>
                  <w:sz w:val="18"/>
                  <w:szCs w:val="18"/>
                  <w:color w:val="0000FF"/>
                  <w:w w:val="90"/>
                </w:rPr>
                <w:t>Amendment No. 4 to Master Framework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5"/>
          </w:tcPr>
          <w:p>
            <w:pPr>
              <w:spacing w:after="0" w:line="151" w:lineRule="exact"/>
              <w:rPr>
                <w:rFonts w:ascii="Arial" w:cs="Arial" w:eastAsia="Arial" w:hAnsi="Arial"/>
                <w:sz w:val="16"/>
                <w:szCs w:val="16"/>
                <w:color w:val="0000FF"/>
              </w:rPr>
            </w:pPr>
            <w:hyperlink r:id="rId201">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51" w:lineRule="exact"/>
              <w:rPr>
                <w:rFonts w:ascii="Arial" w:cs="Arial" w:eastAsia="Arial" w:hAnsi="Arial"/>
                <w:sz w:val="16"/>
                <w:szCs w:val="16"/>
                <w:color w:val="0000FF"/>
                <w:w w:val="98"/>
              </w:rPr>
            </w:pPr>
            <w:hyperlink r:id="rId201">
              <w:r>
                <w:rPr>
                  <w:rFonts w:ascii="Arial" w:cs="Arial" w:eastAsia="Arial" w:hAnsi="Arial"/>
                  <w:sz w:val="16"/>
                  <w:szCs w:val="16"/>
                  <w:color w:val="0000FF"/>
                  <w:w w:val="98"/>
                </w:rPr>
                <w:t>Corporation (New York Branch), as purchaser, dated as of August 21, 2020</w:t>
              </w:r>
            </w:hyperlink>
          </w:p>
        </w:tc>
        <w:tc>
          <w:tcPr>
            <w:tcW w:w="400" w:type="dxa"/>
            <w:vAlign w:val="bottom"/>
            <w:tcBorders>
              <w:top w:val="single" w:sz="8" w:color="0000FF"/>
            </w:tcBorders>
            <w:gridSpan w:val="6"/>
          </w:tcPr>
          <w:p>
            <w:pPr>
              <w:spacing w:after="0"/>
              <w:rPr>
                <w:sz w:val="13"/>
                <w:szCs w:val="13"/>
                <w:color w:val="auto"/>
              </w:rPr>
            </w:pPr>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10.13(f)</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Amendment No. 5 to Master Framework Agreement with Coöperatieve Rabobank,</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5"/>
          </w:tcPr>
          <w:p>
            <w:pPr>
              <w:spacing w:after="0" w:line="151" w:lineRule="exact"/>
              <w:rPr>
                <w:rFonts w:ascii="Arial" w:cs="Arial" w:eastAsia="Arial" w:hAnsi="Arial"/>
                <w:sz w:val="16"/>
                <w:szCs w:val="16"/>
                <w:color w:val="0000FF"/>
              </w:rPr>
            </w:pPr>
            <w:hyperlink r:id="rId202">
              <w:r>
                <w:rPr>
                  <w:rFonts w:ascii="Arial" w:cs="Arial" w:eastAsia="Arial" w:hAnsi="Arial"/>
                  <w:sz w:val="16"/>
                  <w:szCs w:val="16"/>
                  <w:color w:val="0000FF"/>
                </w:rPr>
                <w:t>U.A. (New York Branch), as agent and purchaser, and Sumitomo Mitsui Banking</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13"/>
          </w:tcPr>
          <w:p>
            <w:pPr>
              <w:spacing w:after="0" w:line="151" w:lineRule="exact"/>
              <w:rPr>
                <w:rFonts w:ascii="Arial" w:cs="Arial" w:eastAsia="Arial" w:hAnsi="Arial"/>
                <w:sz w:val="16"/>
                <w:szCs w:val="16"/>
                <w:color w:val="0000FF"/>
              </w:rPr>
            </w:pPr>
            <w:hyperlink r:id="rId202">
              <w:r>
                <w:rPr>
                  <w:rFonts w:ascii="Arial" w:cs="Arial" w:eastAsia="Arial" w:hAnsi="Arial"/>
                  <w:sz w:val="16"/>
                  <w:szCs w:val="16"/>
                  <w:color w:val="0000FF"/>
                </w:rPr>
                <w:t>Corporation (New York Branch), as purchaser, dated as of August 20, 2021</w:t>
              </w:r>
            </w:hyperlink>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10.14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3"/>
          </w:tcPr>
          <w:p>
            <w:pPr>
              <w:spacing w:after="0" w:line="203"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Form of Aircraft Time Sharing Agreement for Executive Officers</w:t>
              </w:r>
            </w:hyperlink>
          </w:p>
        </w:tc>
        <w:tc>
          <w:tcPr>
            <w:tcW w:w="680" w:type="dxa"/>
            <w:vAlign w:val="bottom"/>
            <w:tcBorders>
              <w:top w:val="single" w:sz="8" w:color="0000FF"/>
            </w:tcBorders>
            <w:gridSpan w:val="3"/>
          </w:tcPr>
          <w:p>
            <w:pPr>
              <w:spacing w:after="0"/>
              <w:rPr>
                <w:sz w:val="17"/>
                <w:szCs w:val="17"/>
                <w:color w:val="auto"/>
              </w:rPr>
            </w:pPr>
          </w:p>
        </w:tc>
        <w:tc>
          <w:tcPr>
            <w:tcW w:w="6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10.15</w:t>
            </w:r>
            <w:r>
              <w:rPr>
                <w:rFonts w:ascii="Arial" w:cs="Arial" w:eastAsia="Arial" w:hAnsi="Arial"/>
                <w:sz w:val="22"/>
                <w:szCs w:val="22"/>
                <w:color w:val="auto"/>
                <w:vertAlign w:val="superscript"/>
              </w:rPr>
              <w:t>†</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87"/>
              </w:rPr>
            </w:pPr>
            <w:hyperlink r:id="rId204">
              <w:r>
                <w:rPr>
                  <w:rFonts w:ascii="Arial" w:cs="Arial" w:eastAsia="Arial" w:hAnsi="Arial"/>
                  <w:sz w:val="18"/>
                  <w:szCs w:val="18"/>
                  <w:color w:val="0000FF"/>
                  <w:w w:val="87"/>
                </w:rPr>
                <w:t>Retention Agreement, dated August 22, 2018, by and between The Scotts Company</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18"/>
          </w:tcPr>
          <w:p>
            <w:pPr>
              <w:spacing w:after="0" w:line="151" w:lineRule="exact"/>
              <w:rPr>
                <w:rFonts w:ascii="Arial" w:cs="Arial" w:eastAsia="Arial" w:hAnsi="Arial"/>
                <w:sz w:val="16"/>
                <w:szCs w:val="16"/>
                <w:color w:val="0000FF"/>
              </w:rPr>
            </w:pPr>
            <w:hyperlink r:id="rId204">
              <w:r>
                <w:rPr>
                  <w:rFonts w:ascii="Arial" w:cs="Arial" w:eastAsia="Arial" w:hAnsi="Arial"/>
                  <w:sz w:val="16"/>
                  <w:szCs w:val="16"/>
                  <w:color w:val="0000FF"/>
                </w:rPr>
                <w:t>LLC and Denise S. Stump</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6"/>
              </w:rPr>
            </w:pPr>
            <w:hyperlink r:id="rId205">
              <w:r>
                <w:rPr>
                  <w:rFonts w:ascii="Arial" w:cs="Arial" w:eastAsia="Arial" w:hAnsi="Arial"/>
                  <w:sz w:val="18"/>
                  <w:szCs w:val="18"/>
                  <w:color w:val="0000FF"/>
                  <w:w w:val="96"/>
                </w:rPr>
                <w:t>Purchase Agreement, dated as of March 11, 2021, by and among The Scotts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19"/>
          </w:tcPr>
          <w:p>
            <w:pPr>
              <w:spacing w:after="0" w:line="151" w:lineRule="exact"/>
              <w:rPr>
                <w:rFonts w:ascii="Arial" w:cs="Arial" w:eastAsia="Arial" w:hAnsi="Arial"/>
                <w:sz w:val="16"/>
                <w:szCs w:val="16"/>
                <w:color w:val="0000FF"/>
              </w:rPr>
            </w:pPr>
            <w:hyperlink r:id="rId205">
              <w:r>
                <w:rPr>
                  <w:rFonts w:ascii="Arial" w:cs="Arial" w:eastAsia="Arial" w:hAnsi="Arial"/>
                  <w:sz w:val="16"/>
                  <w:szCs w:val="16"/>
                  <w:color w:val="0000FF"/>
                </w:rPr>
                <w:t>Miracle-Gro Company, the guarantors named therein and J.P. Morgan Securities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11"/>
          </w:tcPr>
          <w:p>
            <w:pPr>
              <w:spacing w:after="0" w:line="151" w:lineRule="exact"/>
              <w:rPr>
                <w:rFonts w:ascii="Arial" w:cs="Arial" w:eastAsia="Arial" w:hAnsi="Arial"/>
                <w:sz w:val="16"/>
                <w:szCs w:val="16"/>
                <w:color w:val="0000FF"/>
              </w:rPr>
            </w:pPr>
            <w:hyperlink r:id="rId205">
              <w:r>
                <w:rPr>
                  <w:rFonts w:ascii="Arial" w:cs="Arial" w:eastAsia="Arial" w:hAnsi="Arial"/>
                  <w:sz w:val="16"/>
                  <w:szCs w:val="16"/>
                  <w:color w:val="0000FF"/>
                </w:rPr>
                <w:t>LLC, as representative of the several initial purchasers named therein</w:t>
              </w:r>
            </w:hyperlink>
          </w:p>
        </w:tc>
        <w:tc>
          <w:tcPr>
            <w:tcW w:w="6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95"/>
              </w:rPr>
            </w:pPr>
            <w:hyperlink r:id="rId206">
              <w:r>
                <w:rPr>
                  <w:rFonts w:ascii="Arial" w:cs="Arial" w:eastAsia="Arial" w:hAnsi="Arial"/>
                  <w:sz w:val="18"/>
                  <w:szCs w:val="18"/>
                  <w:color w:val="0000FF"/>
                  <w:w w:val="95"/>
                </w:rPr>
                <w:t>Purchase Agreement, dated as of August 10, 2021, by and among The Scotts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gridSpan w:val="19"/>
          </w:tcPr>
          <w:p>
            <w:pPr>
              <w:spacing w:after="0" w:line="151" w:lineRule="exact"/>
              <w:rPr>
                <w:rFonts w:ascii="Arial" w:cs="Arial" w:eastAsia="Arial" w:hAnsi="Arial"/>
                <w:sz w:val="16"/>
                <w:szCs w:val="16"/>
                <w:color w:val="0000FF"/>
              </w:rPr>
            </w:pPr>
            <w:hyperlink r:id="rId206">
              <w:r>
                <w:rPr>
                  <w:rFonts w:ascii="Arial" w:cs="Arial" w:eastAsia="Arial" w:hAnsi="Arial"/>
                  <w:sz w:val="16"/>
                  <w:szCs w:val="16"/>
                  <w:color w:val="0000FF"/>
                </w:rPr>
                <w:t>Miracle-Gro Company, the guarantors named therein and Wells Fargo Securities,</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12"/>
          </w:tcPr>
          <w:p>
            <w:pPr>
              <w:spacing w:after="0" w:line="151" w:lineRule="exact"/>
              <w:rPr>
                <w:rFonts w:ascii="Arial" w:cs="Arial" w:eastAsia="Arial" w:hAnsi="Arial"/>
                <w:sz w:val="16"/>
                <w:szCs w:val="16"/>
                <w:color w:val="0000FF"/>
              </w:rPr>
            </w:pPr>
            <w:hyperlink r:id="rId206">
              <w:r>
                <w:rPr>
                  <w:rFonts w:ascii="Arial" w:cs="Arial" w:eastAsia="Arial" w:hAnsi="Arial"/>
                  <w:sz w:val="16"/>
                  <w:szCs w:val="16"/>
                  <w:color w:val="0000FF"/>
                </w:rPr>
                <w:t>LLC, as representative of the several initial purchasers named therein</w:t>
              </w:r>
            </w:hyperlink>
          </w:p>
        </w:tc>
        <w:tc>
          <w:tcPr>
            <w:tcW w:w="1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8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10.18†</w:t>
            </w:r>
          </w:p>
        </w:tc>
        <w:tc>
          <w:tcPr>
            <w:tcW w:w="20" w:type="dxa"/>
            <w:vAlign w:val="bottom"/>
          </w:tcPr>
          <w:p>
            <w:pPr>
              <w:spacing w:after="0"/>
              <w:rPr>
                <w:sz w:val="17"/>
                <w:szCs w:val="17"/>
                <w:color w:val="auto"/>
              </w:rPr>
            </w:pPr>
          </w:p>
        </w:tc>
        <w:tc>
          <w:tcPr>
            <w:tcW w:w="5920" w:type="dxa"/>
            <w:vAlign w:val="bottom"/>
            <w:gridSpan w:val="19"/>
          </w:tcPr>
          <w:p>
            <w:pPr>
              <w:spacing w:after="0" w:line="203" w:lineRule="exact"/>
              <w:rPr>
                <w:rFonts w:ascii="Arial" w:cs="Arial" w:eastAsia="Arial" w:hAnsi="Arial"/>
                <w:sz w:val="18"/>
                <w:szCs w:val="18"/>
                <w:color w:val="0000FF"/>
                <w:w w:val="89"/>
              </w:rPr>
            </w:pPr>
            <w:hyperlink r:id="rId207">
              <w:r>
                <w:rPr>
                  <w:rFonts w:ascii="Arial" w:cs="Arial" w:eastAsia="Arial" w:hAnsi="Arial"/>
                  <w:sz w:val="18"/>
                  <w:szCs w:val="18"/>
                  <w:color w:val="0000FF"/>
                  <w:w w:val="89"/>
                </w:rPr>
                <w:t>Separation Agreement and Release of All Claims, effective as of January 22, 2021,</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5"/>
          </w:tcPr>
          <w:p>
            <w:pPr>
              <w:spacing w:after="0" w:line="151" w:lineRule="exact"/>
              <w:rPr>
                <w:rFonts w:ascii="Arial" w:cs="Arial" w:eastAsia="Arial" w:hAnsi="Arial"/>
                <w:sz w:val="16"/>
                <w:szCs w:val="16"/>
                <w:color w:val="0000FF"/>
                <w:w w:val="98"/>
              </w:rPr>
            </w:pPr>
            <w:hyperlink r:id="rId207">
              <w:r>
                <w:rPr>
                  <w:rFonts w:ascii="Arial" w:cs="Arial" w:eastAsia="Arial" w:hAnsi="Arial"/>
                  <w:sz w:val="16"/>
                  <w:szCs w:val="16"/>
                  <w:color w:val="0000FF"/>
                  <w:w w:val="98"/>
                </w:rPr>
                <w:t>by and between The Scotts Company LLC and Thomas Randal Coleman</w:t>
              </w:r>
            </w:hyperlink>
          </w:p>
        </w:tc>
        <w:tc>
          <w:tcPr>
            <w:tcW w:w="740" w:type="dxa"/>
            <w:vAlign w:val="bottom"/>
            <w:tcBorders>
              <w:top w:val="single" w:sz="8" w:color="0000FF"/>
            </w:tcBorders>
            <w:gridSpan w:val="11"/>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1200" w:right="260" w:hanging="1177"/>
        <w:spacing w:after="0" w:line="257" w:lineRule="auto"/>
        <w:tabs>
          <w:tab w:leader="none" w:pos="1200" w:val="left"/>
        </w:tabs>
        <w:numPr>
          <w:ilvl w:val="0"/>
          <w:numId w:val="40"/>
        </w:numPr>
        <w:rPr>
          <w:rFonts w:ascii="Arial" w:cs="Arial" w:eastAsia="Arial" w:hAnsi="Arial"/>
          <w:sz w:val="16"/>
          <w:szCs w:val="16"/>
          <w:u w:val="single" w:color="auto"/>
          <w:color w:val="0000FF"/>
        </w:rPr>
      </w:pPr>
      <w:hyperlink r:id="rId208">
        <w:r>
          <w:rPr>
            <w:rFonts w:ascii="Arial" w:cs="Arial" w:eastAsia="Arial" w:hAnsi="Arial"/>
            <w:sz w:val="16"/>
            <w:szCs w:val="16"/>
            <w:u w:val="single" w:color="auto"/>
            <w:color w:val="0000FF"/>
          </w:rPr>
          <w:t>Preferability Letter provided by Deloitte &amp; Touche LLP, the Registrant’s</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independent registered public accounting firm, to change in accounting principle</w:t>
        </w:r>
      </w:hyperlink>
    </w:p>
    <w:p>
      <w:pPr>
        <w:ind w:left="1200" w:hanging="1177"/>
        <w:spacing w:after="0"/>
        <w:tabs>
          <w:tab w:leader="none" w:pos="1200" w:val="left"/>
        </w:tabs>
        <w:numPr>
          <w:ilvl w:val="0"/>
          <w:numId w:val="41"/>
        </w:numPr>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Subsidiaries of The Scotts Miracle-Gro Company</w:t>
        </w:r>
      </w:hyperlink>
    </w:p>
    <w:p>
      <w:pPr>
        <w:spacing w:after="0" w:line="16" w:lineRule="exact"/>
        <w:rPr>
          <w:rFonts w:ascii="Arial" w:cs="Arial" w:eastAsia="Arial" w:hAnsi="Arial"/>
          <w:sz w:val="18"/>
          <w:szCs w:val="18"/>
          <w:u w:val="single" w:color="auto"/>
          <w:color w:val="0000FF"/>
        </w:rPr>
      </w:pPr>
    </w:p>
    <w:p>
      <w:pPr>
        <w:ind w:left="1200" w:hanging="1177"/>
        <w:spacing w:after="0"/>
        <w:tabs>
          <w:tab w:leader="none" w:pos="1200" w:val="left"/>
        </w:tabs>
        <w:numPr>
          <w:ilvl w:val="0"/>
          <w:numId w:val="41"/>
        </w:numPr>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Guarantor Subsidiaries</w:t>
        </w:r>
      </w:hyperlink>
    </w:p>
    <w:p>
      <w:pPr>
        <w:spacing w:after="0" w:line="16" w:lineRule="exact"/>
        <w:rPr>
          <w:rFonts w:ascii="Arial" w:cs="Arial" w:eastAsia="Arial" w:hAnsi="Arial"/>
          <w:sz w:val="18"/>
          <w:szCs w:val="18"/>
          <w:u w:val="single" w:color="auto"/>
          <w:color w:val="0000FF"/>
        </w:rPr>
      </w:pPr>
    </w:p>
    <w:p>
      <w:pPr>
        <w:ind w:left="1200" w:hanging="1177"/>
        <w:spacing w:after="0"/>
        <w:tabs>
          <w:tab w:leader="none" w:pos="1200" w:val="left"/>
        </w:tabs>
        <w:numPr>
          <w:ilvl w:val="0"/>
          <w:numId w:val="41"/>
        </w:numPr>
        <w:rPr>
          <w:rFonts w:ascii="Arial" w:cs="Arial" w:eastAsia="Arial" w:hAnsi="Arial"/>
          <w:sz w:val="16"/>
          <w:szCs w:val="16"/>
          <w:u w:val="single" w:color="auto"/>
          <w:color w:val="0000FF"/>
        </w:rPr>
      </w:pPr>
      <w:hyperlink w:anchor="page119">
        <w:r>
          <w:rPr>
            <w:rFonts w:ascii="Arial" w:cs="Arial" w:eastAsia="Arial" w:hAnsi="Arial"/>
            <w:sz w:val="16"/>
            <w:szCs w:val="16"/>
            <w:u w:val="single" w:color="auto"/>
            <w:color w:val="0000FF"/>
          </w:rPr>
          <w:t>Consent of Independent Registered Public Accounting Firm — Deloitte &amp; Touche</w:t>
        </w:r>
      </w:hyperlink>
    </w:p>
    <w:p>
      <w:pPr>
        <w:ind w:left="120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LLP</w:t>
        </w:r>
      </w:hyperlink>
    </w:p>
    <w:p>
      <w:pPr>
        <w:spacing w:after="0" w:line="2" w:lineRule="exact"/>
        <w:rPr>
          <w:rFonts w:ascii="Arial" w:cs="Arial" w:eastAsia="Arial" w:hAnsi="Arial"/>
          <w:sz w:val="18"/>
          <w:szCs w:val="18"/>
          <w:u w:val="single" w:color="auto"/>
          <w:color w:val="0000FF"/>
        </w:rPr>
      </w:pPr>
    </w:p>
    <w:p>
      <w:pPr>
        <w:ind w:left="1200" w:right="100" w:hanging="1177"/>
        <w:spacing w:after="0" w:line="227" w:lineRule="auto"/>
        <w:tabs>
          <w:tab w:leader="none" w:pos="1200" w:val="left"/>
        </w:tabs>
        <w:numPr>
          <w:ilvl w:val="0"/>
          <w:numId w:val="41"/>
        </w:numPr>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Powers of Attorney of Executive Officers and Directors of The Scotts Miracle-Gro</w:t>
        </w:r>
      </w:hyperlink>
      <w:r>
        <w:rPr>
          <w:rFonts w:ascii="Arial" w:cs="Arial" w:eastAsia="Arial" w:hAnsi="Arial"/>
          <w:sz w:val="18"/>
          <w:szCs w:val="18"/>
          <w:u w:val="single" w:color="auto"/>
          <w:color w:val="0000FF"/>
        </w:rPr>
        <w:t xml:space="preserve"> </w:t>
      </w:r>
      <w:hyperlink w:anchor="page120">
        <w:r>
          <w:rPr>
            <w:rFonts w:ascii="Arial" w:cs="Arial" w:eastAsia="Arial" w:hAnsi="Arial"/>
            <w:sz w:val="18"/>
            <w:szCs w:val="18"/>
            <w:u w:val="single" w:color="auto"/>
            <w:color w:val="0000FF"/>
          </w:rPr>
          <w:t>Company</w:t>
        </w:r>
      </w:hyperlink>
    </w:p>
    <w:p>
      <w:pPr>
        <w:spacing w:after="0" w:line="3" w:lineRule="exact"/>
        <w:rPr>
          <w:rFonts w:ascii="Arial" w:cs="Arial" w:eastAsia="Arial" w:hAnsi="Arial"/>
          <w:sz w:val="18"/>
          <w:szCs w:val="18"/>
          <w:color w:val="auto"/>
        </w:rPr>
      </w:pPr>
    </w:p>
    <w:p>
      <w:pPr>
        <w:ind w:left="20"/>
        <w:spacing w:after="0"/>
        <w:tabs>
          <w:tab w:leader="none" w:pos="118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32">
        <w:r>
          <w:rPr>
            <w:rFonts w:ascii="Arial" w:cs="Arial" w:eastAsia="Arial" w:hAnsi="Arial"/>
            <w:sz w:val="16"/>
            <w:szCs w:val="16"/>
            <w:u w:val="single" w:color="auto"/>
            <w:color w:val="0000FF"/>
          </w:rPr>
          <w:t>Rule 13a-14(a)/15d-14(a) Certifications (Principal Executive Officer)</w:t>
        </w:r>
      </w:hyperlink>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5500"/>
        <w:spacing w:after="0"/>
        <w:rPr>
          <w:sz w:val="20"/>
          <w:szCs w:val="20"/>
          <w:color w:val="auto"/>
        </w:rPr>
      </w:pPr>
      <w:r>
        <w:rPr>
          <w:rFonts w:ascii="Arial" w:cs="Arial" w:eastAsia="Arial" w:hAnsi="Arial"/>
          <w:sz w:val="18"/>
          <w:szCs w:val="18"/>
          <w:color w:val="auto"/>
        </w:rPr>
        <w:t>112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228"/>
        </w:trPr>
        <w:tc>
          <w:tcPr>
            <w:tcW w:w="29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9"/>
                <w:szCs w:val="19"/>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1"/>
        </w:trPr>
        <w:tc>
          <w:tcPr>
            <w:tcW w:w="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Form</w:t>
            </w:r>
          </w:p>
        </w:tc>
        <w:tc>
          <w:tcPr>
            <w:tcW w:w="80" w:type="dxa"/>
            <w:vAlign w:val="bottom"/>
            <w:vMerge w:val="restart"/>
          </w:tcPr>
          <w:p>
            <w:pPr>
              <w:spacing w:after="0"/>
              <w:rPr>
                <w:sz w:val="13"/>
                <w:szCs w:val="13"/>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100" w:type="dxa"/>
            <w:vAlign w:val="bottom"/>
            <w:vMerge w:val="restart"/>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65"/>
        </w:trPr>
        <w:tc>
          <w:tcPr>
            <w:tcW w:w="720" w:type="dxa"/>
            <w:vAlign w:val="bottom"/>
            <w:gridSpan w:val="2"/>
          </w:tcPr>
          <w:p>
            <w:pPr>
              <w:jc w:val="center"/>
              <w:ind w:right="80"/>
              <w:spacing w:after="0" w:line="165"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6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1180" w:type="dxa"/>
            <w:vAlign w:val="bottom"/>
            <w:gridSpan w:val="2"/>
          </w:tcPr>
          <w:p>
            <w:pPr>
              <w:ind w:left="20"/>
              <w:spacing w:after="0" w:line="165" w:lineRule="exact"/>
              <w:rPr>
                <w:sz w:val="20"/>
                <w:szCs w:val="20"/>
                <w:color w:val="auto"/>
              </w:rPr>
            </w:pPr>
            <w:r>
              <w:rPr>
                <w:rFonts w:ascii="Arial" w:cs="Arial" w:eastAsia="Arial" w:hAnsi="Arial"/>
                <w:sz w:val="18"/>
                <w:szCs w:val="18"/>
                <w:color w:val="auto"/>
              </w:rPr>
              <w:t>August 25,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April 13, 2017</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20,</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May 11, 2016</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August 24,</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720" w:type="dxa"/>
            <w:vAlign w:val="bottom"/>
            <w:gridSpan w:val="2"/>
          </w:tcPr>
          <w:p>
            <w:pPr>
              <w:jc w:val="center"/>
              <w:ind w:right="80"/>
              <w:spacing w:after="0" w:line="172" w:lineRule="exact"/>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line="17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118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March 17,</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August 13,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7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02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auto"/>
              </w:rPr>
              <w:t>January 28,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20" w:type="dxa"/>
            <w:vAlign w:val="bottom"/>
            <w:gridSpan w:val="2"/>
          </w:tcPr>
          <w:p>
            <w:pPr>
              <w:jc w:val="center"/>
              <w:ind w:right="80"/>
              <w:spacing w:after="0" w:line="186" w:lineRule="exact"/>
              <w:rPr>
                <w:sz w:val="20"/>
                <w:szCs w:val="20"/>
                <w:color w:val="auto"/>
              </w:rPr>
            </w:pPr>
            <w:r>
              <w:rPr>
                <w:rFonts w:ascii="Arial" w:cs="Arial" w:eastAsia="Arial" w:hAnsi="Arial"/>
                <w:sz w:val="18"/>
                <w:szCs w:val="18"/>
                <w:color w:val="auto"/>
                <w:w w:val="89"/>
              </w:rPr>
              <w:t>10-Q</w:t>
            </w:r>
          </w:p>
        </w:tc>
        <w:tc>
          <w:tcPr>
            <w:tcW w:w="1020" w:type="dxa"/>
            <w:vAlign w:val="bottom"/>
          </w:tcPr>
          <w:p>
            <w:pPr>
              <w:ind w:left="20"/>
              <w:spacing w:after="0" w:line="186"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6"/>
                <w:szCs w:val="16"/>
                <w:color w:val="auto"/>
              </w:rPr>
            </w:pPr>
          </w:p>
        </w:tc>
        <w:tc>
          <w:tcPr>
            <w:tcW w:w="1180" w:type="dxa"/>
            <w:vAlign w:val="bottom"/>
            <w:gridSpan w:val="2"/>
          </w:tcPr>
          <w:p>
            <w:pPr>
              <w:ind w:left="20"/>
              <w:spacing w:after="0" w:line="186" w:lineRule="exact"/>
              <w:rPr>
                <w:sz w:val="20"/>
                <w:szCs w:val="20"/>
                <w:color w:val="auto"/>
              </w:rPr>
            </w:pPr>
            <w:r>
              <w:rPr>
                <w:rFonts w:ascii="Arial" w:cs="Arial" w:eastAsia="Arial" w:hAnsi="Arial"/>
                <w:sz w:val="18"/>
                <w:szCs w:val="18"/>
                <w:color w:val="auto"/>
              </w:rPr>
              <w:t>February 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Arial" w:cs="Arial" w:eastAsia="Arial" w:hAnsi="Arial"/>
          <w:sz w:val="18"/>
          <w:szCs w:val="18"/>
          <w:color w:val="auto"/>
        </w:rPr>
        <w:t>2020</w:t>
      </w:r>
    </w:p>
    <w:p>
      <w:pPr>
        <w:spacing w:after="0" w:line="2" w:lineRule="exact"/>
        <w:rPr>
          <w:rFonts w:ascii="Arial" w:cs="Arial" w:eastAsia="Arial" w:hAnsi="Arial"/>
          <w:sz w:val="18"/>
          <w:szCs w:val="18"/>
          <w:color w:val="auto"/>
        </w:rPr>
      </w:pPr>
    </w:p>
    <w:p>
      <w:pPr>
        <w:ind w:left="3460"/>
        <w:spacing w:after="0"/>
        <w:rPr>
          <w:sz w:val="20"/>
          <w:szCs w:val="20"/>
          <w:color w:val="auto"/>
        </w:rPr>
      </w:pPr>
      <w:r>
        <w:rPr>
          <w:rFonts w:ascii="Arial" w:cs="Arial" w:eastAsia="Arial" w:hAnsi="Arial"/>
          <w:sz w:val="18"/>
          <w:szCs w:val="18"/>
          <w:color w:val="auto"/>
        </w:rPr>
        <w:t>X</w:t>
      </w:r>
    </w:p>
    <w:p>
      <w:pPr>
        <w:spacing w:after="0" w:line="16" w:lineRule="exact"/>
        <w:rPr>
          <w:rFonts w:ascii="Arial" w:cs="Arial" w:eastAsia="Arial" w:hAnsi="Arial"/>
          <w:sz w:val="18"/>
          <w:szCs w:val="18"/>
          <w:color w:val="auto"/>
        </w:rPr>
      </w:pPr>
    </w:p>
    <w:p>
      <w:pPr>
        <w:ind w:left="3460"/>
        <w:spacing w:after="0"/>
        <w:rPr>
          <w:sz w:val="20"/>
          <w:szCs w:val="20"/>
          <w:color w:val="auto"/>
        </w:rPr>
      </w:pPr>
      <w:r>
        <w:rPr>
          <w:rFonts w:ascii="Arial" w:cs="Arial" w:eastAsia="Arial" w:hAnsi="Arial"/>
          <w:sz w:val="18"/>
          <w:szCs w:val="18"/>
          <w:color w:val="auto"/>
        </w:rPr>
        <w:t>X</w:t>
      </w:r>
    </w:p>
    <w:p>
      <w:pPr>
        <w:spacing w:after="0" w:line="16" w:lineRule="exact"/>
        <w:rPr>
          <w:rFonts w:ascii="Arial" w:cs="Arial" w:eastAsia="Arial" w:hAnsi="Arial"/>
          <w:sz w:val="18"/>
          <w:szCs w:val="18"/>
          <w:color w:val="auto"/>
        </w:rPr>
      </w:pPr>
    </w:p>
    <w:p>
      <w:pPr>
        <w:ind w:left="3460"/>
        <w:spacing w:after="0"/>
        <w:rPr>
          <w:sz w:val="20"/>
          <w:szCs w:val="20"/>
          <w:color w:val="auto"/>
        </w:rPr>
      </w:pPr>
      <w:r>
        <w:rPr>
          <w:rFonts w:ascii="Arial" w:cs="Arial" w:eastAsia="Arial" w:hAnsi="Arial"/>
          <w:sz w:val="18"/>
          <w:szCs w:val="18"/>
          <w:color w:val="auto"/>
        </w:rPr>
        <w:t>X</w:t>
      </w:r>
    </w:p>
    <w:p>
      <w:pPr>
        <w:spacing w:after="0" w:line="187" w:lineRule="exact"/>
        <w:rPr>
          <w:rFonts w:ascii="Arial" w:cs="Arial" w:eastAsia="Arial" w:hAnsi="Arial"/>
          <w:sz w:val="18"/>
          <w:szCs w:val="18"/>
          <w:color w:val="auto"/>
        </w:rPr>
      </w:pPr>
    </w:p>
    <w:p>
      <w:pPr>
        <w:ind w:left="3460"/>
        <w:spacing w:after="0"/>
        <w:rPr>
          <w:sz w:val="20"/>
          <w:szCs w:val="20"/>
          <w:color w:val="auto"/>
        </w:rPr>
      </w:pPr>
      <w:r>
        <w:rPr>
          <w:rFonts w:ascii="Arial" w:cs="Arial" w:eastAsia="Arial" w:hAnsi="Arial"/>
          <w:sz w:val="18"/>
          <w:szCs w:val="18"/>
          <w:color w:val="auto"/>
        </w:rPr>
        <w:t>X</w:t>
      </w:r>
    </w:p>
    <w:p>
      <w:pPr>
        <w:spacing w:after="0" w:line="187" w:lineRule="exact"/>
        <w:rPr>
          <w:rFonts w:ascii="Arial" w:cs="Arial" w:eastAsia="Arial" w:hAnsi="Arial"/>
          <w:sz w:val="18"/>
          <w:szCs w:val="18"/>
          <w:color w:val="auto"/>
        </w:rPr>
      </w:pPr>
    </w:p>
    <w:p>
      <w:pPr>
        <w:ind w:left="346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120" w:space="100"/>
            <w:col w:w="4020"/>
          </w:cols>
          <w:pgMar w:left="320" w:top="12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2"/>
        </w:trPr>
        <w:tc>
          <w:tcPr>
            <w:tcW w:w="7220" w:type="dxa"/>
            <w:vAlign w:val="bottom"/>
            <w:gridSpan w:val="8"/>
          </w:tcPr>
          <w:p>
            <w:pPr>
              <w:spacing w:after="0"/>
              <w:rPr>
                <w:rFonts w:ascii="Arial" w:cs="Arial" w:eastAsia="Arial" w:hAnsi="Arial"/>
                <w:sz w:val="18"/>
                <w:szCs w:val="18"/>
                <w:color w:val="FFFFFF"/>
              </w:rPr>
            </w:pPr>
            <w:hyperlink w:anchor="page1">
              <w:r>
                <w:rPr>
                  <w:rFonts w:ascii="Arial" w:cs="Arial" w:eastAsia="Arial" w:hAnsi="Arial"/>
                  <w:sz w:val="18"/>
                  <w:szCs w:val="18"/>
                  <w:color w:val="FFFFFF"/>
                </w:rPr>
                <w:t>Table of Contents</w:t>
              </w:r>
            </w:hyperlink>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8"/>
        </w:trPr>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24"/>
                <w:szCs w:val="24"/>
                <w:color w:val="auto"/>
              </w:rPr>
            </w:pP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1"/>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360" w:type="dxa"/>
            <w:vAlign w:val="bottom"/>
            <w:gridSpan w:val="3"/>
            <w:vMerge w:val="restart"/>
          </w:tcPr>
          <w:p>
            <w:pPr>
              <w:ind w:left="1960"/>
              <w:spacing w:after="0"/>
              <w:rPr>
                <w:sz w:val="20"/>
                <w:szCs w:val="20"/>
                <w:color w:val="auto"/>
              </w:rPr>
            </w:pPr>
            <w:r>
              <w:rPr>
                <w:rFonts w:ascii="Arial" w:cs="Arial" w:eastAsia="Arial" w:hAnsi="Arial"/>
                <w:sz w:val="18"/>
                <w:szCs w:val="18"/>
                <w:b w:val="1"/>
                <w:bCs w:val="1"/>
                <w:color w:val="auto"/>
              </w:rPr>
              <w:t>Description</w:t>
            </w:r>
          </w:p>
        </w:tc>
        <w:tc>
          <w:tcPr>
            <w:tcW w:w="100" w:type="dxa"/>
            <w:vAlign w:val="bottom"/>
            <w:vMerge w:val="restart"/>
          </w:tcPr>
          <w:p>
            <w:pPr>
              <w:spacing w:after="0"/>
              <w:rPr>
                <w:sz w:val="13"/>
                <w:szCs w:val="13"/>
                <w:color w:val="auto"/>
              </w:rPr>
            </w:pPr>
          </w:p>
        </w:tc>
        <w:tc>
          <w:tcPr>
            <w:tcW w:w="6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Form</w:t>
            </w:r>
          </w:p>
        </w:tc>
        <w:tc>
          <w:tcPr>
            <w:tcW w:w="80" w:type="dxa"/>
            <w:vAlign w:val="bottom"/>
            <w:vMerge w:val="restart"/>
          </w:tcPr>
          <w:p>
            <w:pPr>
              <w:spacing w:after="0"/>
              <w:rPr>
                <w:sz w:val="13"/>
                <w:szCs w:val="13"/>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Filing Date</w:t>
            </w:r>
          </w:p>
        </w:tc>
        <w:tc>
          <w:tcPr>
            <w:tcW w:w="100" w:type="dxa"/>
            <w:vAlign w:val="bottom"/>
            <w:vMerge w:val="restart"/>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360" w:type="dxa"/>
            <w:vAlign w:val="bottom"/>
            <w:tcBorders>
              <w:bottom w:val="single" w:sz="8" w:color="auto"/>
            </w:tcBorders>
            <w:gridSpan w:val="3"/>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177"/>
        </w:trPr>
        <w:tc>
          <w:tcPr>
            <w:tcW w:w="1080" w:type="dxa"/>
            <w:vAlign w:val="bottom"/>
          </w:tcPr>
          <w:p>
            <w:pPr>
              <w:ind w:left="20"/>
              <w:spacing w:after="0" w:line="177"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tcBorders>
              <w:bottom w:val="single" w:sz="8" w:color="0000FF"/>
            </w:tcBorders>
            <w:gridSpan w:val="2"/>
          </w:tcPr>
          <w:p>
            <w:pPr>
              <w:spacing w:after="0" w:line="177" w:lineRule="exact"/>
              <w:rPr>
                <w:rFonts w:ascii="Arial" w:cs="Arial" w:eastAsia="Arial" w:hAnsi="Arial"/>
                <w:sz w:val="18"/>
                <w:szCs w:val="18"/>
                <w:color w:val="0000FF"/>
                <w:w w:val="90"/>
              </w:rPr>
            </w:pPr>
            <w:hyperlink w:anchor="page133">
              <w:r>
                <w:rPr>
                  <w:rFonts w:ascii="Arial" w:cs="Arial" w:eastAsia="Arial" w:hAnsi="Arial"/>
                  <w:sz w:val="18"/>
                  <w:szCs w:val="18"/>
                  <w:color w:val="0000FF"/>
                  <w:w w:val="90"/>
                </w:rPr>
                <w:t>Rule 13a-14(a)/15d-14(a) Certifications (Principal Financial Officer)</w:t>
              </w:r>
            </w:hyperlink>
          </w:p>
        </w:tc>
        <w:tc>
          <w:tcPr>
            <w:tcW w:w="118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line="177"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3"/>
        </w:trPr>
        <w:tc>
          <w:tcPr>
            <w:tcW w:w="1080" w:type="dxa"/>
            <w:vAlign w:val="bottom"/>
          </w:tcPr>
          <w:p>
            <w:pPr>
              <w:ind w:left="20"/>
              <w:spacing w:after="0" w:line="203"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20" w:type="dxa"/>
            <w:vAlign w:val="bottom"/>
            <w:gridSpan w:val="5"/>
          </w:tcPr>
          <w:p>
            <w:pPr>
              <w:spacing w:after="0" w:line="203" w:lineRule="exact"/>
              <w:rPr>
                <w:rFonts w:ascii="Arial" w:cs="Arial" w:eastAsia="Arial" w:hAnsi="Arial"/>
                <w:sz w:val="18"/>
                <w:szCs w:val="18"/>
                <w:color w:val="0000FF"/>
                <w:w w:val="96"/>
              </w:rPr>
            </w:pPr>
            <w:hyperlink w:anchor="page134">
              <w:r>
                <w:rPr>
                  <w:rFonts w:ascii="Arial" w:cs="Arial" w:eastAsia="Arial" w:hAnsi="Arial"/>
                  <w:sz w:val="18"/>
                  <w:szCs w:val="18"/>
                  <w:color w:val="0000FF"/>
                  <w:w w:val="96"/>
                </w:rPr>
                <w:t>Section 1350 Certifications (Principal Executive Officer and Principal Financial</w:t>
              </w:r>
            </w:hyperlink>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spacing w:after="0" w:line="203"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3"/>
          </w:tcPr>
          <w:p>
            <w:pPr>
              <w:spacing w:after="0" w:line="151" w:lineRule="exact"/>
              <w:rPr>
                <w:rFonts w:ascii="Arial" w:cs="Arial" w:eastAsia="Arial" w:hAnsi="Arial"/>
                <w:sz w:val="16"/>
                <w:szCs w:val="16"/>
                <w:color w:val="0000FF"/>
              </w:rPr>
            </w:pPr>
            <w:hyperlink w:anchor="page134">
              <w:r>
                <w:rPr>
                  <w:rFonts w:ascii="Arial" w:cs="Arial" w:eastAsia="Arial" w:hAnsi="Arial"/>
                  <w:sz w:val="16"/>
                  <w:szCs w:val="16"/>
                  <w:color w:val="0000FF"/>
                </w:rPr>
                <w:t>Officer)</w:t>
              </w:r>
            </w:hyperlink>
          </w:p>
        </w:tc>
        <w:tc>
          <w:tcPr>
            <w:tcW w:w="40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2"/>
        </w:trPr>
        <w:tc>
          <w:tcPr>
            <w:tcW w:w="1080" w:type="dxa"/>
            <w:vAlign w:val="bottom"/>
          </w:tcPr>
          <w:p>
            <w:pPr>
              <w:ind w:left="20"/>
              <w:spacing w:after="0" w:line="172"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20" w:type="dxa"/>
            <w:vAlign w:val="bottom"/>
            <w:gridSpan w:val="5"/>
          </w:tcPr>
          <w:p>
            <w:pPr>
              <w:spacing w:after="0" w:line="172" w:lineRule="exact"/>
              <w:rPr>
                <w:sz w:val="20"/>
                <w:szCs w:val="20"/>
                <w:color w:val="auto"/>
              </w:rPr>
            </w:pPr>
            <w:r>
              <w:rPr>
                <w:rFonts w:ascii="Arial" w:cs="Arial" w:eastAsia="Arial" w:hAnsi="Arial"/>
                <w:sz w:val="18"/>
                <w:szCs w:val="18"/>
                <w:color w:val="auto"/>
                <w:w w:val="98"/>
              </w:rPr>
              <w:t>Cover Page Interactive Data File (formatted as Inline XBRL and contained in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20" w:type="dxa"/>
            <w:vAlign w:val="bottom"/>
            <w:gridSpan w:val="5"/>
          </w:tcPr>
          <w:p>
            <w:pPr>
              <w:spacing w:after="0"/>
              <w:rPr>
                <w:sz w:val="20"/>
                <w:szCs w:val="20"/>
                <w:color w:val="auto"/>
              </w:rPr>
            </w:pPr>
            <w:r>
              <w:rPr>
                <w:rFonts w:ascii="Arial" w:cs="Arial" w:eastAsia="Arial" w:hAnsi="Arial"/>
                <w:sz w:val="18"/>
                <w:szCs w:val="18"/>
                <w:color w:val="auto"/>
              </w:rPr>
              <w:t>Exhibit 101)</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40" w:hanging="617"/>
        <w:spacing w:after="0"/>
        <w:tabs>
          <w:tab w:leader="none" w:pos="64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7"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1369060" cy="292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369060" cy="292100"/>
                    </a:xfrm>
                    <a:prstGeom prst="rect">
                      <a:avLst/>
                    </a:prstGeom>
                    <a:noFill/>
                  </pic:spPr>
                </pic:pic>
              </a:graphicData>
            </a:graphic>
          </wp:anchor>
        </w:drawing>
        <w:t>Exhibit 4.5</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November 23, 2021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auto"/>
        </w:rPr>
        <w:t>Securities and Exchange Commission</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color w:val="auto"/>
        </w:rPr>
        <w:t>100 F Street, N.E.</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color w:val="auto"/>
        </w:rPr>
        <w:t>Washington, D.C. 20549</w:t>
      </w:r>
    </w:p>
    <w:p>
      <w:pPr>
        <w:spacing w:after="0" w:line="227" w:lineRule="exact"/>
        <w:rPr>
          <w:sz w:val="20"/>
          <w:szCs w:val="20"/>
          <w:color w:val="auto"/>
        </w:rPr>
      </w:pPr>
    </w:p>
    <w:p>
      <w:pPr>
        <w:ind w:left="1260"/>
        <w:spacing w:after="0"/>
        <w:tabs>
          <w:tab w:leader="none" w:pos="1740" w:val="left"/>
        </w:tabs>
        <w:rPr>
          <w:sz w:val="20"/>
          <w:szCs w:val="20"/>
          <w:color w:val="auto"/>
        </w:rPr>
      </w:pPr>
      <w:r>
        <w:rPr>
          <w:rFonts w:ascii="Arial" w:cs="Arial" w:eastAsia="Arial" w:hAnsi="Arial"/>
          <w:sz w:val="21"/>
          <w:szCs w:val="21"/>
          <w:color w:val="auto"/>
        </w:rPr>
        <w:t>Re:</w:t>
      </w:r>
      <w:r>
        <w:rPr>
          <w:sz w:val="20"/>
          <w:szCs w:val="20"/>
          <w:color w:val="auto"/>
        </w:rPr>
        <w:tab/>
      </w:r>
      <w:r>
        <w:rPr>
          <w:rFonts w:ascii="Arial" w:cs="Arial" w:eastAsia="Arial" w:hAnsi="Arial"/>
          <w:sz w:val="19"/>
          <w:szCs w:val="19"/>
          <w:color w:val="auto"/>
        </w:rPr>
        <w:t>The Scotts Miracle-Gro Company – Annual Report on Form 10-K for the fiscal year ended September 30, 2021</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color w:val="auto"/>
        </w:rPr>
        <w:t>Ladies and Gentlemen:</w:t>
      </w:r>
    </w:p>
    <w:p>
      <w:pPr>
        <w:spacing w:after="0" w:line="245" w:lineRule="exact"/>
        <w:rPr>
          <w:sz w:val="20"/>
          <w:szCs w:val="20"/>
          <w:color w:val="auto"/>
        </w:rPr>
      </w:pPr>
    </w:p>
    <w:p>
      <w:pPr>
        <w:ind w:firstLine="206"/>
        <w:spacing w:after="0" w:line="273" w:lineRule="auto"/>
        <w:rPr>
          <w:sz w:val="20"/>
          <w:szCs w:val="20"/>
          <w:color w:val="auto"/>
        </w:rPr>
      </w:pPr>
      <w:r>
        <w:rPr>
          <w:rFonts w:ascii="Arial" w:cs="Arial" w:eastAsia="Arial" w:hAnsi="Arial"/>
          <w:sz w:val="21"/>
          <w:szCs w:val="21"/>
          <w:color w:val="auto"/>
        </w:rPr>
        <w:t>The Scotts Miracle-Gro Company, an Ohio corporation (“Scotts Miracle-Gro”), is today filing its Annual Report on Form 10-K for the fiscal year ended September 30, 2021 (the “Form 10-K”).</w:t>
      </w:r>
    </w:p>
    <w:p>
      <w:pPr>
        <w:spacing w:after="0" w:line="187" w:lineRule="exact"/>
        <w:rPr>
          <w:sz w:val="20"/>
          <w:szCs w:val="20"/>
          <w:color w:val="auto"/>
        </w:rPr>
      </w:pPr>
    </w:p>
    <w:p>
      <w:pPr>
        <w:ind w:right="20" w:firstLine="175"/>
        <w:spacing w:after="0" w:line="283" w:lineRule="auto"/>
        <w:rPr>
          <w:sz w:val="20"/>
          <w:szCs w:val="20"/>
          <w:color w:val="auto"/>
        </w:rPr>
      </w:pPr>
      <w:r>
        <w:rPr>
          <w:rFonts w:ascii="Arial" w:cs="Arial" w:eastAsia="Arial" w:hAnsi="Arial"/>
          <w:sz w:val="19"/>
          <w:szCs w:val="19"/>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81"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Very truly yours,</w:t>
      </w:r>
    </w:p>
    <w:p>
      <w:pPr>
        <w:spacing w:after="0" w:line="24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THE SCOTTS MIRACLE-GRO COMPANY</w:t>
      </w:r>
    </w:p>
    <w:p>
      <w:pPr>
        <w:spacing w:after="0" w:line="24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CORY J. MILLER</w:t>
      </w:r>
    </w:p>
    <w:p>
      <w:pPr>
        <w:spacing w:after="0" w:line="245"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Cory J. Miller</w:t>
      </w:r>
    </w:p>
    <w:p>
      <w:pPr>
        <w:spacing w:after="0" w:line="26"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Executive Vice President and Chief Financial Officer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 43041 937-644-0011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240"/>
          </w:cols>
          <w:pgMar w:left="320" w:top="910"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79"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auto"/>
        </w:rPr>
        <w:t>Directly owned subsidiaries, as of September 30, 2021, are located at the left margin, each subsidiary tier thereunder is indented. Subsidiaries are listed under the names of their respective parent entities. Unless otherwise noted, the subsidiaries are wholly-owned.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520" w:type="dxa"/>
            <w:vAlign w:val="bottom"/>
            <w:vMerge w:val="restart"/>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JURISDICTION OF</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auto"/>
            </w:tcBorders>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FORMATION</w:t>
            </w:r>
          </w:p>
        </w:tc>
        <w:tc>
          <w:tcPr>
            <w:tcW w:w="0" w:type="dxa"/>
            <w:vAlign w:val="bottom"/>
          </w:tcPr>
          <w:p>
            <w:pPr>
              <w:spacing w:after="0"/>
              <w:rPr>
                <w:sz w:val="1"/>
                <w:szCs w:val="1"/>
                <w:color w:val="auto"/>
              </w:rPr>
            </w:pPr>
          </w:p>
        </w:tc>
      </w:tr>
      <w:tr>
        <w:trPr>
          <w:trHeight w:val="216"/>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3"/>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48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8"/>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30"/>
        </w:trPr>
        <w:tc>
          <w:tcPr>
            <w:tcW w:w="8740" w:type="dxa"/>
            <w:vAlign w:val="bottom"/>
            <w:gridSpan w:val="2"/>
          </w:tcPr>
          <w:p>
            <w:pPr>
              <w:ind w:left="160"/>
              <w:spacing w:after="0" w:line="230" w:lineRule="exact"/>
              <w:rPr>
                <w:sz w:val="20"/>
                <w:szCs w:val="20"/>
                <w:color w:val="auto"/>
              </w:rPr>
            </w:pPr>
            <w:r>
              <w:rPr>
                <w:rFonts w:ascii="Arial" w:cs="Arial" w:eastAsia="Arial" w:hAnsi="Arial"/>
                <w:sz w:val="18"/>
                <w:szCs w:val="18"/>
                <w:color w:val="auto"/>
              </w:rPr>
              <w:t>Bonnie Plants, LLC</w:t>
            </w:r>
            <w:r>
              <w:rPr>
                <w:rFonts w:ascii="Arial" w:cs="Arial" w:eastAsia="Arial" w:hAnsi="Arial"/>
                <w:sz w:val="22"/>
                <w:szCs w:val="22"/>
                <w:color w:val="auto"/>
                <w:vertAlign w:val="superscript"/>
              </w:rPr>
              <w:t>1</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63"/>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480" w:type="dxa"/>
            <w:vAlign w:val="bottom"/>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63"/>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04"/>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2"/>
                <w:szCs w:val="22"/>
                <w:color w:val="auto"/>
                <w:vertAlign w:val="superscript"/>
              </w:rPr>
              <w:t>2</w:t>
            </w:r>
          </w:p>
        </w:tc>
        <w:tc>
          <w:tcPr>
            <w:tcW w:w="248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2"/>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304"/>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2"/>
                <w:szCs w:val="22"/>
                <w:color w:val="auto"/>
                <w:vertAlign w:val="superscript"/>
              </w:rPr>
              <w:t>2</w:t>
            </w:r>
          </w:p>
        </w:tc>
        <w:tc>
          <w:tcPr>
            <w:tcW w:w="2480" w:type="dxa"/>
            <w:vAlign w:val="bottom"/>
          </w:tcPr>
          <w:p>
            <w:pPr>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2"/>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480" w:type="dxa"/>
            <w:vAlign w:val="bottom"/>
          </w:tcPr>
          <w:p>
            <w:pPr>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63"/>
        </w:trPr>
        <w:tc>
          <w:tcPr>
            <w:tcW w:w="8740" w:type="dxa"/>
            <w:vAlign w:val="bottom"/>
            <w:gridSpan w:val="2"/>
          </w:tcPr>
          <w:p>
            <w:pPr>
              <w:ind w:left="140"/>
              <w:spacing w:after="0"/>
              <w:rPr>
                <w:sz w:val="20"/>
                <w:szCs w:val="20"/>
                <w:color w:val="auto"/>
              </w:rPr>
            </w:pPr>
            <w:r>
              <w:rPr>
                <w:rFonts w:ascii="Arial" w:cs="Arial" w:eastAsia="Arial" w:hAnsi="Arial"/>
                <w:sz w:val="18"/>
                <w:szCs w:val="18"/>
                <w:color w:val="auto"/>
              </w:rPr>
              <w:t>AeroGrow International, Inc.</w:t>
            </w:r>
          </w:p>
        </w:tc>
        <w:tc>
          <w:tcPr>
            <w:tcW w:w="248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480" w:type="dxa"/>
            <w:vAlign w:val="bottom"/>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02"/>
        </w:trPr>
        <w:tc>
          <w:tcPr>
            <w:tcW w:w="8740" w:type="dxa"/>
            <w:vAlign w:val="bottom"/>
            <w:gridSpan w:val="2"/>
          </w:tcPr>
          <w:p>
            <w:pPr>
              <w:ind w:left="280"/>
              <w:spacing w:after="0"/>
              <w:rPr>
                <w:sz w:val="20"/>
                <w:szCs w:val="20"/>
                <w:color w:val="auto"/>
              </w:rPr>
            </w:pPr>
            <w:r>
              <w:rPr>
                <w:rFonts w:ascii="Arial" w:cs="Arial" w:eastAsia="Arial" w:hAnsi="Arial"/>
                <w:sz w:val="18"/>
                <w:szCs w:val="18"/>
                <w:color w:val="auto"/>
              </w:rPr>
              <w:t>Hawthorne Hydroponics LLC</w:t>
            </w:r>
          </w:p>
        </w:tc>
        <w:tc>
          <w:tcPr>
            <w:tcW w:w="248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02"/>
        </w:trPr>
        <w:tc>
          <w:tcPr>
            <w:tcW w:w="8740" w:type="dxa"/>
            <w:vAlign w:val="bottom"/>
            <w:gridSpan w:val="2"/>
          </w:tcPr>
          <w:p>
            <w:pPr>
              <w:ind w:left="280"/>
              <w:spacing w:after="0"/>
              <w:rPr>
                <w:sz w:val="20"/>
                <w:szCs w:val="20"/>
                <w:color w:val="auto"/>
              </w:rPr>
            </w:pPr>
            <w:r>
              <w:rPr>
                <w:rFonts w:ascii="Arial" w:cs="Arial" w:eastAsia="Arial" w:hAnsi="Arial"/>
                <w:sz w:val="18"/>
                <w:szCs w:val="18"/>
                <w:color w:val="auto"/>
              </w:rPr>
              <w:t>Hawthorne Gardening B.V.</w:t>
            </w:r>
          </w:p>
        </w:tc>
        <w:tc>
          <w:tcPr>
            <w:tcW w:w="24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02"/>
        </w:trPr>
        <w:tc>
          <w:tcPr>
            <w:tcW w:w="8740" w:type="dxa"/>
            <w:vAlign w:val="bottom"/>
            <w:gridSpan w:val="2"/>
          </w:tcPr>
          <w:p>
            <w:pPr>
              <w:ind w:left="420"/>
              <w:spacing w:after="0"/>
              <w:rPr>
                <w:sz w:val="20"/>
                <w:szCs w:val="20"/>
                <w:color w:val="auto"/>
              </w:rPr>
            </w:pPr>
            <w:r>
              <w:rPr>
                <w:rFonts w:ascii="Arial" w:cs="Arial" w:eastAsia="Arial" w:hAnsi="Arial"/>
                <w:sz w:val="18"/>
                <w:szCs w:val="18"/>
                <w:color w:val="auto"/>
              </w:rPr>
              <w:t>Gavita International B.V.</w:t>
            </w:r>
          </w:p>
        </w:tc>
        <w:tc>
          <w:tcPr>
            <w:tcW w:w="24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02"/>
        </w:trPr>
        <w:tc>
          <w:tcPr>
            <w:tcW w:w="8740" w:type="dxa"/>
            <w:vAlign w:val="bottom"/>
            <w:gridSpan w:val="2"/>
          </w:tcPr>
          <w:p>
            <w:pPr>
              <w:ind w:left="540"/>
              <w:spacing w:after="0"/>
              <w:rPr>
                <w:sz w:val="20"/>
                <w:szCs w:val="20"/>
                <w:color w:val="auto"/>
              </w:rPr>
            </w:pPr>
            <w:r>
              <w:rPr>
                <w:rFonts w:ascii="Arial" w:cs="Arial" w:eastAsia="Arial" w:hAnsi="Arial"/>
                <w:sz w:val="18"/>
                <w:szCs w:val="18"/>
                <w:color w:val="auto"/>
              </w:rPr>
              <w:t>Hawthorne Lighting B.V.</w:t>
            </w:r>
          </w:p>
        </w:tc>
        <w:tc>
          <w:tcPr>
            <w:tcW w:w="24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63"/>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Agrolux Canada Limited</w:t>
            </w:r>
          </w:p>
        </w:tc>
        <w:tc>
          <w:tcPr>
            <w:tcW w:w="248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63"/>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Agrolux Nederland B.V.</w:t>
            </w:r>
          </w:p>
        </w:tc>
        <w:tc>
          <w:tcPr>
            <w:tcW w:w="248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302"/>
        </w:trPr>
        <w:tc>
          <w:tcPr>
            <w:tcW w:w="8740" w:type="dxa"/>
            <w:vAlign w:val="bottom"/>
            <w:gridSpan w:val="2"/>
          </w:tcPr>
          <w:p>
            <w:pPr>
              <w:ind w:left="680"/>
              <w:spacing w:after="0"/>
              <w:rPr>
                <w:sz w:val="20"/>
                <w:szCs w:val="20"/>
                <w:color w:val="auto"/>
              </w:rPr>
            </w:pPr>
            <w:r>
              <w:rPr>
                <w:rFonts w:ascii="Arial" w:cs="Arial" w:eastAsia="Arial" w:hAnsi="Arial"/>
                <w:sz w:val="18"/>
                <w:szCs w:val="18"/>
                <w:color w:val="auto"/>
              </w:rPr>
              <w:t>Hawthorne Canada Limited</w:t>
            </w:r>
          </w:p>
        </w:tc>
        <w:tc>
          <w:tcPr>
            <w:tcW w:w="248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02"/>
        </w:trPr>
        <w:tc>
          <w:tcPr>
            <w:tcW w:w="874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480" w:type="dxa"/>
            <w:vAlign w:val="bottom"/>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7"/>
        <w:spacing w:after="0" w:line="180" w:lineRule="auto"/>
        <w:tabs>
          <w:tab w:leader="none" w:pos="120" w:val="left"/>
        </w:tabs>
        <w:numPr>
          <w:ilvl w:val="0"/>
          <w:numId w:val="43"/>
        </w:numPr>
        <w:rPr>
          <w:rFonts w:ascii="Arial" w:cs="Arial" w:eastAsia="Arial" w:hAnsi="Arial"/>
          <w:sz w:val="22"/>
          <w:szCs w:val="22"/>
          <w:color w:val="auto"/>
          <w:vertAlign w:val="superscript"/>
        </w:rPr>
      </w:pPr>
      <w:r>
        <w:rPr>
          <w:rFonts w:ascii="Arial" w:cs="Arial" w:eastAsia="Arial" w:hAnsi="Arial"/>
          <w:sz w:val="17"/>
          <w:szCs w:val="17"/>
          <w:color w:val="auto"/>
        </w:rPr>
        <w:t>Scotts Live Goods Holdings, Inc.’s ownership is 50.0%.</w:t>
      </w:r>
    </w:p>
    <w:p>
      <w:pPr>
        <w:ind w:left="120" w:hanging="97"/>
        <w:spacing w:after="0" w:line="199" w:lineRule="auto"/>
        <w:tabs>
          <w:tab w:leader="none" w:pos="120" w:val="left"/>
        </w:tabs>
        <w:numPr>
          <w:ilvl w:val="0"/>
          <w:numId w:val="44"/>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58" w:right="339" w:bottom="1440" w:gutter="0" w:footer="0" w:header="0"/>
        </w:sectPr>
      </w:pPr>
    </w:p>
    <w:bookmarkStart w:id="116" w:name="page117"/>
    <w:bookmarkEnd w:id="116"/>
    <w:tbl>
      <w:tblPr>
        <w:tblLayout w:type="fixed"/>
        <w:tblInd w:w="2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3020"/>
              <w:spacing w:after="0"/>
              <w:rPr>
                <w:sz w:val="20"/>
                <w:szCs w:val="20"/>
                <w:color w:val="auto"/>
              </w:rPr>
            </w:pPr>
            <w:r>
              <w:rPr>
                <w:rFonts w:ascii="Arial" w:cs="Arial" w:eastAsia="Arial" w:hAnsi="Arial"/>
                <w:sz w:val="18"/>
                <w:szCs w:val="18"/>
                <w:color w:val="auto"/>
              </w:rPr>
              <w:t>Ohio</w:t>
            </w:r>
          </w:p>
        </w:tc>
      </w:tr>
      <w:tr>
        <w:trPr>
          <w:trHeight w:val="263"/>
        </w:trPr>
        <w:tc>
          <w:tcPr>
            <w:tcW w:w="5700" w:type="dxa"/>
            <w:vAlign w:val="bottom"/>
          </w:tcPr>
          <w:p>
            <w:pPr>
              <w:ind w:left="12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3020"/>
              <w:spacing w:after="0"/>
              <w:rPr>
                <w:sz w:val="20"/>
                <w:szCs w:val="20"/>
                <w:color w:val="auto"/>
              </w:rPr>
            </w:pPr>
            <w:r>
              <w:rPr>
                <w:rFonts w:ascii="Arial" w:cs="Arial" w:eastAsia="Arial" w:hAnsi="Arial"/>
                <w:sz w:val="18"/>
                <w:szCs w:val="18"/>
                <w:color w:val="auto"/>
              </w:rPr>
              <w:t>Delaware</w:t>
            </w:r>
          </w:p>
        </w:tc>
      </w:tr>
      <w:tr>
        <w:trPr>
          <w:trHeight w:val="302"/>
        </w:trPr>
        <w:tc>
          <w:tcPr>
            <w:tcW w:w="570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3020"/>
              <w:spacing w:after="0"/>
              <w:rPr>
                <w:sz w:val="20"/>
                <w:szCs w:val="20"/>
                <w:color w:val="auto"/>
              </w:rPr>
            </w:pPr>
            <w:r>
              <w:rPr>
                <w:rFonts w:ascii="Arial" w:cs="Arial" w:eastAsia="Arial" w:hAnsi="Arial"/>
                <w:sz w:val="18"/>
                <w:szCs w:val="18"/>
                <w:color w:val="auto"/>
              </w:rPr>
              <w:t>China</w:t>
            </w:r>
          </w:p>
        </w:tc>
      </w:tr>
      <w:tr>
        <w:trPr>
          <w:trHeight w:val="302"/>
        </w:trPr>
        <w:tc>
          <w:tcPr>
            <w:tcW w:w="570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3020"/>
              <w:spacing w:after="0"/>
              <w:rPr>
                <w:sz w:val="20"/>
                <w:szCs w:val="20"/>
                <w:color w:val="auto"/>
              </w:rPr>
            </w:pPr>
            <w:r>
              <w:rPr>
                <w:rFonts w:ascii="Arial" w:cs="Arial" w:eastAsia="Arial" w:hAnsi="Arial"/>
                <w:sz w:val="18"/>
                <w:szCs w:val="18"/>
                <w:color w:val="auto"/>
              </w:rPr>
              <w:t>Canada</w:t>
            </w:r>
          </w:p>
        </w:tc>
      </w:tr>
      <w:tr>
        <w:trPr>
          <w:trHeight w:val="343"/>
        </w:trPr>
        <w:tc>
          <w:tcPr>
            <w:tcW w:w="5700" w:type="dxa"/>
            <w:vAlign w:val="bottom"/>
          </w:tcPr>
          <w:p>
            <w:pPr>
              <w:ind w:left="38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2"/>
                <w:szCs w:val="22"/>
                <w:color w:val="auto"/>
                <w:vertAlign w:val="superscript"/>
              </w:rPr>
              <w:t>3</w:t>
            </w:r>
          </w:p>
        </w:tc>
        <w:tc>
          <w:tcPr>
            <w:tcW w:w="4200" w:type="dxa"/>
            <w:vAlign w:val="bottom"/>
          </w:tcPr>
          <w:p>
            <w:pPr>
              <w:ind w:left="3020"/>
              <w:spacing w:after="0"/>
              <w:rPr>
                <w:sz w:val="20"/>
                <w:szCs w:val="20"/>
                <w:color w:val="auto"/>
              </w:rPr>
            </w:pPr>
            <w:r>
              <w:rPr>
                <w:rFonts w:ascii="Arial" w:cs="Arial" w:eastAsia="Arial" w:hAnsi="Arial"/>
                <w:sz w:val="18"/>
                <w:szCs w:val="18"/>
                <w:color w:val="auto"/>
              </w:rPr>
              <w:t>Canada</w:t>
            </w:r>
          </w:p>
        </w:tc>
      </w:tr>
      <w:tr>
        <w:trPr>
          <w:trHeight w:val="302"/>
        </w:trPr>
        <w:tc>
          <w:tcPr>
            <w:tcW w:w="570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2"/>
                <w:szCs w:val="22"/>
                <w:color w:val="auto"/>
                <w:vertAlign w:val="superscript"/>
              </w:rPr>
              <w:t>4</w:t>
            </w:r>
          </w:p>
        </w:tc>
        <w:tc>
          <w:tcPr>
            <w:tcW w:w="4200" w:type="dxa"/>
            <w:vAlign w:val="bottom"/>
          </w:tcPr>
          <w:p>
            <w:pPr>
              <w:ind w:left="3020"/>
              <w:spacing w:after="0"/>
              <w:rPr>
                <w:sz w:val="20"/>
                <w:szCs w:val="20"/>
                <w:color w:val="auto"/>
              </w:rPr>
            </w:pPr>
            <w:r>
              <w:rPr>
                <w:rFonts w:ascii="Arial" w:cs="Arial" w:eastAsia="Arial" w:hAnsi="Arial"/>
                <w:sz w:val="18"/>
                <w:szCs w:val="18"/>
                <w:color w:val="auto"/>
              </w:rPr>
              <w:t>Mexico</w:t>
            </w:r>
          </w:p>
        </w:tc>
      </w:tr>
      <w:tr>
        <w:trPr>
          <w:trHeight w:val="262"/>
        </w:trPr>
        <w:tc>
          <w:tcPr>
            <w:tcW w:w="570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3020"/>
              <w:spacing w:after="0"/>
              <w:rPr>
                <w:sz w:val="20"/>
                <w:szCs w:val="20"/>
                <w:color w:val="auto"/>
              </w:rPr>
            </w:pPr>
            <w:r>
              <w:rPr>
                <w:rFonts w:ascii="Arial" w:cs="Arial" w:eastAsia="Arial" w:hAnsi="Arial"/>
                <w:sz w:val="18"/>
                <w:szCs w:val="18"/>
                <w:color w:val="auto"/>
              </w:rPr>
              <w:t>Germany</w:t>
            </w:r>
          </w:p>
        </w:tc>
      </w:tr>
      <w:tr>
        <w:trPr>
          <w:trHeight w:val="302"/>
        </w:trPr>
        <w:tc>
          <w:tcPr>
            <w:tcW w:w="570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3020"/>
              <w:spacing w:after="0"/>
              <w:rPr>
                <w:sz w:val="20"/>
                <w:szCs w:val="20"/>
                <w:color w:val="auto"/>
              </w:rPr>
            </w:pPr>
            <w:r>
              <w:rPr>
                <w:rFonts w:ascii="Arial" w:cs="Arial" w:eastAsia="Arial" w:hAnsi="Arial"/>
                <w:sz w:val="18"/>
                <w:szCs w:val="18"/>
                <w:color w:val="auto"/>
                <w:w w:val="90"/>
              </w:rPr>
              <w:t>United Kingdom</w:t>
            </w:r>
          </w:p>
        </w:tc>
      </w:tr>
      <w:tr>
        <w:trPr>
          <w:trHeight w:val="263"/>
        </w:trPr>
        <w:tc>
          <w:tcPr>
            <w:tcW w:w="570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3020"/>
              <w:spacing w:after="0"/>
              <w:rPr>
                <w:sz w:val="20"/>
                <w:szCs w:val="20"/>
                <w:color w:val="auto"/>
              </w:rPr>
            </w:pPr>
            <w:r>
              <w:rPr>
                <w:rFonts w:ascii="Arial" w:cs="Arial" w:eastAsia="Arial" w:hAnsi="Arial"/>
                <w:sz w:val="18"/>
                <w:szCs w:val="18"/>
                <w:color w:val="auto"/>
              </w:rPr>
              <w:t>Ohio</w:t>
            </w:r>
          </w:p>
        </w:tc>
      </w:tr>
      <w:tr>
        <w:trPr>
          <w:trHeight w:val="218"/>
        </w:trPr>
        <w:tc>
          <w:tcPr>
            <w:tcW w:w="570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3020"/>
              <w:spacing w:after="0"/>
              <w:rPr>
                <w:sz w:val="20"/>
                <w:szCs w:val="20"/>
                <w:color w:val="auto"/>
              </w:rPr>
            </w:pPr>
            <w:r>
              <w:rPr>
                <w:rFonts w:ascii="Arial" w:cs="Arial" w:eastAsia="Arial" w:hAnsi="Arial"/>
                <w:sz w:val="18"/>
                <w:szCs w:val="18"/>
                <w:color w:val="auto"/>
              </w:rPr>
              <w:t>Ohio</w:t>
            </w:r>
          </w:p>
        </w:tc>
      </w:tr>
      <w:tr>
        <w:trPr>
          <w:trHeight w:val="298"/>
        </w:trPr>
        <w:tc>
          <w:tcPr>
            <w:tcW w:w="5700" w:type="dxa"/>
            <w:vAlign w:val="bottom"/>
          </w:tcPr>
          <w:p>
            <w:pPr>
              <w:ind w:left="12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2"/>
                <w:szCs w:val="22"/>
                <w:color w:val="auto"/>
                <w:vertAlign w:val="superscript"/>
              </w:rPr>
              <w:t>5</w:t>
            </w:r>
          </w:p>
        </w:tc>
        <w:tc>
          <w:tcPr>
            <w:tcW w:w="4200" w:type="dxa"/>
            <w:vAlign w:val="bottom"/>
          </w:tcPr>
          <w:p>
            <w:pPr>
              <w:ind w:left="302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7"/>
        <w:spacing w:after="0" w:line="180" w:lineRule="auto"/>
        <w:tabs>
          <w:tab w:leader="none" w:pos="100" w:val="left"/>
        </w:tabs>
        <w:numPr>
          <w:ilvl w:val="0"/>
          <w:numId w:val="45"/>
        </w:numPr>
        <w:rPr>
          <w:rFonts w:ascii="Arial" w:cs="Arial" w:eastAsia="Arial" w:hAnsi="Arial"/>
          <w:sz w:val="22"/>
          <w:szCs w:val="22"/>
          <w:color w:val="auto"/>
          <w:vertAlign w:val="superscript"/>
        </w:rPr>
      </w:pPr>
      <w:r>
        <w:rPr>
          <w:rFonts w:ascii="Arial" w:cs="Arial" w:eastAsia="Arial" w:hAnsi="Arial"/>
          <w:sz w:val="17"/>
          <w:szCs w:val="17"/>
          <w:color w:val="auto"/>
        </w:rPr>
        <w:t>Scotts Canada Ltd.'s ownership is 50.0%.</w:t>
      </w:r>
    </w:p>
    <w:p>
      <w:pPr>
        <w:ind w:left="100" w:hanging="97"/>
        <w:spacing w:after="0" w:line="181" w:lineRule="auto"/>
        <w:tabs>
          <w:tab w:leader="none" w:pos="100" w:val="left"/>
        </w:tabs>
        <w:numPr>
          <w:ilvl w:val="0"/>
          <w:numId w:val="46"/>
        </w:numPr>
        <w:rPr>
          <w:rFonts w:ascii="Arial" w:cs="Arial" w:eastAsia="Arial" w:hAnsi="Arial"/>
          <w:sz w:val="21"/>
          <w:szCs w:val="21"/>
          <w:color w:val="auto"/>
          <w:vertAlign w:val="superscript"/>
        </w:rPr>
      </w:pPr>
      <w:r>
        <w:rPr>
          <w:rFonts w:ascii="Arial" w:cs="Arial" w:eastAsia="Arial" w:hAnsi="Arial"/>
          <w:sz w:val="16"/>
          <w:szCs w:val="16"/>
          <w:color w:val="auto"/>
        </w:rPr>
        <w:t>The Scotts Company LLC owns 0.5% and Scotts-Sierra Investments LLC owns the remaining 99.5%.</w:t>
      </w:r>
    </w:p>
    <w:p>
      <w:pPr>
        <w:spacing w:after="0"/>
        <w:rPr>
          <w:rFonts w:ascii="Arial" w:cs="Arial" w:eastAsia="Arial" w:hAnsi="Arial"/>
          <w:sz w:val="21"/>
          <w:szCs w:val="21"/>
          <w:color w:val="auto"/>
          <w:vertAlign w:val="superscript"/>
        </w:rPr>
      </w:pPr>
      <w:r>
        <w:rPr>
          <w:rFonts w:ascii="Arial" w:cs="Arial" w:eastAsia="Arial" w:hAnsi="Arial"/>
          <w:sz w:val="22"/>
          <w:szCs w:val="22"/>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16"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11"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333333"/>
        </w:rPr>
        <w:t>The following subsidiaries of The Scotts Miracle-Gro Company (the "Company") were, as of September 30, 2021, guarantors of the Company's 5.250% Senior Notes due 2026, 4.500% Senior Notes due 2029, 4.000% Senior Notes due 2031 and 4.375% Senior Notes due 2032:</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560" w:type="dxa"/>
            <w:vAlign w:val="bottom"/>
          </w:tcPr>
          <w:p>
            <w:pPr>
              <w:spacing w:after="0"/>
              <w:rPr>
                <w:sz w:val="19"/>
                <w:szCs w:val="19"/>
                <w:color w:val="auto"/>
              </w:rPr>
            </w:pPr>
          </w:p>
        </w:tc>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16"/>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AeroGrow International, Inc.</w:t>
            </w:r>
          </w:p>
        </w:tc>
        <w:tc>
          <w:tcPr>
            <w:tcW w:w="404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4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4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4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4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The Hawthorne Collective, Inc.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3"/>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4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396" w:right="339" w:bottom="1440" w:gutter="0" w:footer="0" w:header="0"/>
        </w:sectPr>
      </w:pPr>
    </w:p>
    <w:bookmarkStart w:id="118" w:name="page119"/>
    <w:bookmarkEnd w:id="118"/>
    <w:p>
      <w:pPr>
        <w:spacing w:after="0" w:line="18"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23</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We consent to the incorporation by reference in Registration Statement Nos. 033-47073, 333-72715, 333-124503, 333-131466, 333-147397, 333-153925, 333-154364, 333-186187, 333-215774, and 333-222840 on Form S-8 and Registration Statement No 333-228854 on Form S-3 of our reports dated November 23, 2021, relating to the consolidated financial statements and consolidated financial statement schedules of The Scotts Miracle-Gro Company and subsidiaries (the “Company”) (which report expresses an unqualified opinion and includes an explanatory paragraph regarding the Company’s adoption of Financial Accounting Standards Board Accounting Standards Codification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accounting guidance related to inventory valuation for its change in accounting for a portion of its inventories to the first-in, first-out method which was determined to be a preferable accounting principle for such inventories), and to the effectiveness of the Company's internal control over financial reporting, appearing in this Annual Report on Form 10-K of the Company for the fiscal year ended September 30, 2021.</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November 23, 2021</w:t>
      </w:r>
    </w:p>
    <w:p>
      <w:pPr>
        <w:sectPr>
          <w:pgSz w:w="11900" w:h="16838" w:orient="portrait"/>
          <w:cols w:equalWidth="0" w:num="1">
            <w:col w:w="11240"/>
          </w:cols>
          <w:pgMar w:left="320" w:top="144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1">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David C. Evans</w:t>
      </w:r>
    </w:p>
    <w:p>
      <w:pPr>
        <w:sectPr>
          <w:pgSz w:w="11900" w:h="16838" w:orient="portrait"/>
          <w:cols w:equalWidth="0" w:num="1">
            <w:col w:w="11240"/>
          </w:cols>
          <w:pgMar w:left="320" w:top="121" w:right="339" w:bottom="1440" w:gutter="0" w:footer="0" w:header="0"/>
        </w:sectPr>
      </w:pPr>
    </w:p>
    <w:bookmarkStart w:id="120" w:name="page121"/>
    <w:bookmarkEnd w:id="120"/>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BRIAN D. FINN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Brian D. Finn</w:t>
      </w:r>
    </w:p>
    <w:p>
      <w:pPr>
        <w:sectPr>
          <w:pgSz w:w="11900" w:h="16838" w:orient="portrait"/>
          <w:cols w:equalWidth="0" w:num="1">
            <w:col w:w="11140"/>
          </w:cols>
          <w:pgMar w:left="320" w:top="747" w:right="439"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James Hagedorn</w:t>
      </w:r>
    </w:p>
    <w:p>
      <w:pPr>
        <w:sectPr>
          <w:pgSz w:w="11900" w:h="16838" w:orient="portrait"/>
          <w:cols w:equalWidth="0" w:num="1">
            <w:col w:w="11140"/>
          </w:cols>
          <w:pgMar w:left="320" w:top="747" w:right="43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Adam Hanft</w:t>
      </w:r>
    </w:p>
    <w:p>
      <w:pPr>
        <w:sectPr>
          <w:pgSz w:w="11900" w:h="16838" w:orient="portrait"/>
          <w:cols w:equalWidth="0" w:num="1">
            <w:col w:w="11140"/>
          </w:cols>
          <w:pgMar w:left="320" w:top="747" w:right="439" w:bottom="1440" w:gutter="0" w:footer="0" w:header="0"/>
        </w:sectPr>
      </w:pPr>
    </w:p>
    <w:bookmarkStart w:id="123" w:name="page124"/>
    <w:bookmarkEnd w:id="123"/>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Stephen L. Johnson</w:t>
      </w:r>
    </w:p>
    <w:p>
      <w:pPr>
        <w:sectPr>
          <w:pgSz w:w="11900" w:h="16838" w:orient="portrait"/>
          <w:cols w:equalWidth="0" w:num="1">
            <w:col w:w="11140"/>
          </w:cols>
          <w:pgMar w:left="320" w:top="747" w:right="43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Thomas N. Kelly Jr.</w:t>
      </w:r>
    </w:p>
    <w:p>
      <w:pPr>
        <w:sectPr>
          <w:pgSz w:w="11900" w:h="16838" w:orient="portrait"/>
          <w:cols w:equalWidth="0" w:num="1">
            <w:col w:w="11140"/>
          </w:cols>
          <w:pgMar w:left="320" w:top="747" w:right="439" w:bottom="1440" w:gutter="0" w:footer="0" w:header="0"/>
        </w:sectPr>
      </w:pPr>
    </w:p>
    <w:bookmarkStart w:id="125" w:name="page126"/>
    <w:bookmarkEnd w:id="125"/>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KATHERINE HAGEDORN</w:t>
      </w:r>
    </w:p>
    <w:p>
      <w:pPr>
        <w:ind w:left="3800"/>
        <w:spacing w:after="0"/>
        <w:rPr>
          <w:sz w:val="20"/>
          <w:szCs w:val="20"/>
          <w:color w:val="auto"/>
        </w:rPr>
      </w:pPr>
      <w:r>
        <w:rPr>
          <w:rFonts w:ascii="Arial" w:cs="Arial" w:eastAsia="Arial" w:hAnsi="Arial"/>
          <w:sz w:val="21"/>
          <w:szCs w:val="21"/>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7620</wp:posOffset>
            </wp:positionV>
            <wp:extent cx="24536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8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Katherine Hagedorn Littlefield</w:t>
      </w:r>
    </w:p>
    <w:p>
      <w:pPr>
        <w:sectPr>
          <w:pgSz w:w="11900" w:h="16838" w:orient="portrait"/>
          <w:cols w:equalWidth="0" w:num="1">
            <w:col w:w="11140"/>
          </w:cols>
          <w:pgMar w:left="320" w:top="747" w:right="439" w:bottom="1440" w:gutter="0" w:footer="0" w:header="0"/>
        </w:sectPr>
      </w:pPr>
    </w:p>
    <w:bookmarkStart w:id="126" w:name="page127"/>
    <w:bookmarkEnd w:id="126"/>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Nancy G. Mistretta</w:t>
      </w:r>
    </w:p>
    <w:p>
      <w:pPr>
        <w:sectPr>
          <w:pgSz w:w="11900" w:h="16838" w:orient="portrait"/>
          <w:cols w:equalWidth="0" w:num="1">
            <w:col w:w="11140"/>
          </w:cols>
          <w:pgMar w:left="320" w:top="747" w:right="439" w:bottom="1440" w:gutter="0" w:footer="0" w:header="0"/>
        </w:sectPr>
      </w:pPr>
    </w:p>
    <w:bookmarkStart w:id="127" w:name="page128"/>
    <w:bookmarkEnd w:id="127"/>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Peter E. Shumlin</w:t>
      </w:r>
    </w:p>
    <w:p>
      <w:pPr>
        <w:sectPr>
          <w:pgSz w:w="11900" w:h="16838" w:orient="portrait"/>
          <w:cols w:equalWidth="0" w:num="1">
            <w:col w:w="11140"/>
          </w:cols>
          <w:pgMar w:left="320" w:top="747" w:right="439" w:bottom="1440" w:gutter="0" w:footer="0" w:header="0"/>
        </w:sectPr>
      </w:pPr>
    </w:p>
    <w:bookmarkStart w:id="128" w:name="page129"/>
    <w:bookmarkEnd w:id="128"/>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19050</wp:posOffset>
            </wp:positionV>
            <wp:extent cx="23037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2303780" cy="8255"/>
                    </a:xfrm>
                    <a:prstGeom prst="rect">
                      <a:avLst/>
                    </a:prstGeom>
                    <a:noFill/>
                  </pic:spPr>
                </pic:pic>
              </a:graphicData>
            </a:graphic>
          </wp:anchor>
        </w:drawing>
      </w:r>
    </w:p>
    <w:p>
      <w:pPr>
        <w:spacing w:after="0" w:line="107"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John R. Vines</w:t>
      </w:r>
    </w:p>
    <w:p>
      <w:pPr>
        <w:sectPr>
          <w:pgSz w:w="11900" w:h="16838" w:orient="portrait"/>
          <w:cols w:equalWidth="0" w:num="1">
            <w:col w:w="11140"/>
          </w:cols>
          <w:pgMar w:left="320" w:top="747" w:right="439" w:bottom="1440" w:gutter="0" w:footer="0" w:header="0"/>
        </w:sectPr>
      </w:pPr>
    </w:p>
    <w:bookmarkStart w:id="129" w:name="page130"/>
    <w:bookmarkEnd w:id="129"/>
    <w:p>
      <w:pPr>
        <w:jc w:val="center"/>
        <w:ind w:right="-9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0" w:lineRule="exact"/>
        <w:rPr>
          <w:sz w:val="20"/>
          <w:szCs w:val="20"/>
          <w:color w:val="auto"/>
        </w:rPr>
      </w:pPr>
      <w:r>
        <w:rPr>
          <w:rFonts w:ascii="Arial" w:cs="Arial" w:eastAsia="Arial" w:hAnsi="Arial"/>
          <w:sz w:val="19"/>
          <w:szCs w:val="19"/>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Cory J. Miller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19"/>
          <w:szCs w:val="19"/>
          <w:color w:val="auto"/>
        </w:rPr>
        <w:t>‑</w:t>
      </w:r>
      <w:r>
        <w:rPr>
          <w:rFonts w:ascii="Arial" w:cs="Arial" w:eastAsia="Arial" w:hAnsi="Arial"/>
          <w:sz w:val="19"/>
          <w:szCs w:val="19"/>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6"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/s/ GERALD VOLAS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19050</wp:posOffset>
            </wp:positionV>
            <wp:extent cx="23037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2303780" cy="8255"/>
                    </a:xfrm>
                    <a:prstGeom prst="rect">
                      <a:avLst/>
                    </a:prstGeom>
                    <a:noFill/>
                  </pic:spPr>
                </pic:pic>
              </a:graphicData>
            </a:graphic>
          </wp:anchor>
        </w:drawing>
      </w:r>
    </w:p>
    <w:p>
      <w:pPr>
        <w:spacing w:after="0" w:line="107" w:lineRule="exact"/>
        <w:rPr>
          <w:sz w:val="20"/>
          <w:szCs w:val="20"/>
          <w:color w:val="auto"/>
        </w:rPr>
      </w:pPr>
    </w:p>
    <w:p>
      <w:pPr>
        <w:ind w:left="3860"/>
        <w:spacing w:after="0"/>
        <w:rPr>
          <w:sz w:val="20"/>
          <w:szCs w:val="20"/>
          <w:color w:val="auto"/>
        </w:rPr>
      </w:pPr>
      <w:r>
        <w:rPr>
          <w:rFonts w:ascii="Arial" w:cs="Arial" w:eastAsia="Arial" w:hAnsi="Arial"/>
          <w:sz w:val="21"/>
          <w:szCs w:val="21"/>
          <w:color w:val="auto"/>
        </w:rPr>
        <w:t>Gerald Volas</w:t>
      </w:r>
    </w:p>
    <w:p>
      <w:pPr>
        <w:sectPr>
          <w:pgSz w:w="11900" w:h="16838" w:orient="portrait"/>
          <w:cols w:equalWidth="0" w:num="1">
            <w:col w:w="11140"/>
          </w:cols>
          <w:pgMar w:left="320" w:top="747" w:right="439" w:bottom="1440" w:gutter="0" w:footer="0" w:header="0"/>
        </w:sectPr>
      </w:pPr>
    </w:p>
    <w:bookmarkStart w:id="130" w:name="page131"/>
    <w:bookmarkEnd w:id="130"/>
    <w:p>
      <w:pPr>
        <w:jc w:val="center"/>
        <w:ind w:right="-79"/>
        <w:spacing w:after="0"/>
        <w:rPr>
          <w:sz w:val="20"/>
          <w:szCs w:val="20"/>
          <w:color w:val="auto"/>
        </w:rPr>
      </w:pPr>
      <w:r>
        <w:rPr>
          <w:rFonts w:ascii="Arial" w:cs="Arial" w:eastAsia="Arial" w:hAnsi="Arial"/>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206"/>
        <w:spacing w:after="0" w:line="481" w:lineRule="exact"/>
        <w:rPr>
          <w:sz w:val="20"/>
          <w:szCs w:val="20"/>
          <w:color w:val="auto"/>
        </w:rPr>
      </w:pPr>
      <w:r>
        <w:rPr>
          <w:rFonts w:ascii="Arial" w:cs="Arial" w:eastAsia="Arial" w:hAnsi="Arial"/>
          <w:sz w:val="20"/>
          <w:szCs w:val="20"/>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2021, hereby constitutes and appoints James Hagedorn and Ivan C. Smith, and each of them, with full power of substitution and resubstitution, as attorney-in-fact and agent to sign for the undersigned, in any and all capacities, such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21"/>
          <w:szCs w:val="21"/>
          <w:color w:val="auto"/>
        </w:rPr>
        <w:t>IN WITNESS WHEREOF, the undersigned has executed this Power of Attorney on November 23,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/s/ CORY J.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19050</wp:posOffset>
            </wp:positionV>
            <wp:extent cx="2320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107" w:lineRule="exact"/>
        <w:rPr>
          <w:sz w:val="20"/>
          <w:szCs w:val="20"/>
          <w:color w:val="auto"/>
        </w:rPr>
      </w:pPr>
    </w:p>
    <w:p>
      <w:pPr>
        <w:ind w:left="3800"/>
        <w:spacing w:after="0"/>
        <w:rPr>
          <w:sz w:val="20"/>
          <w:szCs w:val="20"/>
          <w:color w:val="auto"/>
        </w:rPr>
      </w:pPr>
      <w:r>
        <w:rPr>
          <w:rFonts w:ascii="Arial" w:cs="Arial" w:eastAsia="Arial" w:hAnsi="Arial"/>
          <w:sz w:val="21"/>
          <w:szCs w:val="21"/>
          <w:color w:val="auto"/>
        </w:rPr>
        <w:t>Cory J. Miller</w:t>
      </w:r>
    </w:p>
    <w:p>
      <w:pPr>
        <w:sectPr>
          <w:pgSz w:w="11900" w:h="16838" w:orient="portrait"/>
          <w:cols w:equalWidth="0" w:num="1">
            <w:col w:w="11180"/>
          </w:cols>
          <w:pgMar w:left="320" w:top="747" w:right="39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49" w:lineRule="exact"/>
        <w:rPr>
          <w:sz w:val="20"/>
          <w:szCs w:val="20"/>
          <w:color w:val="auto"/>
        </w:rPr>
      </w:pPr>
    </w:p>
    <w:p>
      <w:pPr>
        <w:ind w:left="640" w:hanging="319"/>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2021;</w:t>
      </w:r>
    </w:p>
    <w:p>
      <w:pPr>
        <w:spacing w:after="0" w:line="239" w:lineRule="exact"/>
        <w:rPr>
          <w:rFonts w:ascii="Arial" w:cs="Arial" w:eastAsia="Arial" w:hAnsi="Arial"/>
          <w:sz w:val="18"/>
          <w:szCs w:val="18"/>
          <w:color w:val="auto"/>
        </w:rPr>
      </w:pPr>
    </w:p>
    <w:p>
      <w:pPr>
        <w:jc w:val="both"/>
        <w:ind w:left="640" w:right="420" w:hanging="319"/>
        <w:spacing w:after="0" w:line="252"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640" w:right="380" w:hanging="319"/>
        <w:spacing w:after="0" w:line="324"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hanging="319"/>
        <w:spacing w:after="0" w:line="252"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00" w:right="200" w:hanging="464"/>
        <w:spacing w:after="0" w:line="252" w:lineRule="auto"/>
        <w:tabs>
          <w:tab w:leader="none" w:pos="10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100" w:right="500" w:hanging="464"/>
        <w:spacing w:after="0" w:line="252" w:lineRule="auto"/>
        <w:tabs>
          <w:tab w:leader="none" w:pos="10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100" w:right="660" w:hanging="464"/>
        <w:spacing w:after="0" w:line="361" w:lineRule="auto"/>
        <w:tabs>
          <w:tab w:leader="none" w:pos="1097"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00" w:hanging="464"/>
        <w:spacing w:after="0" w:line="252" w:lineRule="auto"/>
        <w:tabs>
          <w:tab w:leader="none" w:pos="10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320" w:hanging="319"/>
        <w:spacing w:after="0" w:line="324" w:lineRule="auto"/>
        <w:tabs>
          <w:tab w:leader="none" w:pos="6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1100" w:right="100" w:hanging="464"/>
        <w:spacing w:after="0" w:line="324" w:lineRule="auto"/>
        <w:tabs>
          <w:tab w:leader="none" w:pos="10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00" w:right="60" w:hanging="464"/>
        <w:spacing w:after="0" w:line="261" w:lineRule="auto"/>
        <w:tabs>
          <w:tab w:leader="none" w:pos="10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tbl>
      <w:tblPr>
        <w:tblLayout w:type="fixed"/>
        <w:tblInd w:w="112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Date: November 23, 2021</w:t>
            </w:r>
          </w:p>
        </w:tc>
        <w:tc>
          <w:tcPr>
            <w:tcW w:w="5580" w:type="dxa"/>
            <w:vAlign w:val="bottom"/>
            <w:gridSpan w:val="2"/>
          </w:tcPr>
          <w:p>
            <w:pPr>
              <w:ind w:left="1520"/>
              <w:spacing w:after="0"/>
              <w:rPr>
                <w:sz w:val="20"/>
                <w:szCs w:val="20"/>
                <w:color w:val="auto"/>
              </w:rPr>
            </w:pPr>
            <w:r>
              <w:rPr>
                <w:rFonts w:ascii="Arial" w:cs="Arial" w:eastAsia="Arial" w:hAnsi="Arial"/>
                <w:sz w:val="18"/>
                <w:szCs w:val="18"/>
                <w:color w:val="auto"/>
              </w:rPr>
              <w:t>By:    /s/ JAMES HAGEDORN</w:t>
            </w:r>
          </w:p>
        </w:tc>
      </w:tr>
      <w:tr>
        <w:trPr>
          <w:trHeight w:val="216"/>
        </w:trPr>
        <w:tc>
          <w:tcPr>
            <w:tcW w:w="3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Printed Name: James Hagedorn</w:t>
            </w:r>
          </w:p>
        </w:tc>
      </w:tr>
      <w:tr>
        <w:trPr>
          <w:trHeight w:val="172"/>
        </w:trPr>
        <w:tc>
          <w:tcPr>
            <w:tcW w:w="3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60" w:type="dxa"/>
            <w:vAlign w:val="bottom"/>
          </w:tcPr>
          <w:p>
            <w:pPr>
              <w:ind w:left="160"/>
              <w:spacing w:after="0" w:line="172" w:lineRule="exact"/>
              <w:rPr>
                <w:sz w:val="20"/>
                <w:szCs w:val="20"/>
                <w:color w:val="auto"/>
              </w:rPr>
            </w:pPr>
            <w:r>
              <w:rPr>
                <w:rFonts w:ascii="Arial" w:cs="Arial" w:eastAsia="Arial" w:hAnsi="Arial"/>
                <w:sz w:val="18"/>
                <w:szCs w:val="18"/>
                <w:color w:val="auto"/>
                <w:w w:val="95"/>
              </w:rPr>
              <w:t>Title: Chief Executive Officer and Chairman of</w:t>
            </w:r>
          </w:p>
        </w:tc>
      </w:tr>
      <w:tr>
        <w:trPr>
          <w:trHeight w:val="222"/>
        </w:trPr>
        <w:tc>
          <w:tcPr>
            <w:tcW w:w="3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the Board</w:t>
            </w:r>
          </w:p>
        </w:tc>
      </w:tr>
    </w:tbl>
    <w:p>
      <w:pPr>
        <w:sectPr>
          <w:pgSz w:w="11900" w:h="16838" w:orient="portrait"/>
          <w:cols w:equalWidth="0" w:num="1">
            <w:col w:w="11240"/>
          </w:cols>
          <w:pgMar w:left="320" w:top="87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 Cory J. Miller, certify that:</w:t>
      </w:r>
    </w:p>
    <w:p>
      <w:pPr>
        <w:spacing w:after="0" w:line="149" w:lineRule="exact"/>
        <w:rPr>
          <w:sz w:val="20"/>
          <w:szCs w:val="20"/>
          <w:color w:val="auto"/>
        </w:rPr>
      </w:pPr>
    </w:p>
    <w:p>
      <w:pPr>
        <w:ind w:left="640" w:hanging="319"/>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2021;</w:t>
      </w:r>
    </w:p>
    <w:p>
      <w:pPr>
        <w:spacing w:after="0" w:line="239" w:lineRule="exact"/>
        <w:rPr>
          <w:rFonts w:ascii="Arial" w:cs="Arial" w:eastAsia="Arial" w:hAnsi="Arial"/>
          <w:sz w:val="18"/>
          <w:szCs w:val="18"/>
          <w:color w:val="auto"/>
        </w:rPr>
      </w:pPr>
    </w:p>
    <w:p>
      <w:pPr>
        <w:jc w:val="both"/>
        <w:ind w:left="640" w:right="420" w:hanging="319"/>
        <w:spacing w:after="0" w:line="25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640" w:right="380" w:hanging="319"/>
        <w:spacing w:after="0" w:line="324"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6"/>
          <w:szCs w:val="16"/>
          <w:color w:val="auto"/>
        </w:rPr>
      </w:pPr>
    </w:p>
    <w:p>
      <w:pPr>
        <w:ind w:left="640" w:hanging="319"/>
        <w:spacing w:after="0" w:line="252"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1100" w:right="200" w:hanging="464"/>
        <w:spacing w:after="0" w:line="252" w:lineRule="auto"/>
        <w:tabs>
          <w:tab w:leader="none" w:pos="10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18"/>
          <w:szCs w:val="18"/>
          <w:color w:val="auto"/>
        </w:rPr>
      </w:pPr>
    </w:p>
    <w:p>
      <w:pPr>
        <w:ind w:left="1100" w:right="500" w:hanging="464"/>
        <w:spacing w:after="0" w:line="252" w:lineRule="auto"/>
        <w:tabs>
          <w:tab w:leader="none" w:pos="10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1100" w:right="660" w:hanging="464"/>
        <w:spacing w:after="0" w:line="361" w:lineRule="auto"/>
        <w:tabs>
          <w:tab w:leader="none" w:pos="1097" w:val="left"/>
        </w:tabs>
        <w:numPr>
          <w:ilvl w:val="1"/>
          <w:numId w:val="4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00" w:hanging="464"/>
        <w:spacing w:after="0" w:line="252" w:lineRule="auto"/>
        <w:tabs>
          <w:tab w:leader="none" w:pos="10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rFonts w:ascii="Arial" w:cs="Arial" w:eastAsia="Arial" w:hAnsi="Arial"/>
          <w:sz w:val="18"/>
          <w:szCs w:val="18"/>
          <w:color w:val="auto"/>
        </w:rPr>
      </w:pPr>
    </w:p>
    <w:p>
      <w:pPr>
        <w:ind w:left="640" w:right="320" w:hanging="319"/>
        <w:spacing w:after="0" w:line="324" w:lineRule="auto"/>
        <w:tabs>
          <w:tab w:leader="none" w:pos="628"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left="1100" w:right="100" w:hanging="464"/>
        <w:spacing w:after="0" w:line="324" w:lineRule="auto"/>
        <w:tabs>
          <w:tab w:leader="none" w:pos="10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0" w:lineRule="exact"/>
        <w:rPr>
          <w:rFonts w:ascii="Arial" w:cs="Arial" w:eastAsia="Arial" w:hAnsi="Arial"/>
          <w:sz w:val="16"/>
          <w:szCs w:val="16"/>
          <w:color w:val="auto"/>
        </w:rPr>
      </w:pPr>
    </w:p>
    <w:p>
      <w:pPr>
        <w:ind w:left="1100" w:right="60" w:hanging="464"/>
        <w:spacing w:after="0" w:line="261" w:lineRule="auto"/>
        <w:tabs>
          <w:tab w:leader="none" w:pos="10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Date: November 23, 2021</w:t>
            </w:r>
          </w:p>
        </w:tc>
        <w:tc>
          <w:tcPr>
            <w:tcW w:w="2020" w:type="dxa"/>
            <w:vAlign w:val="bottom"/>
          </w:tcPr>
          <w:p>
            <w:pPr>
              <w:ind w:left="15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CORY J. MILLER</w:t>
            </w:r>
          </w:p>
        </w:tc>
      </w:tr>
      <w:tr>
        <w:trPr>
          <w:trHeight w:val="216"/>
        </w:trPr>
        <w:tc>
          <w:tcPr>
            <w:tcW w:w="3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Printed Name: Cory J. Miller</w:t>
            </w:r>
          </w:p>
        </w:tc>
      </w:tr>
      <w:tr>
        <w:trPr>
          <w:trHeight w:val="223"/>
        </w:trPr>
        <w:tc>
          <w:tcPr>
            <w:tcW w:w="34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11240"/>
          </w:cols>
          <w:pgMar w:left="320" w:top="870"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w:t>
      </w:r>
    </w:p>
    <w:p>
      <w:pPr>
        <w:spacing w:after="0" w:line="2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SECTION 1350 CERTIFICATIONS*</w:t>
      </w:r>
    </w:p>
    <w:p>
      <w:pPr>
        <w:spacing w:after="0" w:line="240" w:lineRule="exact"/>
        <w:rPr>
          <w:sz w:val="20"/>
          <w:szCs w:val="20"/>
          <w:color w:val="auto"/>
        </w:rPr>
      </w:pPr>
    </w:p>
    <w:p>
      <w:pPr>
        <w:ind w:left="100" w:right="40"/>
        <w:spacing w:after="0" w:line="315" w:lineRule="auto"/>
        <w:rPr>
          <w:sz w:val="20"/>
          <w:szCs w:val="20"/>
          <w:color w:val="auto"/>
        </w:rPr>
      </w:pPr>
      <w:r>
        <w:rPr>
          <w:rFonts w:ascii="Arial" w:cs="Arial" w:eastAsia="Arial" w:hAnsi="Arial"/>
          <w:sz w:val="15"/>
          <w:szCs w:val="15"/>
          <w:color w:val="auto"/>
        </w:rPr>
        <w:t>In connection with the Annual Report on Form 10-K of The Scotts Miracle-Gro Company (the “Company”) for the fiscal year ended September 30, 2021 as filed with the Securities and Exchange Commission on the date hereof (the “Report”), the undersigned James Hagedorn, Chief Executive Officer and Chairman of the Board of the Company, and Cory J. Miller,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93" w:lineRule="exact"/>
        <w:rPr>
          <w:sz w:val="20"/>
          <w:szCs w:val="20"/>
          <w:color w:val="auto"/>
        </w:rPr>
      </w:pPr>
    </w:p>
    <w:p>
      <w:pPr>
        <w:ind w:left="420" w:hanging="315"/>
        <w:spacing w:after="0"/>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39" w:lineRule="exact"/>
        <w:rPr>
          <w:rFonts w:ascii="Arial" w:cs="Arial" w:eastAsia="Arial" w:hAnsi="Arial"/>
          <w:sz w:val="18"/>
          <w:szCs w:val="18"/>
          <w:color w:val="auto"/>
        </w:rPr>
      </w:pPr>
    </w:p>
    <w:p>
      <w:pPr>
        <w:ind w:left="740" w:right="580" w:hanging="635"/>
        <w:spacing w:after="0" w:line="261" w:lineRule="auto"/>
        <w:tabs>
          <w:tab w:leader="none" w:pos="42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/s/ CORY J. MILLER</w:t>
            </w:r>
          </w:p>
        </w:tc>
      </w:tr>
      <w:tr>
        <w:trPr>
          <w:trHeight w:val="20"/>
        </w:trPr>
        <w:tc>
          <w:tcPr>
            <w:tcW w:w="1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nted Name: James Hagedorn</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Printed Name: Cory J. Miller</w:t>
            </w: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le: Chief Executive Officer and Chairman of the Board</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07"/>
        </w:trPr>
        <w:tc>
          <w:tcPr>
            <w:tcW w:w="5220" w:type="dxa"/>
            <w:vAlign w:val="bottom"/>
            <w:gridSpan w:val="2"/>
          </w:tcPr>
          <w:p>
            <w:pPr>
              <w:spacing w:after="0"/>
              <w:rPr>
                <w:sz w:val="20"/>
                <w:szCs w:val="20"/>
                <w:color w:val="auto"/>
              </w:rPr>
            </w:pPr>
            <w:r>
              <w:rPr>
                <w:rFonts w:ascii="Arial" w:cs="Arial" w:eastAsia="Arial" w:hAnsi="Arial"/>
                <w:sz w:val="18"/>
                <w:szCs w:val="18"/>
                <w:color w:val="auto"/>
              </w:rPr>
              <w:t>vember 23, 2021</w:t>
            </w:r>
          </w:p>
        </w:tc>
        <w:tc>
          <w:tcPr>
            <w:tcW w:w="5460" w:type="dxa"/>
            <w:vAlign w:val="bottom"/>
            <w:gridSpan w:val="2"/>
          </w:tcPr>
          <w:p>
            <w:pPr>
              <w:ind w:left="40"/>
              <w:spacing w:after="0"/>
              <w:rPr>
                <w:sz w:val="20"/>
                <w:szCs w:val="20"/>
                <w:color w:val="auto"/>
              </w:rPr>
            </w:pPr>
            <w:r>
              <w:rPr>
                <w:rFonts w:ascii="Arial" w:cs="Arial" w:eastAsia="Arial" w:hAnsi="Arial"/>
                <w:sz w:val="18"/>
                <w:szCs w:val="18"/>
                <w:color w:val="auto"/>
              </w:rPr>
              <w:t>November 23, 2021</w:t>
            </w:r>
          </w:p>
        </w:tc>
      </w:tr>
    </w:tbl>
    <w:p>
      <w:pPr>
        <w:spacing w:after="0" w:line="277" w:lineRule="exact"/>
        <w:rPr>
          <w:sz w:val="20"/>
          <w:szCs w:val="20"/>
          <w:color w:val="auto"/>
        </w:rPr>
      </w:pPr>
    </w:p>
    <w:p>
      <w:pPr>
        <w:ind w:left="780" w:right="120" w:hanging="657"/>
        <w:spacing w:after="0" w:line="234"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340"/>
      </w:cols>
      <w:pgMar w:left="220" w:top="8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bullet"/>
      <w:start w:val="1"/>
    </w:lvl>
  </w:abstractNum>
  <w:abstractNum w:abstractNumId="4">
    <w:nsid w:val="71F32454"/>
    <w:multiLevelType w:val="hybridMultilevel"/>
    <w:lvl w:ilvl="0">
      <w:lvlJc w:val="left"/>
      <w:lvlText w:val="2"/>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lowerLetter"/>
      <w:start w:val="1"/>
    </w:lvl>
  </w:abstractNum>
  <w:abstractNum w:abstractNumId="22">
    <w:nsid w:val="3804823E"/>
    <w:multiLevelType w:val="hybridMultilevel"/>
    <w:lvl w:ilvl="0">
      <w:lvlJc w:val="left"/>
      <w:lvlText w:val="(%1)"/>
      <w:numFmt w:val="lowerLetter"/>
      <w:start w:val="1"/>
    </w:lvl>
  </w:abstractNum>
  <w:abstractNum w:abstractNumId="23">
    <w:nsid w:val="77465F01"/>
    <w:multiLevelType w:val="hybridMultilevel"/>
    <w:lvl w:ilvl="0">
      <w:lvlJc w:val="left"/>
      <w:lvlText w:val="(%1)"/>
      <w:numFmt w:val="lowerLetter"/>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lowerRoman"/>
      <w:start w:val="3"/>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2"/>
    </w:lvl>
  </w:abstractNum>
  <w:abstractNum w:abstractNumId="30">
    <w:nsid w:val="580BD78F"/>
    <w:multiLevelType w:val="hybridMultilevel"/>
    <w:lvl w:ilvl="0">
      <w:lvlJc w:val="left"/>
      <w:lvlText w:val="(%1)"/>
      <w:numFmt w:val="lowerLetter"/>
      <w:start w:val="3"/>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lvl w:ilvl="1">
      <w:lvlJc w:val="left"/>
      <w:lvlText w:val="(%2)"/>
      <w:numFmt w:val="decimal"/>
      <w:start w:val="2"/>
    </w:lvl>
  </w:abstractNum>
  <w:abstractNum w:abstractNumId="33">
    <w:nsid w:val="70A64E2A"/>
    <w:multiLevelType w:val="hybridMultilevel"/>
    <w:lvl w:ilvl="0">
      <w:lvlJc w:val="left"/>
      <w:lvlText w:val="•"/>
      <w:numFmt w:val="bullet"/>
      <w:start w:val="1"/>
    </w:lvl>
    <w:lvl w:ilvl="1">
      <w:lvlJc w:val="left"/>
      <w:lvlText w:val="(%2)"/>
      <w:numFmt w:val="decimal"/>
      <w:start w:val="4"/>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decimal"/>
      <w:start w:val="18"/>
    </w:lvl>
  </w:abstractNum>
  <w:abstractNum w:abstractNumId="40">
    <w:nsid w:val="7A6D8D3C"/>
    <w:multiLevelType w:val="hybridMultilevel"/>
    <w:lvl w:ilvl="0">
      <w:lvlJc w:val="left"/>
      <w:lvlText w:val="%1"/>
      <w:numFmt w:val="decimal"/>
      <w:start w:val="2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bullet"/>
      <w:start w:val="1"/>
    </w:lvl>
  </w:abstractNum>
  <w:abstractNum w:abstractNumId="43">
    <w:nsid w:val="6DE91B18"/>
    <w:multiLevelType w:val="hybridMultilevel"/>
    <w:lvl w:ilvl="0">
      <w:lvlJc w:val="left"/>
      <w:lvlText w:val="2"/>
      <w:numFmt w:val="bullet"/>
      <w:start w:val="1"/>
    </w:lvl>
  </w:abstractNum>
  <w:abstractNum w:abstractNumId="44">
    <w:nsid w:val="38437FDB"/>
    <w:multiLevelType w:val="hybridMultilevel"/>
    <w:lvl w:ilvl="0">
      <w:lvlJc w:val="left"/>
      <w:lvlText w:val="3"/>
      <w:numFmt w:val="bullet"/>
      <w:start w:val="1"/>
    </w:lvl>
  </w:abstractNum>
  <w:abstractNum w:abstractNumId="45">
    <w:nsid w:val="7644A45C"/>
    <w:multiLevelType w:val="hybridMultilevel"/>
    <w:lvl w:ilvl="0">
      <w:lvlJc w:val="left"/>
      <w:lvlText w:val="4"/>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2" Type="http://schemas.openxmlformats.org/officeDocument/2006/relationships/image" Target="media/image139.png"/><Relationship Id="rId175" Type="http://schemas.openxmlformats.org/officeDocument/2006/relationships/image" Target="media/image140.png"/><Relationship Id="rId194" Type="http://schemas.openxmlformats.org/officeDocument/2006/relationships/image" Target="media/image141.png"/><Relationship Id="rId209" Type="http://schemas.openxmlformats.org/officeDocument/2006/relationships/image" Target="media/image142.png"/><Relationship Id="rId210" Type="http://schemas.openxmlformats.org/officeDocument/2006/relationships/image" Target="media/image143.jpeg"/><Relationship Id="rId211"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146" Type="http://schemas.openxmlformats.org/officeDocument/2006/relationships/hyperlink" Target="http://www.sec.gov/Archives/edgar/data/825542/000095015205002525/l12922aexv3w1.htm" TargetMode="External"/><Relationship Id="rId147" Type="http://schemas.openxmlformats.org/officeDocument/2006/relationships/hyperlink" Target="http://www.sec.gov/Archives/edgar/data/825542/000095015205002525/l12922aexv3w2.htm" TargetMode="External"/><Relationship Id="rId148" Type="http://schemas.openxmlformats.org/officeDocument/2006/relationships/hyperlink" Target="http://www.sec.gov/Archives/edgar/data/825542/000095015205002525/l12922aexv3w3.htm" TargetMode="External"/><Relationship Id="rId149" Type="http://schemas.openxmlformats.org/officeDocument/2006/relationships/hyperlink" Target="http://www.sec.gov/Archives/edgar/data/825542/000144398416000071/exhibit41smg2016-12x168xk.htm" TargetMode="External"/><Relationship Id="rId150" Type="http://schemas.openxmlformats.org/officeDocument/2006/relationships/hyperlink" Target="http://www.sec.gov/Archives/edgar/data/825542/000154638018000022/exhibit104smg6302018q3f18.htm" TargetMode="External"/><Relationship Id="rId151" Type="http://schemas.openxmlformats.org/officeDocument/2006/relationships/hyperlink" Target="http://www.sec.gov/Archives/edgar/data/825542/000154638020000019/exhibit42smg20200328.htm" TargetMode="External"/><Relationship Id="rId152" Type="http://schemas.openxmlformats.org/officeDocument/2006/relationships/hyperlink" Target="https://www.sec.gov/Archives/edgar/data/825542/000154638021000020/exhibit42smg20210403.htm" TargetMode="External"/><Relationship Id="rId153" Type="http://schemas.openxmlformats.org/officeDocument/2006/relationships/hyperlink" Target="http://www.sec.gov/Archives/edgar/data/0000825542/000154638021000030/exhibit41smg20210703.htm" TargetMode="External"/><Relationship Id="rId154" Type="http://schemas.openxmlformats.org/officeDocument/2006/relationships/hyperlink" Target="http://www.sec.gov/Archives/edgar/data/825542/000144398419000203/exhibit41smg2019-10x28.htm" TargetMode="External"/><Relationship Id="rId155" Type="http://schemas.openxmlformats.org/officeDocument/2006/relationships/hyperlink" Target="http://www.sec.gov/Archives/edgar/data/825542/000154638020000019/exhibit41smg20200328.htm" TargetMode="External"/><Relationship Id="rId156" Type="http://schemas.openxmlformats.org/officeDocument/2006/relationships/hyperlink" Target="http://www.sec.gov/Archives/edgar/data/0000825542/000154638021000020/exhibit43smg20210403.htm" TargetMode="External"/><Relationship Id="rId157" Type="http://schemas.openxmlformats.org/officeDocument/2006/relationships/hyperlink" Target="http://www.sec.gov/Archives/edgar/data/0000825542/000154638021000030/exhibit42smg20210703.htm" TargetMode="External"/><Relationship Id="rId158" Type="http://schemas.openxmlformats.org/officeDocument/2006/relationships/hyperlink" Target="http://www.sec.gov/Archives/edgar/data/0000825542/000144398421000157/exhibit41-smg2021x03x178xk.htm" TargetMode="External"/><Relationship Id="rId159" Type="http://schemas.openxmlformats.org/officeDocument/2006/relationships/hyperlink" Target="http://www.sec.gov/Archives/edgar/data/0000825542/000154638021000030/exhibit43smg20210703.htm" TargetMode="External"/><Relationship Id="rId160" Type="http://schemas.openxmlformats.org/officeDocument/2006/relationships/hyperlink" Target="http://www.sec.gov/Archives/edgar/data/0000825542/000144398421000157/exhibit43-smg2021x03x178xk.htm" TargetMode="External"/><Relationship Id="rId161" Type="http://schemas.openxmlformats.org/officeDocument/2006/relationships/hyperlink" Target="http://www.sec.gov/Archives/edgar/data/0000825542/000144398421000268/exhibit41-smg2021x08x138xk.htm" TargetMode="External"/><Relationship Id="rId163" Type="http://schemas.openxmlformats.org/officeDocument/2006/relationships/hyperlink" Target="http://www.sec.gov/Archives/edgar/data/0000825542/000144398421000268/exhibit43-smg2021x08x138xk.htm" TargetMode="External"/><Relationship Id="rId164" Type="http://schemas.openxmlformats.org/officeDocument/2006/relationships/hyperlink" Target="http://www.sec.gov/Archives/edgar/data/825542/000154638019000034/exhibit44smg930201910kfy19.htm" TargetMode="External"/><Relationship Id="rId165" Type="http://schemas.openxmlformats.org/officeDocument/2006/relationships/hyperlink" Target="http://www.sec.gov/Archives/edgar/data/825542/000144398418000018/exhibit101smg2018-07x118xk.htm" TargetMode="External"/><Relationship Id="rId166" Type="http://schemas.openxmlformats.org/officeDocument/2006/relationships/hyperlink" Target="http://www.sec.gov/Archives/edgar/data/0000825542/000154638021000030/exhibit10smg20210703.htm" TargetMode="External"/><Relationship Id="rId167" Type="http://schemas.openxmlformats.org/officeDocument/2006/relationships/hyperlink" Target="http://www.sec.gov/Archives/edgar/data/825542/000144398418000018/exhibit102smg2018-07x118xk.htm" TargetMode="External"/><Relationship Id="rId168" Type="http://schemas.openxmlformats.org/officeDocument/2006/relationships/hyperlink" Target="http://www.sec.gov/Archives/edgar/data/825542/000144398413000006/smg2013-01x148xkannualmeet.htm" TargetMode="External"/><Relationship Id="rId169" Type="http://schemas.openxmlformats.org/officeDocument/2006/relationships/hyperlink" Target="http://www.sec.gov/Archives/edgar/data/825542/000154638015000015/exhibit107smg-328201510xq2.htm" TargetMode="External"/><Relationship Id="rId170" Type="http://schemas.openxmlformats.org/officeDocument/2006/relationships/hyperlink" Target="http://www.sec.gov/Archives/edgar/data/825542/000144398417000010/smg2017-01x308xkxexhibit101.htm" TargetMode="External"/><Relationship Id="rId171" Type="http://schemas.openxmlformats.org/officeDocument/2006/relationships/hyperlink" Target="http://www.sec.gov/Archives/edgar/data/825542/000144398417000010/smg2017-01x308xkxexhibit102.htm" TargetMode="External"/><Relationship Id="rId172" Type="http://schemas.openxmlformats.org/officeDocument/2006/relationships/hyperlink" Target="http://www.sec.gov/Archives/edgar/data/825542/000144398419000004/exhibit101smg2019-01x308xk.htm" TargetMode="External"/><Relationship Id="rId173" Type="http://schemas.openxmlformats.org/officeDocument/2006/relationships/hyperlink" Target="http://www.sec.gov/Archives/edgar/data/825542/000144398417000010/smg2017-01x308xkxexhibit104.htm" TargetMode="External"/><Relationship Id="rId174" Type="http://schemas.openxmlformats.org/officeDocument/2006/relationships/hyperlink" Target="http://www.sec.gov/Archives/edgar/data/825542/000144398417000010/smg2017-01x308xkxexhibit105.htm" TargetMode="External"/><Relationship Id="rId176" Type="http://schemas.openxmlformats.org/officeDocument/2006/relationships/hyperlink" Target="http://www.sec.gov/Archives/edgar/data/825542/000154638018000030/exhibit103gsmg930201810kfy.htm" TargetMode="External"/><Relationship Id="rId177" Type="http://schemas.openxmlformats.org/officeDocument/2006/relationships/hyperlink" Target="http://www.sec.gov/Archives/edgar/data/825542/000154638018000030/exhibit103hismg930201810kf.htm" TargetMode="External"/><Relationship Id="rId178" Type="http://schemas.openxmlformats.org/officeDocument/2006/relationships/hyperlink" Target="http://www.sec.gov/Archives/edgar/data/825542/000154638018000030/exhibit103hiismg930201810k.htm" TargetMode="External"/><Relationship Id="rId179" Type="http://schemas.openxmlformats.org/officeDocument/2006/relationships/hyperlink" Target="http://www.sec.gov/Archives/edgar/data/0000825542/000154638020000045/exhibit103smg20200930.htm" TargetMode="External"/><Relationship Id="rId180" Type="http://schemas.openxmlformats.org/officeDocument/2006/relationships/hyperlink" Target="http://www.sec.gov/Archives/edgar/data/825542/000154638020000032/exhibit10smg20200627.htm" TargetMode="External"/><Relationship Id="rId181" Type="http://schemas.openxmlformats.org/officeDocument/2006/relationships/hyperlink" Target="http://www.sec.gov/Archives/edgar/data/825542/000095015206006818/l21737aexv10w1.htm" TargetMode="External"/><Relationship Id="rId182" Type="http://schemas.openxmlformats.org/officeDocument/2006/relationships/hyperlink" Target="http://www.sec.gov/Archives/edgar/data/825542/000154638015000006/exhibit102smg12271410qf15.htm" TargetMode="External"/><Relationship Id="rId183" Type="http://schemas.openxmlformats.org/officeDocument/2006/relationships/hyperlink" Target="http://www.sec.gov/Archives/edgar/data/825542/000144398413000030/smg2013-12x178kex102.htm" TargetMode="External"/><Relationship Id="rId184" Type="http://schemas.openxmlformats.org/officeDocument/2006/relationships/hyperlink" Target="http://www.sec.gov/Archives/edgar/data/825542/000144398413000030/smg2013-12x178kex101.htm" TargetMode="External"/><Relationship Id="rId185" Type="http://schemas.openxmlformats.org/officeDocument/2006/relationships/hyperlink" Target="http://www.sec.gov/Archives/edgar/data/825542/000154638019000034/exhibit107smg930201910kfy19.htm" TargetMode="External"/><Relationship Id="rId186" Type="http://schemas.openxmlformats.org/officeDocument/2006/relationships/hyperlink" Target="http://www.sec.gov/Archives/edgar/data/0000825542/000154638020000006/exhibit10smg12282019q1f20.htm" TargetMode="External"/><Relationship Id="rId187" Type="http://schemas.openxmlformats.org/officeDocument/2006/relationships/hyperlink" Target="http://www.sec.gov/Archives/edgar/data/0000825542/000154638021000020/exhibit103smg20210403.htm" TargetMode="External"/><Relationship Id="rId188" Type="http://schemas.openxmlformats.org/officeDocument/2006/relationships/hyperlink" Target="http://www.sec.gov/Archives/edgar/data/825542/000154638017000016/exhibit109smg412017q2f17.htm" TargetMode="External"/><Relationship Id="rId189" Type="http://schemas.openxmlformats.org/officeDocument/2006/relationships/hyperlink" Target="http://www.sec.gov/Archives/edgar/data/825542/000154638017000016/exhibit1010smg412017q2f17.htm" TargetMode="External"/><Relationship Id="rId190" Type="http://schemas.openxmlformats.org/officeDocument/2006/relationships/hyperlink" Target="http://www.sec.gov/Archives/edgar/data/825542/000154638019000021/exhibit102smg2019-07x318xk.htm" TargetMode="External"/><Relationship Id="rId191" Type="http://schemas.openxmlformats.org/officeDocument/2006/relationships/hyperlink" Target="http://www.sec.gov/Archives/edgar/data/825542/000154638019000021/exhibit104smg2019-07x318xk.htm" TargetMode="External"/><Relationship Id="rId192" Type="http://schemas.openxmlformats.org/officeDocument/2006/relationships/hyperlink" Target="http://www.sec.gov/Archives/edgar/data/825542/000144398417000025/smg201704138kexhibit101.htm" TargetMode="External"/><Relationship Id="rId193" Type="http://schemas.openxmlformats.org/officeDocument/2006/relationships/hyperlink" Target="http://www.sec.gov/Archives/edgar/data/825542/000155278118000366/e18323_ex10-1.htm" TargetMode="External"/><Relationship Id="rId195" Type="http://schemas.openxmlformats.org/officeDocument/2006/relationships/hyperlink" Target="http://www.sec.gov/Archives/edgar/data/825542/000144398420000219/exhibit101-smg2020x08x.htm" TargetMode="External"/><Relationship Id="rId196" Type="http://schemas.openxmlformats.org/officeDocument/2006/relationships/hyperlink" Target="http://www.sec.gov/Archives/edgar/data/0000825542/000144398421000271/exhibit101-smg2021x08x208x.htm" TargetMode="External"/><Relationship Id="rId197" Type="http://schemas.openxmlformats.org/officeDocument/2006/relationships/hyperlink" Target="http://www.sec.gov/Archives/edgar/data/825542/000144398417000025/smg201704138kexhibit102.htm" TargetMode="External"/><Relationship Id="rId198" Type="http://schemas.openxmlformats.org/officeDocument/2006/relationships/hyperlink" Target="http://www.sec.gov/Archives/edgar/data/825542/000144398417000045/exhibit101smg2017-08x318xk.htm" TargetMode="External"/><Relationship Id="rId199" Type="http://schemas.openxmlformats.org/officeDocument/2006/relationships/hyperlink" Target="http://www.sec.gov/Archives/edgar/data/825542/000155278118000366/e18323_ex10-2.htm" TargetMode="External"/><Relationship Id="rId200" Type="http://schemas.openxmlformats.org/officeDocument/2006/relationships/hyperlink" Target="http://www.sec.gov/Archives/edgar/data/825542/000144398419000150/exhibit101smg2019-08x2.htm" TargetMode="External"/><Relationship Id="rId201" Type="http://schemas.openxmlformats.org/officeDocument/2006/relationships/hyperlink" Target="http://www.sec.gov/Archives/edgar/data/825542/000144398420000219/exhibit102-smg2020x08x.htm" TargetMode="External"/><Relationship Id="rId202" Type="http://schemas.openxmlformats.org/officeDocument/2006/relationships/hyperlink" Target="http://www.sec.gov/Archives/edgar/data/0000825542/000144398421000271/exhibit102-smg2021x08x208x.htm" TargetMode="External"/><Relationship Id="rId203" Type="http://schemas.openxmlformats.org/officeDocument/2006/relationships/hyperlink" Target="http://www.sec.gov/Archives/edgar/data/825542/000154638016000053/exhibit104smg422016q2f16.htm" TargetMode="External"/><Relationship Id="rId204" Type="http://schemas.openxmlformats.org/officeDocument/2006/relationships/hyperlink" Target="http://www.sec.gov/Archives/edgar/data/825542/000155278118000366/e18323_ex10-3.htm" TargetMode="External"/><Relationship Id="rId205" Type="http://schemas.openxmlformats.org/officeDocument/2006/relationships/hyperlink" Target="http://www.sec.gov/Archives/edgar/data/0000825542/000144398421000157/exhibit101-smg2021x03x178x.htm" TargetMode="External"/><Relationship Id="rId206" Type="http://schemas.openxmlformats.org/officeDocument/2006/relationships/hyperlink" Target="http://www.sec.gov/Archives/edgar/data/0000825542/000144398421000268/exhibit101-smg2021x08x138x.htm" TargetMode="External"/><Relationship Id="rId207" Type="http://schemas.openxmlformats.org/officeDocument/2006/relationships/hyperlink" Target="http://www.sec.gov/Archives/edgar/data/0000825542/000144398421000032/exhibit101-smg2021x01x288x.htm" TargetMode="External"/><Relationship Id="rId208" Type="http://schemas.openxmlformats.org/officeDocument/2006/relationships/hyperlink" Target="http://www.sec.gov/Archives/edgar/data/825542/000154638020000006/exhibit18smg12282019q1f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2021-11-23T15:47:53Z</dcterms:created>
  <dcterms:modified xsi:type="dcterms:W3CDTF">2021-11-23T15:47:53Z</dcterms:modified>
</cp:coreProperties>
</file>