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WASHINGTON, D. C. 20549</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[X] QUARTERLY REPORT PURSUANT TO SECTION 13 OR 15(d)</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83"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For the quarterly period ended March 29, 1997</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1320"/>
        <w:spacing w:after="0"/>
        <w:rPr>
          <w:sz w:val="20"/>
          <w:szCs w:val="20"/>
          <w:color w:val="auto"/>
        </w:rPr>
      </w:pPr>
      <w:r>
        <w:rPr>
          <w:rFonts w:ascii="Courier New" w:cs="Courier New" w:eastAsia="Courier New" w:hAnsi="Courier New"/>
          <w:sz w:val="16"/>
          <w:szCs w:val="16"/>
          <w:color w:val="auto"/>
        </w:rPr>
        <w:t>[ ] TRANSITION REPORT PURSUANT TO SECTION 13 OR 15(d)</w:t>
      </w:r>
    </w:p>
    <w:p>
      <w:pPr>
        <w:spacing w:after="0" w:line="1" w:lineRule="exact"/>
        <w:rPr>
          <w:sz w:val="24"/>
          <w:szCs w:val="24"/>
          <w:color w:val="auto"/>
        </w:rPr>
      </w:pPr>
    </w:p>
    <w:p>
      <w:pPr>
        <w:ind w:left="198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86"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For the transition period from ____________ to ____________</w:t>
      </w:r>
    </w:p>
    <w:p>
      <w:pPr>
        <w:spacing w:after="0" w:line="190"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Commission file number 1-11593</w:t>
      </w:r>
    </w:p>
    <w:p>
      <w:pPr>
        <w:spacing w:after="0" w:line="183"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122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5" w:right="1440" w:bottom="1440" w:gutter="0" w:footer="0" w:header="0"/>
        </w:sectPr>
      </w:pPr>
    </w:p>
    <w:p>
      <w:pPr>
        <w:spacing w:after="0" w:line="183"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1320"/>
        <w:spacing w:after="0"/>
        <w:rPr>
          <w:sz w:val="20"/>
          <w:szCs w:val="20"/>
          <w:color w:val="auto"/>
        </w:rPr>
      </w:pPr>
      <w:r>
        <w:rPr>
          <w:rFonts w:ascii="Courier New" w:cs="Courier New" w:eastAsia="Courier New" w:hAnsi="Courier New"/>
          <w:sz w:val="16"/>
          <w:szCs w:val="16"/>
          <w:color w:val="auto"/>
        </w:rPr>
        <w:t>31-1199481</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64" w:lineRule="exact"/>
        <w:rPr>
          <w:sz w:val="24"/>
          <w:szCs w:val="24"/>
          <w:color w:val="auto"/>
        </w:rPr>
      </w:pPr>
    </w:p>
    <w:p>
      <w:pPr>
        <w:sectPr>
          <w:pgSz w:w="11900" w:h="16838" w:orient="portrait"/>
          <w:cols w:equalWidth="0" w:num="2">
            <w:col w:w="3440" w:space="720"/>
            <w:col w:w="6059"/>
          </w:cols>
          <w:pgMar w:left="240" w:top="235" w:right="1440" w:bottom="1440" w:gutter="0" w:footer="0" w:header="0"/>
          <w:type w:val="continuous"/>
        </w:sectPr>
      </w:pPr>
    </w:p>
    <w:p>
      <w:pPr>
        <w:ind w:left="2840"/>
        <w:spacing w:after="0"/>
        <w:rPr>
          <w:sz w:val="20"/>
          <w:szCs w:val="20"/>
          <w:color w:val="auto"/>
        </w:rPr>
      </w:pPr>
      <w:r>
        <w:rPr>
          <w:rFonts w:ascii="Courier New" w:cs="Courier New" w:eastAsia="Courier New" w:hAnsi="Courier New"/>
          <w:sz w:val="16"/>
          <w:szCs w:val="16"/>
          <w:color w:val="auto"/>
        </w:rPr>
        <w:t>14111 Scottslawn Road</w:t>
      </w: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Marysville, Ohio 43041</w:t>
      </w:r>
    </w:p>
    <w:p>
      <w:pPr>
        <w:spacing w:after="0" w:line="1"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(Zip Code)</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(937) 644-0011</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83" w:lineRule="exact"/>
        <w:rPr>
          <w:sz w:val="24"/>
          <w:szCs w:val="24"/>
          <w:color w:val="auto"/>
        </w:rPr>
      </w:pPr>
    </w:p>
    <w:p>
      <w:pPr>
        <w:ind w:left="3400"/>
        <w:spacing w:after="0"/>
        <w:rPr>
          <w:sz w:val="20"/>
          <w:szCs w:val="20"/>
          <w:color w:val="auto"/>
        </w:rPr>
      </w:pPr>
      <w:r>
        <w:rPr>
          <w:rFonts w:ascii="Courier New" w:cs="Courier New" w:eastAsia="Courier New" w:hAnsi="Courier New"/>
          <w:sz w:val="16"/>
          <w:szCs w:val="16"/>
          <w:color w:val="auto"/>
        </w:rPr>
        <w:t>No change</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3400" w:right="3119" w:hanging="3309"/>
        <w:spacing w:after="0" w:line="237" w:lineRule="auto"/>
        <w:rPr>
          <w:sz w:val="20"/>
          <w:szCs w:val="20"/>
          <w:color w:val="auto"/>
        </w:rPr>
      </w:pPr>
      <w:r>
        <w:rPr>
          <w:rFonts w:ascii="Courier New" w:cs="Courier New" w:eastAsia="Courier New" w:hAnsi="Courier New"/>
          <w:sz w:val="16"/>
          <w:szCs w:val="16"/>
          <w:color w:val="auto"/>
        </w:rPr>
        <w:t>(Former name, former address and former fiscal year, if changed since last report.)</w:t>
      </w:r>
    </w:p>
    <w:p>
      <w:pPr>
        <w:spacing w:after="0" w:line="188" w:lineRule="exact"/>
        <w:rPr>
          <w:sz w:val="24"/>
          <w:szCs w:val="24"/>
          <w:color w:val="auto"/>
        </w:rPr>
      </w:pPr>
    </w:p>
    <w:p>
      <w:pPr>
        <w:jc w:val="both"/>
        <w:ind w:right="2659"/>
        <w:spacing w:after="0" w:line="25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w:t>
      </w:r>
    </w:p>
    <w:p>
      <w:pPr>
        <w:spacing w:after="0" w:line="2" w:lineRule="exact"/>
        <w:rPr>
          <w:sz w:val="24"/>
          <w:szCs w:val="24"/>
          <w:color w:val="auto"/>
        </w:rPr>
      </w:pPr>
    </w:p>
    <w:p>
      <w:pPr>
        <w:ind w:right="3499"/>
        <w:spacing w:after="0" w:line="237" w:lineRule="auto"/>
        <w:rPr>
          <w:sz w:val="20"/>
          <w:szCs w:val="20"/>
          <w:color w:val="auto"/>
        </w:rPr>
      </w:pPr>
      <w:r>
        <w:rPr>
          <w:rFonts w:ascii="Courier New" w:cs="Courier New" w:eastAsia="Courier New" w:hAnsi="Courier New"/>
          <w:sz w:val="16"/>
          <w:szCs w:val="16"/>
          <w:color w:val="auto"/>
        </w:rPr>
        <w:t>required to file such reports), and (2) has been subject to such filing requirements for the past 90 days.</w:t>
      </w:r>
    </w:p>
    <w:p>
      <w:pPr>
        <w:sectPr>
          <w:pgSz w:w="11900" w:h="16838" w:orient="portrait"/>
          <w:cols w:equalWidth="0" w:num="1">
            <w:col w:w="10219"/>
          </w:cols>
          <w:pgMar w:left="240" w:top="235" w:right="1440" w:bottom="1440" w:gutter="0" w:footer="0" w:header="0"/>
          <w:type w:val="continuous"/>
        </w:sectPr>
      </w:pPr>
    </w:p>
    <w:p>
      <w:pPr>
        <w:spacing w:after="0" w:line="188" w:lineRule="exact"/>
        <w:rPr>
          <w:sz w:val="24"/>
          <w:szCs w:val="24"/>
          <w:color w:val="auto"/>
        </w:rPr>
      </w:pPr>
    </w:p>
    <w:p>
      <w:pPr>
        <w:ind w:left="3120"/>
        <w:spacing w:after="0"/>
        <w:rPr>
          <w:sz w:val="20"/>
          <w:szCs w:val="20"/>
          <w:color w:val="auto"/>
        </w:rPr>
      </w:pPr>
      <w:r>
        <w:rPr>
          <w:rFonts w:ascii="Courier New" w:cs="Courier New" w:eastAsia="Courier New" w:hAnsi="Courier New"/>
          <w:sz w:val="15"/>
          <w:szCs w:val="15"/>
          <w:color w:val="auto"/>
        </w:rPr>
        <w:t>Yes X</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8" w:lineRule="exact"/>
        <w:rPr>
          <w:sz w:val="24"/>
          <w:szCs w:val="24"/>
          <w:color w:val="auto"/>
        </w:rPr>
      </w:pPr>
    </w:p>
    <w:p>
      <w:pPr>
        <w:sectPr>
          <w:pgSz w:w="11900" w:h="16838" w:orient="portrait"/>
          <w:cols w:equalWidth="0" w:num="2">
            <w:col w:w="3600" w:space="560"/>
            <w:col w:w="6059"/>
          </w:cols>
          <w:pgMar w:left="240" w:top="235" w:right="1440" w:bottom="1440" w:gutter="0" w:footer="0" w:header="0"/>
          <w:type w:val="continuous"/>
        </w:sectPr>
      </w:pPr>
    </w:p>
    <w:p>
      <w:pPr>
        <w:spacing w:after="0" w:line="4"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sectPr>
          <w:pgSz w:w="11900" w:h="16838" w:orient="portrait"/>
          <w:cols w:equalWidth="0" w:num="2">
            <w:col w:w="3680" w:space="660"/>
            <w:col w:w="5879"/>
          </w:cols>
          <w:pgMar w:left="240" w:top="235" w:right="1440" w:bottom="1440" w:gutter="0" w:footer="0" w:header="0"/>
          <w:type w:val="continuous"/>
        </w:sectPr>
      </w:pPr>
    </w:p>
    <w:p>
      <w:pPr>
        <w:ind w:right="3039"/>
        <w:spacing w:after="0" w:line="237"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35" w:right="1440" w:bottom="1440" w:gutter="0" w:footer="0" w:header="0"/>
          <w:type w:val="continuous"/>
        </w:sectPr>
      </w:pPr>
    </w:p>
    <w:p>
      <w:pPr>
        <w:spacing w:after="0" w:line="184"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18,597,147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Shares, voting, no par value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Outstanding at May 7, 1997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89" w:lineRule="exact"/>
        <w:rPr>
          <w:sz w:val="24"/>
          <w:szCs w:val="24"/>
          <w:color w:val="auto"/>
        </w:rPr>
      </w:pPr>
    </w:p>
    <w:p>
      <w:pPr>
        <w:sectPr>
          <w:pgSz w:w="11900" w:h="16838" w:orient="portrait"/>
          <w:cols w:equalWidth="0" w:num="2">
            <w:col w:w="3500" w:space="660"/>
            <w:col w:w="6059"/>
          </w:cols>
          <w:pgMar w:left="240" w:top="235" w:right="1440" w:bottom="1440" w:gutter="0" w:footer="0" w:header="0"/>
          <w:type w:val="continuous"/>
        </w:sectPr>
      </w:pPr>
    </w:p>
    <w:p>
      <w:pPr>
        <w:spacing w:after="0" w:line="164"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Page 1 of 34 pages</w:t>
      </w:r>
    </w:p>
    <w:p>
      <w:pPr>
        <w:spacing w:after="0" w:line="186"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Exhibit Index at page 23</w:t>
      </w:r>
    </w:p>
    <w:p>
      <w:pPr>
        <w:sectPr>
          <w:pgSz w:w="11900" w:h="16838" w:orient="portrait"/>
          <w:cols w:equalWidth="0" w:num="1">
            <w:col w:w="10219"/>
          </w:cols>
          <w:pgMar w:left="240" w:top="23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6520" w:type="dxa"/>
            <w:vAlign w:val="bottom"/>
          </w:tcPr>
          <w:p>
            <w:pPr>
              <w:ind w:left="1180"/>
              <w:spacing w:after="0"/>
              <w:rPr>
                <w:sz w:val="20"/>
                <w:szCs w:val="20"/>
                <w:color w:val="auto"/>
              </w:rPr>
            </w:pPr>
            <w:r>
              <w:rPr>
                <w:rFonts w:ascii="Courier New" w:cs="Courier New" w:eastAsia="Courier New" w:hAnsi="Courier New"/>
                <w:sz w:val="16"/>
                <w:szCs w:val="16"/>
                <w:color w:val="auto"/>
              </w:rPr>
              <w:t>THE SCOTTS COMPANY AND SUBSIDIARIES</w:t>
            </w:r>
          </w:p>
        </w:tc>
        <w:tc>
          <w:tcPr>
            <w:tcW w:w="1660" w:type="dxa"/>
            <w:vAlign w:val="bottom"/>
          </w:tcPr>
          <w:p>
            <w:pPr>
              <w:spacing w:after="0"/>
              <w:rPr>
                <w:sz w:val="15"/>
                <w:szCs w:val="15"/>
                <w:color w:val="auto"/>
              </w:rPr>
            </w:pPr>
          </w:p>
        </w:tc>
      </w:tr>
      <w:tr>
        <w:trPr>
          <w:trHeight w:val="364"/>
        </w:trPr>
        <w:tc>
          <w:tcPr>
            <w:tcW w:w="1000" w:type="dxa"/>
            <w:vAlign w:val="bottom"/>
          </w:tcPr>
          <w:p>
            <w:pPr>
              <w:spacing w:after="0"/>
              <w:rPr>
                <w:sz w:val="24"/>
                <w:szCs w:val="24"/>
                <w:color w:val="auto"/>
              </w:rPr>
            </w:pPr>
          </w:p>
        </w:tc>
        <w:tc>
          <w:tcPr>
            <w:tcW w:w="6520" w:type="dxa"/>
            <w:vAlign w:val="bottom"/>
          </w:tcPr>
          <w:p>
            <w:pPr>
              <w:ind w:left="2600"/>
              <w:spacing w:after="0"/>
              <w:rPr>
                <w:sz w:val="20"/>
                <w:szCs w:val="20"/>
                <w:color w:val="auto"/>
              </w:rPr>
            </w:pPr>
            <w:r>
              <w:rPr>
                <w:rFonts w:ascii="Courier New" w:cs="Courier New" w:eastAsia="Courier New" w:hAnsi="Courier New"/>
                <w:sz w:val="16"/>
                <w:szCs w:val="16"/>
                <w:color w:val="auto"/>
              </w:rPr>
              <w:t>INDEX</w:t>
            </w:r>
          </w:p>
        </w:tc>
        <w:tc>
          <w:tcPr>
            <w:tcW w:w="1660" w:type="dxa"/>
            <w:vAlign w:val="bottom"/>
          </w:tcPr>
          <w:p>
            <w:pPr>
              <w:spacing w:after="0"/>
              <w:rPr>
                <w:sz w:val="24"/>
                <w:szCs w:val="24"/>
                <w:color w:val="auto"/>
              </w:rPr>
            </w:pPr>
          </w:p>
        </w:tc>
      </w:tr>
      <w:tr>
        <w:trPr>
          <w:trHeight w:val="909"/>
        </w:trPr>
        <w:tc>
          <w:tcPr>
            <w:tcW w:w="10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2"/>
        </w:trPr>
        <w:tc>
          <w:tcPr>
            <w:tcW w:w="10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10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Financial Information:</w:t>
            </w:r>
          </w:p>
        </w:tc>
        <w:tc>
          <w:tcPr>
            <w:tcW w:w="1660" w:type="dxa"/>
            <w:vAlign w:val="bottom"/>
          </w:tcPr>
          <w:p>
            <w:pPr>
              <w:spacing w:after="0"/>
              <w:rPr>
                <w:sz w:val="24"/>
                <w:szCs w:val="24"/>
                <w:color w:val="auto"/>
              </w:rPr>
            </w:pPr>
          </w:p>
        </w:tc>
      </w:tr>
      <w:tr>
        <w:trPr>
          <w:trHeight w:val="364"/>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Item 1.</w:t>
            </w: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w:t>
            </w:r>
          </w:p>
        </w:tc>
        <w:tc>
          <w:tcPr>
            <w:tcW w:w="1660" w:type="dxa"/>
            <w:vAlign w:val="bottom"/>
          </w:tcPr>
          <w:p>
            <w:pPr>
              <w:spacing w:after="0"/>
              <w:rPr>
                <w:sz w:val="24"/>
                <w:szCs w:val="24"/>
                <w:color w:val="auto"/>
              </w:rPr>
            </w:pPr>
          </w:p>
        </w:tc>
      </w:tr>
      <w:tr>
        <w:trPr>
          <w:trHeight w:val="364"/>
        </w:trPr>
        <w:tc>
          <w:tcPr>
            <w:tcW w:w="10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Consolidated Statements of Operations - Three month and six</w:t>
            </w:r>
          </w:p>
        </w:tc>
        <w:tc>
          <w:tcPr>
            <w:tcW w:w="1660" w:type="dxa"/>
            <w:vAlign w:val="bottom"/>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month periods ended March 29, 1997 and March 30, 1996</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w:t>
            </w:r>
          </w:p>
        </w:tc>
      </w:tr>
      <w:tr>
        <w:trPr>
          <w:trHeight w:val="364"/>
        </w:trPr>
        <w:tc>
          <w:tcPr>
            <w:tcW w:w="10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Consolidated Statements of Cash Flows - Six month periods</w:t>
            </w:r>
          </w:p>
        </w:tc>
        <w:tc>
          <w:tcPr>
            <w:tcW w:w="1660" w:type="dxa"/>
            <w:vAlign w:val="bottom"/>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ended March 29, 1997 and March 30, 1996</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w:t>
            </w:r>
          </w:p>
        </w:tc>
      </w:tr>
      <w:tr>
        <w:trPr>
          <w:trHeight w:val="364"/>
        </w:trPr>
        <w:tc>
          <w:tcPr>
            <w:tcW w:w="10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Consolidated Balance Sheets -</w:t>
            </w:r>
          </w:p>
        </w:tc>
        <w:tc>
          <w:tcPr>
            <w:tcW w:w="1660" w:type="dxa"/>
            <w:vAlign w:val="bottom"/>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March 29, 1997, March 30, 1996 and September 30, 1996</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w:t>
            </w:r>
          </w:p>
        </w:tc>
      </w:tr>
      <w:tr>
        <w:trPr>
          <w:trHeight w:val="364"/>
        </w:trPr>
        <w:tc>
          <w:tcPr>
            <w:tcW w:w="1000" w:type="dxa"/>
            <w:vAlign w:val="bottom"/>
          </w:tcPr>
          <w:p>
            <w:pPr>
              <w:spacing w:after="0"/>
              <w:rPr>
                <w:sz w:val="24"/>
                <w:szCs w:val="24"/>
                <w:color w:val="auto"/>
              </w:rPr>
            </w:pP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6-12</w:t>
            </w:r>
          </w:p>
        </w:tc>
      </w:tr>
      <w:tr>
        <w:trPr>
          <w:trHeight w:val="364"/>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Item 2.</w:t>
            </w: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Management's Discussion and Analysis of</w:t>
            </w:r>
          </w:p>
        </w:tc>
        <w:tc>
          <w:tcPr>
            <w:tcW w:w="1660" w:type="dxa"/>
            <w:vAlign w:val="bottom"/>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13-20</w:t>
            </w:r>
          </w:p>
        </w:tc>
      </w:tr>
      <w:tr>
        <w:trPr>
          <w:trHeight w:val="546"/>
        </w:trPr>
        <w:tc>
          <w:tcPr>
            <w:tcW w:w="10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Other Information</w:t>
            </w:r>
          </w:p>
        </w:tc>
        <w:tc>
          <w:tcPr>
            <w:tcW w:w="1660" w:type="dxa"/>
            <w:vAlign w:val="bottom"/>
          </w:tcPr>
          <w:p>
            <w:pPr>
              <w:spacing w:after="0"/>
              <w:rPr>
                <w:sz w:val="24"/>
                <w:szCs w:val="24"/>
                <w:color w:val="auto"/>
              </w:rPr>
            </w:pPr>
          </w:p>
        </w:tc>
      </w:tr>
      <w:tr>
        <w:trPr>
          <w:trHeight w:val="364"/>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Item 1.</w:t>
            </w: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Legal Proceedings</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w:t>
            </w:r>
          </w:p>
        </w:tc>
      </w:tr>
      <w:tr>
        <w:trPr>
          <w:trHeight w:val="364"/>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Item 4.</w:t>
            </w: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w:t>
            </w:r>
          </w:p>
        </w:tc>
      </w:tr>
      <w:tr>
        <w:trPr>
          <w:trHeight w:val="364"/>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Item 6.</w:t>
            </w:r>
          </w:p>
        </w:tc>
        <w:tc>
          <w:tcPr>
            <w:tcW w:w="6520" w:type="dxa"/>
            <w:vAlign w:val="bottom"/>
          </w:tcPr>
          <w:p>
            <w:pPr>
              <w:ind w:left="40"/>
              <w:spacing w:after="0"/>
              <w:rPr>
                <w:sz w:val="20"/>
                <w:szCs w:val="20"/>
                <w:color w:val="auto"/>
              </w:rPr>
            </w:pPr>
            <w:r>
              <w:rPr>
                <w:rFonts w:ascii="Courier New" w:cs="Courier New" w:eastAsia="Courier New" w:hAnsi="Courier New"/>
                <w:sz w:val="16"/>
                <w:szCs w:val="16"/>
                <w:color w:val="auto"/>
              </w:rPr>
              <w:t>Exhibits and Reports on Form 8-K</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w:t>
            </w:r>
          </w:p>
        </w:tc>
      </w:tr>
      <w:tr>
        <w:trPr>
          <w:trHeight w:val="546"/>
        </w:trPr>
        <w:tc>
          <w:tcPr>
            <w:tcW w:w="100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6520" w:type="dxa"/>
            <w:vAlign w:val="bottom"/>
          </w:tcPr>
          <w:p>
            <w:pPr>
              <w:spacing w:after="0"/>
              <w:rPr>
                <w:sz w:val="24"/>
                <w:szCs w:val="24"/>
                <w:color w:val="auto"/>
              </w:rPr>
            </w:pP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w:t>
            </w:r>
          </w:p>
        </w:tc>
      </w:tr>
      <w:tr>
        <w:trPr>
          <w:trHeight w:val="546"/>
        </w:trPr>
        <w:tc>
          <w:tcPr>
            <w:tcW w:w="7520" w:type="dxa"/>
            <w:vAlign w:val="bottom"/>
            <w:gridSpan w:val="2"/>
          </w:tcPr>
          <w:p>
            <w:pPr>
              <w:spacing w:after="0"/>
              <w:rPr>
                <w:sz w:val="20"/>
                <w:szCs w:val="20"/>
                <w:color w:val="auto"/>
              </w:rPr>
            </w:pPr>
            <w:r>
              <w:rPr>
                <w:rFonts w:ascii="Courier New" w:cs="Courier New" w:eastAsia="Courier New" w:hAnsi="Courier New"/>
                <w:sz w:val="16"/>
                <w:szCs w:val="16"/>
                <w:color w:val="auto"/>
              </w:rPr>
              <w:t>Exhibit Index</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295"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46"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PART I - FINANCIAL INFORMATION</w:t>
      </w:r>
    </w:p>
    <w:p>
      <w:pPr>
        <w:spacing w:after="0" w:line="1"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ITEM 1. FINANCIAL STATEMENTS</w:t>
      </w:r>
    </w:p>
    <w:p>
      <w:pPr>
        <w:spacing w:after="0" w:line="364"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(Unaudited)</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0" w:type="dxa"/>
            <w:vAlign w:val="bottom"/>
          </w:tcPr>
          <w:p>
            <w:pPr>
              <w:spacing w:after="0"/>
              <w:rPr>
                <w:sz w:val="15"/>
                <w:szCs w:val="15"/>
                <w:color w:val="auto"/>
              </w:rPr>
            </w:pPr>
          </w:p>
        </w:tc>
        <w:tc>
          <w:tcPr>
            <w:tcW w:w="3660" w:type="dxa"/>
            <w:vAlign w:val="bottom"/>
            <w:gridSpan w:val="3"/>
          </w:tcPr>
          <w:p>
            <w:pPr>
              <w:jc w:val="right"/>
              <w:ind w:right="921"/>
              <w:spacing w:after="0"/>
              <w:rPr>
                <w:sz w:val="20"/>
                <w:szCs w:val="20"/>
                <w:color w:val="auto"/>
              </w:rPr>
            </w:pPr>
            <w:r>
              <w:rPr>
                <w:rFonts w:ascii="Courier New" w:cs="Courier New" w:eastAsia="Courier New" w:hAnsi="Courier New"/>
                <w:sz w:val="16"/>
                <w:szCs w:val="16"/>
                <w:color w:val="auto"/>
              </w:rPr>
              <w:t>THREE MONTHS ENDED</w:t>
            </w:r>
          </w:p>
        </w:tc>
        <w:tc>
          <w:tcPr>
            <w:tcW w:w="28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5000" w:type="dxa"/>
            <w:vAlign w:val="bottom"/>
          </w:tcPr>
          <w:p>
            <w:pPr>
              <w:spacing w:after="0"/>
              <w:rPr>
                <w:sz w:val="15"/>
                <w:szCs w:val="15"/>
                <w:color w:val="auto"/>
              </w:rPr>
            </w:pPr>
          </w:p>
        </w:tc>
        <w:tc>
          <w:tcPr>
            <w:tcW w:w="3660" w:type="dxa"/>
            <w:vAlign w:val="bottom"/>
            <w:gridSpan w:val="3"/>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March 29</w:t>
            </w:r>
          </w:p>
        </w:tc>
        <w:tc>
          <w:tcPr>
            <w:tcW w:w="18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March 30</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March 29</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March 30</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1997</w:t>
            </w:r>
          </w:p>
        </w:tc>
        <w:tc>
          <w:tcPr>
            <w:tcW w:w="700" w:type="dxa"/>
            <w:vAlign w:val="bottom"/>
          </w:tcPr>
          <w:p>
            <w:pPr>
              <w:spacing w:after="0"/>
              <w:rPr>
                <w:sz w:val="15"/>
                <w:szCs w:val="15"/>
                <w:color w:val="auto"/>
              </w:rPr>
            </w:pPr>
          </w:p>
        </w:tc>
        <w:tc>
          <w:tcPr>
            <w:tcW w:w="11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3"/>
              </w:rPr>
              <w:t>1996</w:t>
            </w:r>
          </w:p>
        </w:tc>
        <w:tc>
          <w:tcPr>
            <w:tcW w:w="16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$346.2</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$251.2</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$446.4</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$369.2</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207.8</w:t>
            </w:r>
          </w:p>
        </w:tc>
        <w:tc>
          <w:tcPr>
            <w:tcW w:w="7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163.5</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275.4</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244.7</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138.4</w:t>
            </w:r>
          </w:p>
        </w:tc>
        <w:tc>
          <w:tcPr>
            <w:tcW w:w="700" w:type="dxa"/>
            <w:vAlign w:val="bottom"/>
          </w:tcPr>
          <w:p>
            <w:pPr>
              <w:spacing w:after="0"/>
              <w:rPr>
                <w:sz w:val="24"/>
                <w:szCs w:val="24"/>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87.7</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171.0</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124.5</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40.1</w:t>
            </w:r>
          </w:p>
        </w:tc>
        <w:tc>
          <w:tcPr>
            <w:tcW w:w="700" w:type="dxa"/>
            <w:vAlign w:val="bottom"/>
          </w:tcPr>
          <w:p>
            <w:pPr>
              <w:spacing w:after="0"/>
              <w:rPr>
                <w:sz w:val="24"/>
                <w:szCs w:val="24"/>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34.3</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66.7</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63.4</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35.0</w:t>
            </w:r>
          </w:p>
        </w:tc>
        <w:tc>
          <w:tcPr>
            <w:tcW w:w="7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21.7</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43.5</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31.0</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2.7</w:t>
            </w:r>
          </w:p>
        </w:tc>
        <w:tc>
          <w:tcPr>
            <w:tcW w:w="7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2.2</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4.9</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Other expenses, net</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3.2</w:t>
            </w:r>
          </w:p>
        </w:tc>
        <w:tc>
          <w:tcPr>
            <w:tcW w:w="7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2.4</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3.5</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57.4</w:t>
            </w:r>
          </w:p>
        </w:tc>
        <w:tc>
          <w:tcPr>
            <w:tcW w:w="7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27.1</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52.4</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21.1</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8.3</w:t>
            </w:r>
          </w:p>
        </w:tc>
        <w:tc>
          <w:tcPr>
            <w:tcW w:w="700" w:type="dxa"/>
            <w:vAlign w:val="bottom"/>
          </w:tcPr>
          <w:p>
            <w:pPr>
              <w:spacing w:after="0"/>
              <w:rPr>
                <w:sz w:val="24"/>
                <w:szCs w:val="24"/>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8.1</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13.9</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49.1</w:t>
            </w:r>
          </w:p>
        </w:tc>
        <w:tc>
          <w:tcPr>
            <w:tcW w:w="700" w:type="dxa"/>
            <w:vAlign w:val="bottom"/>
          </w:tcPr>
          <w:p>
            <w:pPr>
              <w:spacing w:after="0"/>
              <w:rPr>
                <w:sz w:val="24"/>
                <w:szCs w:val="24"/>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19.0</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38.5</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6.4</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21.2</w:t>
            </w:r>
          </w:p>
        </w:tc>
        <w:tc>
          <w:tcPr>
            <w:tcW w:w="700" w:type="dxa"/>
            <w:vAlign w:val="bottom"/>
          </w:tcPr>
          <w:p>
            <w:pPr>
              <w:spacing w:after="0"/>
              <w:rPr>
                <w:sz w:val="24"/>
                <w:szCs w:val="24"/>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8.4</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16.6</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27.9</w:t>
            </w:r>
          </w:p>
        </w:tc>
        <w:tc>
          <w:tcPr>
            <w:tcW w:w="700" w:type="dxa"/>
            <w:vAlign w:val="bottom"/>
          </w:tcPr>
          <w:p>
            <w:pPr>
              <w:spacing w:after="0"/>
              <w:rPr>
                <w:sz w:val="24"/>
                <w:szCs w:val="24"/>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10.6</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21.9</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2.4</w:t>
            </w:r>
          </w:p>
        </w:tc>
        <w:tc>
          <w:tcPr>
            <w:tcW w:w="700" w:type="dxa"/>
            <w:vAlign w:val="bottom"/>
          </w:tcPr>
          <w:p>
            <w:pPr>
              <w:spacing w:after="0"/>
              <w:rPr>
                <w:sz w:val="24"/>
                <w:szCs w:val="24"/>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2.4</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4.9</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Income (loss) applicable to common shareholders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$ 25.5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8.2</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$ 17.0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(1.4)</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Income (loss) per common share (note 8)</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  .95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.36</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.75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(.08)</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Common shares used in per common</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5000" w:type="dxa"/>
            <w:vAlign w:val="bottom"/>
          </w:tcPr>
          <w:p>
            <w:pPr>
              <w:ind w:left="560"/>
              <w:spacing w:after="0"/>
              <w:rPr>
                <w:sz w:val="20"/>
                <w:szCs w:val="20"/>
                <w:color w:val="auto"/>
              </w:rPr>
            </w:pPr>
            <w:r>
              <w:rPr>
                <w:rFonts w:ascii="Courier New" w:cs="Courier New" w:eastAsia="Courier New" w:hAnsi="Courier New"/>
                <w:sz w:val="16"/>
                <w:szCs w:val="16"/>
                <w:color w:val="auto"/>
              </w:rPr>
              <w:t>share computation</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29.3</w:t>
            </w:r>
          </w:p>
        </w:tc>
        <w:tc>
          <w:tcPr>
            <w:tcW w:w="7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29.4</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29.2</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18.8</w:t>
            </w:r>
          </w:p>
        </w:tc>
      </w:tr>
      <w:tr>
        <w:trPr>
          <w:trHeight w:val="182"/>
        </w:trPr>
        <w:tc>
          <w:tcPr>
            <w:tcW w:w="500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1520"/>
          </w:cols>
          <w:pgMar w:left="240" w:top="295" w:right="1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364" w:lineRule="exact"/>
        <w:rPr>
          <w:sz w:val="20"/>
          <w:szCs w:val="20"/>
          <w:color w:val="auto"/>
        </w:rPr>
      </w:pPr>
    </w:p>
    <w:p>
      <w:pPr>
        <w:jc w:val="center"/>
        <w:ind w:right="264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jc w:val="center"/>
        <w:ind w:right="264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p>
      <w:pPr>
        <w:jc w:val="center"/>
        <w:ind w:right="2640"/>
        <w:spacing w:after="0"/>
        <w:rPr>
          <w:sz w:val="20"/>
          <w:szCs w:val="20"/>
          <w:color w:val="auto"/>
        </w:rPr>
      </w:pPr>
      <w:r>
        <w:rPr>
          <w:rFonts w:ascii="Courier New" w:cs="Courier New" w:eastAsia="Courier New" w:hAnsi="Courier New"/>
          <w:sz w:val="16"/>
          <w:szCs w:val="16"/>
          <w:color w:val="auto"/>
        </w:rPr>
        <w:t>(Unaudited)</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w:t>
            </w:r>
          </w:p>
        </w:tc>
        <w:tc>
          <w:tcPr>
            <w:tcW w:w="560" w:type="dxa"/>
            <w:vAlign w:val="bottom"/>
          </w:tcPr>
          <w:p>
            <w:pPr>
              <w:spacing w:after="0"/>
              <w:rPr>
                <w:sz w:val="15"/>
                <w:szCs w:val="15"/>
                <w:color w:val="auto"/>
              </w:rPr>
            </w:pPr>
          </w:p>
        </w:tc>
      </w:tr>
      <w:tr>
        <w:trPr>
          <w:trHeight w:val="182"/>
        </w:trPr>
        <w:tc>
          <w:tcPr>
            <w:tcW w:w="6720" w:type="dxa"/>
            <w:vAlign w:val="bottom"/>
          </w:tcPr>
          <w:p>
            <w:pPr>
              <w:spacing w:after="0"/>
              <w:rPr>
                <w:sz w:val="15"/>
                <w:szCs w:val="15"/>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March 29</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March 30</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1997</w:t>
            </w:r>
          </w:p>
        </w:tc>
        <w:tc>
          <w:tcPr>
            <w:tcW w:w="66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1996</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$ 21.9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w:t>
            </w: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2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6720" w:type="dxa"/>
            <w:vAlign w:val="bottom"/>
          </w:tcPr>
          <w:p>
            <w:pPr>
              <w:ind w:left="560"/>
              <w:spacing w:after="0"/>
              <w:rPr>
                <w:sz w:val="20"/>
                <w:szCs w:val="20"/>
                <w:color w:val="auto"/>
              </w:rPr>
            </w:pPr>
            <w:r>
              <w:rPr>
                <w:rFonts w:ascii="Courier New" w:cs="Courier New" w:eastAsia="Courier New" w:hAnsi="Courier New"/>
                <w:sz w:val="16"/>
                <w:szCs w:val="16"/>
                <w:color w:val="auto"/>
              </w:rPr>
              <w:t>used in operating activities:</w:t>
            </w:r>
          </w:p>
        </w:tc>
        <w:tc>
          <w:tcPr>
            <w:tcW w:w="2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6720" w:type="dxa"/>
            <w:vAlign w:val="bottom"/>
          </w:tcPr>
          <w:p>
            <w:pPr>
              <w:ind w:left="840"/>
              <w:spacing w:after="0"/>
              <w:rPr>
                <w:sz w:val="20"/>
                <w:szCs w:val="20"/>
                <w:color w:val="auto"/>
              </w:rPr>
            </w:pPr>
            <w:r>
              <w:rPr>
                <w:rFonts w:ascii="Courier New" w:cs="Courier New" w:eastAsia="Courier New" w:hAnsi="Courier New"/>
                <w:sz w:val="16"/>
                <w:szCs w:val="16"/>
                <w:color w:val="auto"/>
              </w:rPr>
              <w:t>Depreciation and amortization</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14.8</w:t>
            </w:r>
          </w:p>
        </w:tc>
        <w:tc>
          <w:tcPr>
            <w:tcW w:w="66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14.3</w:t>
            </w:r>
          </w:p>
        </w:tc>
      </w:tr>
      <w:tr>
        <w:trPr>
          <w:trHeight w:val="182"/>
        </w:trPr>
        <w:tc>
          <w:tcPr>
            <w:tcW w:w="6720" w:type="dxa"/>
            <w:vAlign w:val="bottom"/>
          </w:tcPr>
          <w:p>
            <w:pPr>
              <w:ind w:left="840"/>
              <w:spacing w:after="0"/>
              <w:rPr>
                <w:sz w:val="20"/>
                <w:szCs w:val="20"/>
                <w:color w:val="auto"/>
              </w:rPr>
            </w:pPr>
            <w:r>
              <w:rPr>
                <w:rFonts w:ascii="Courier New" w:cs="Courier New" w:eastAsia="Courier New" w:hAnsi="Courier New"/>
                <w:sz w:val="16"/>
                <w:szCs w:val="16"/>
                <w:color w:val="auto"/>
              </w:rPr>
              <w:t>Equity in income of unconsolidated business</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w:t>
            </w:r>
          </w:p>
        </w:tc>
        <w:tc>
          <w:tcPr>
            <w:tcW w:w="6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2"/>
        </w:trPr>
        <w:tc>
          <w:tcPr>
            <w:tcW w:w="6720" w:type="dxa"/>
            <w:vAlign w:val="bottom"/>
          </w:tcPr>
          <w:p>
            <w:pPr>
              <w:ind w:left="840"/>
              <w:spacing w:after="0"/>
              <w:rPr>
                <w:sz w:val="20"/>
                <w:szCs w:val="20"/>
                <w:color w:val="auto"/>
              </w:rPr>
            </w:pPr>
            <w:r>
              <w:rPr>
                <w:rFonts w:ascii="Courier New" w:cs="Courier New" w:eastAsia="Courier New" w:hAnsi="Courier New"/>
                <w:sz w:val="16"/>
                <w:szCs w:val="16"/>
                <w:color w:val="auto"/>
              </w:rPr>
              <w:t>Postretirement benefits</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w:t>
            </w:r>
          </w:p>
        </w:tc>
        <w:tc>
          <w:tcPr>
            <w:tcW w:w="66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w:t>
            </w:r>
          </w:p>
        </w:tc>
      </w:tr>
      <w:tr>
        <w:trPr>
          <w:trHeight w:val="182"/>
        </w:trPr>
        <w:tc>
          <w:tcPr>
            <w:tcW w:w="6720" w:type="dxa"/>
            <w:vAlign w:val="bottom"/>
          </w:tcPr>
          <w:p>
            <w:pPr>
              <w:ind w:left="840"/>
              <w:spacing w:after="0"/>
              <w:rPr>
                <w:sz w:val="20"/>
                <w:szCs w:val="20"/>
                <w:color w:val="auto"/>
              </w:rPr>
            </w:pPr>
            <w:r>
              <w:rPr>
                <w:rFonts w:ascii="Courier New" w:cs="Courier New" w:eastAsia="Courier New" w:hAnsi="Courier New"/>
                <w:sz w:val="16"/>
                <w:szCs w:val="16"/>
                <w:color w:val="auto"/>
              </w:rPr>
              <w:t>Net increase in certain components of</w:t>
            </w:r>
          </w:p>
        </w:tc>
        <w:tc>
          <w:tcPr>
            <w:tcW w:w="2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6720" w:type="dxa"/>
            <w:vAlign w:val="bottom"/>
          </w:tcPr>
          <w:p>
            <w:pPr>
              <w:ind w:left="1220"/>
              <w:spacing w:after="0"/>
              <w:rPr>
                <w:sz w:val="20"/>
                <w:szCs w:val="20"/>
                <w:color w:val="auto"/>
              </w:rPr>
            </w:pPr>
            <w:r>
              <w:rPr>
                <w:rFonts w:ascii="Courier New" w:cs="Courier New" w:eastAsia="Courier New" w:hAnsi="Courier New"/>
                <w:sz w:val="16"/>
                <w:szCs w:val="16"/>
                <w:color w:val="auto"/>
              </w:rPr>
              <w:t>working capital</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(177.6)</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(162.8)</w:t>
            </w:r>
          </w:p>
        </w:tc>
      </w:tr>
      <w:tr>
        <w:trPr>
          <w:trHeight w:val="182"/>
        </w:trPr>
        <w:tc>
          <w:tcPr>
            <w:tcW w:w="6720" w:type="dxa"/>
            <w:vAlign w:val="bottom"/>
          </w:tcPr>
          <w:p>
            <w:pPr>
              <w:ind w:left="840"/>
              <w:spacing w:after="0"/>
              <w:rPr>
                <w:sz w:val="20"/>
                <w:szCs w:val="20"/>
                <w:color w:val="auto"/>
              </w:rPr>
            </w:pPr>
            <w:r>
              <w:rPr>
                <w:rFonts w:ascii="Courier New" w:cs="Courier New" w:eastAsia="Courier New" w:hAnsi="Courier New"/>
                <w:sz w:val="16"/>
                <w:szCs w:val="16"/>
                <w:color w:val="auto"/>
              </w:rPr>
              <w:t>Net increase in other assets and</w:t>
            </w:r>
          </w:p>
        </w:tc>
        <w:tc>
          <w:tcPr>
            <w:tcW w:w="2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6720" w:type="dxa"/>
            <w:vAlign w:val="bottom"/>
          </w:tcPr>
          <w:p>
            <w:pPr>
              <w:ind w:left="1220"/>
              <w:spacing w:after="0"/>
              <w:rPr>
                <w:sz w:val="20"/>
                <w:szCs w:val="20"/>
                <w:color w:val="auto"/>
              </w:rPr>
            </w:pPr>
            <w:r>
              <w:rPr>
                <w:rFonts w:ascii="Courier New" w:cs="Courier New" w:eastAsia="Courier New" w:hAnsi="Courier New"/>
                <w:sz w:val="16"/>
                <w:szCs w:val="16"/>
                <w:color w:val="auto"/>
              </w:rPr>
              <w:t>liabilities and other adjustments</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w:t>
            </w:r>
          </w:p>
        </w:tc>
        <w:tc>
          <w:tcPr>
            <w:tcW w:w="66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720" w:type="dxa"/>
            <w:vAlign w:val="bottom"/>
          </w:tcPr>
          <w:p>
            <w:pPr>
              <w:ind w:left="1700"/>
              <w:spacing w:after="0"/>
              <w:rPr>
                <w:sz w:val="20"/>
                <w:szCs w:val="20"/>
                <w:color w:val="auto"/>
              </w:rPr>
            </w:pPr>
            <w:r>
              <w:rPr>
                <w:rFonts w:ascii="Courier New" w:cs="Courier New" w:eastAsia="Courier New" w:hAnsi="Courier New"/>
                <w:sz w:val="16"/>
                <w:szCs w:val="16"/>
                <w:color w:val="auto"/>
              </w:rPr>
              <w:t>Net cash used in operating activities</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(138.6)</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(143.3)</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Investment in property, plant and equipment, net</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w:t>
            </w:r>
          </w:p>
        </w:tc>
        <w:tc>
          <w:tcPr>
            <w:tcW w:w="6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Acquisition of Miracle Holdings Limited</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(47.1)</w:t>
            </w:r>
          </w:p>
        </w:tc>
        <w:tc>
          <w:tcPr>
            <w:tcW w:w="66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46"/>
        </w:trPr>
        <w:tc>
          <w:tcPr>
            <w:tcW w:w="6720" w:type="dxa"/>
            <w:vAlign w:val="bottom"/>
          </w:tcPr>
          <w:p>
            <w:pPr>
              <w:ind w:left="1700"/>
              <w:spacing w:after="0"/>
              <w:rPr>
                <w:sz w:val="20"/>
                <w:szCs w:val="20"/>
                <w:color w:val="auto"/>
              </w:rPr>
            </w:pPr>
            <w:r>
              <w:rPr>
                <w:rFonts w:ascii="Courier New" w:cs="Courier New" w:eastAsia="Courier New" w:hAnsi="Courier New"/>
                <w:sz w:val="16"/>
                <w:szCs w:val="16"/>
                <w:color w:val="auto"/>
              </w:rPr>
              <w:t>Net cash used in investing activities</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(51.2)</w:t>
            </w:r>
          </w:p>
        </w:tc>
        <w:tc>
          <w:tcPr>
            <w:tcW w:w="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Payments on term and other debt</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w:t>
            </w:r>
          </w:p>
        </w:tc>
        <w:tc>
          <w:tcPr>
            <w:tcW w:w="6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Revolving lines of credit and bank line of credit, net</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200.5</w:t>
            </w:r>
          </w:p>
        </w:tc>
        <w:tc>
          <w:tcPr>
            <w:tcW w:w="66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153.3</w:t>
            </w: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Issuance of Common Shares</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w:t>
            </w:r>
          </w:p>
        </w:tc>
        <w:tc>
          <w:tcPr>
            <w:tcW w:w="66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w:t>
            </w: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Deferred financing costs incurred</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w:t>
            </w:r>
          </w:p>
        </w:tc>
        <w:tc>
          <w:tcPr>
            <w:tcW w:w="66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Dividends on preferred stock</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(4.9)</w:t>
            </w:r>
          </w:p>
        </w:tc>
        <w:tc>
          <w:tcPr>
            <w:tcW w:w="6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720" w:type="dxa"/>
            <w:vAlign w:val="bottom"/>
          </w:tcPr>
          <w:p>
            <w:pPr>
              <w:ind w:left="170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195.5</w:t>
            </w:r>
          </w:p>
        </w:tc>
        <w:tc>
          <w:tcPr>
            <w:tcW w:w="660" w:type="dxa"/>
            <w:vAlign w:val="bottom"/>
          </w:tcPr>
          <w:p>
            <w:pPr>
              <w:spacing w:after="0"/>
              <w:rPr>
                <w:sz w:val="24"/>
                <w:szCs w:val="24"/>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153.2</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72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w:t>
            </w:r>
          </w:p>
        </w:tc>
        <w:tc>
          <w:tcPr>
            <w:tcW w:w="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720" w:type="dxa"/>
            <w:vAlign w:val="bottom"/>
          </w:tcPr>
          <w:p>
            <w:pPr>
              <w:spacing w:after="0"/>
              <w:rPr>
                <w:sz w:val="20"/>
                <w:szCs w:val="20"/>
                <w:color w:val="auto"/>
              </w:rPr>
            </w:pPr>
            <w:r>
              <w:rPr>
                <w:rFonts w:ascii="Courier New" w:cs="Courier New" w:eastAsia="Courier New" w:hAnsi="Courier New"/>
                <w:sz w:val="16"/>
                <w:szCs w:val="16"/>
                <w:color w:val="auto"/>
              </w:rPr>
              <w:t>Net increase in cash</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w:t>
            </w:r>
          </w:p>
        </w:tc>
        <w:tc>
          <w:tcPr>
            <w:tcW w:w="660" w:type="dxa"/>
            <w:vAlign w:val="bottom"/>
          </w:tcPr>
          <w:p>
            <w:pPr>
              <w:spacing w:after="0"/>
              <w:rPr>
                <w:sz w:val="24"/>
                <w:szCs w:val="24"/>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w:t>
            </w:r>
          </w:p>
        </w:tc>
      </w:tr>
      <w:tr>
        <w:trPr>
          <w:trHeight w:val="364"/>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at beginning of period</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10.6</w:t>
            </w:r>
          </w:p>
        </w:tc>
        <w:tc>
          <w:tcPr>
            <w:tcW w:w="660" w:type="dxa"/>
            <w:vAlign w:val="bottom"/>
          </w:tcPr>
          <w:p>
            <w:pPr>
              <w:spacing w:after="0"/>
              <w:rPr>
                <w:sz w:val="24"/>
                <w:szCs w:val="24"/>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720" w:type="dxa"/>
            <w:vAlign w:val="bottom"/>
          </w:tcPr>
          <w:p>
            <w:pPr>
              <w:spacing w:after="0"/>
              <w:rPr>
                <w:sz w:val="20"/>
                <w:szCs w:val="20"/>
                <w:color w:val="auto"/>
              </w:rPr>
            </w:pPr>
            <w:r>
              <w:rPr>
                <w:rFonts w:ascii="Courier New" w:cs="Courier New" w:eastAsia="Courier New" w:hAnsi="Courier New"/>
                <w:sz w:val="16"/>
                <w:szCs w:val="16"/>
                <w:color w:val="auto"/>
              </w:rPr>
              <w:t>Cash at end of period</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$ 12.0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w:t>
            </w:r>
          </w:p>
        </w:tc>
      </w:tr>
      <w:tr>
        <w:trPr>
          <w:trHeight w:val="182"/>
        </w:trPr>
        <w:tc>
          <w:tcPr>
            <w:tcW w:w="6720" w:type="dxa"/>
            <w:vAlign w:val="bottom"/>
          </w:tcPr>
          <w:p>
            <w:pPr>
              <w:spacing w:after="0"/>
              <w:rPr>
                <w:sz w:val="15"/>
                <w:szCs w:val="15"/>
                <w:color w:val="auto"/>
              </w:rPr>
            </w:pP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72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Interest paid, net of amount capitalized</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$ 11.0</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$ 12.2</w:t>
            </w: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paid</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1.9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w:t>
            </w:r>
          </w:p>
        </w:tc>
      </w:tr>
      <w:tr>
        <w:trPr>
          <w:trHeight w:val="182"/>
        </w:trPr>
        <w:tc>
          <w:tcPr>
            <w:tcW w:w="6720" w:type="dxa"/>
            <w:vAlign w:val="bottom"/>
          </w:tcPr>
          <w:p>
            <w:pPr>
              <w:ind w:left="280"/>
              <w:spacing w:after="0"/>
              <w:rPr>
                <w:sz w:val="20"/>
                <w:szCs w:val="20"/>
                <w:color w:val="auto"/>
              </w:rPr>
            </w:pPr>
            <w:r>
              <w:rPr>
                <w:rFonts w:ascii="Courier New" w:cs="Courier New" w:eastAsia="Courier New" w:hAnsi="Courier New"/>
                <w:sz w:val="16"/>
                <w:szCs w:val="16"/>
                <w:color w:val="auto"/>
              </w:rPr>
              <w:t>Business acquired:</w:t>
            </w:r>
          </w:p>
        </w:tc>
        <w:tc>
          <w:tcPr>
            <w:tcW w:w="2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6720" w:type="dxa"/>
            <w:vAlign w:val="bottom"/>
          </w:tcPr>
          <w:p>
            <w:pPr>
              <w:ind w:left="660"/>
              <w:spacing w:after="0"/>
              <w:rPr>
                <w:sz w:val="20"/>
                <w:szCs w:val="20"/>
                <w:color w:val="auto"/>
              </w:rPr>
            </w:pPr>
            <w:r>
              <w:rPr>
                <w:rFonts w:ascii="Courier New" w:cs="Courier New" w:eastAsia="Courier New" w:hAnsi="Courier New"/>
                <w:sz w:val="16"/>
                <w:szCs w:val="16"/>
                <w:color w:val="auto"/>
              </w:rPr>
              <w:t>Fair value of assets acquired</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$103.5</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6720" w:type="dxa"/>
            <w:vAlign w:val="bottom"/>
          </w:tcPr>
          <w:p>
            <w:pPr>
              <w:ind w:left="660"/>
              <w:spacing w:after="0"/>
              <w:rPr>
                <w:sz w:val="20"/>
                <w:szCs w:val="20"/>
                <w:color w:val="auto"/>
              </w:rPr>
            </w:pPr>
            <w:r>
              <w:rPr>
                <w:rFonts w:ascii="Courier New" w:cs="Courier New" w:eastAsia="Courier New" w:hAnsi="Courier New"/>
                <w:sz w:val="16"/>
                <w:szCs w:val="16"/>
                <w:color w:val="auto"/>
              </w:rPr>
              <w:t>Liabilities assumed</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45.3</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6720" w:type="dxa"/>
            <w:vAlign w:val="bottom"/>
          </w:tcPr>
          <w:p>
            <w:pPr>
              <w:ind w:left="660"/>
              <w:spacing w:after="0"/>
              <w:rPr>
                <w:sz w:val="20"/>
                <w:szCs w:val="20"/>
                <w:color w:val="auto"/>
              </w:rPr>
            </w:pPr>
            <w:r>
              <w:rPr>
                <w:rFonts w:ascii="Courier New" w:cs="Courier New" w:eastAsia="Courier New" w:hAnsi="Courier New"/>
                <w:sz w:val="16"/>
                <w:szCs w:val="16"/>
                <w:color w:val="auto"/>
              </w:rPr>
              <w:t>Net cost for acquisition</w:t>
            </w:r>
          </w:p>
        </w:tc>
        <w:tc>
          <w:tcPr>
            <w:tcW w:w="23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58.2</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300"/>
          </w:cols>
          <w:pgMar w:left="240" w:top="295" w:right="1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8"/>
        </w:trPr>
        <w:tc>
          <w:tcPr>
            <w:tcW w:w="6000" w:type="dxa"/>
            <w:vAlign w:val="bottom"/>
          </w:tcPr>
          <w:p>
            <w:pPr>
              <w:jc w:val="center"/>
              <w:ind w:left="1581"/>
              <w:spacing w:after="0"/>
              <w:rPr>
                <w:sz w:val="20"/>
                <w:szCs w:val="20"/>
                <w:color w:val="auto"/>
              </w:rPr>
            </w:pPr>
            <w:r>
              <w:rPr>
                <w:rFonts w:ascii="Courier New" w:cs="Courier New" w:eastAsia="Courier New" w:hAnsi="Courier New"/>
                <w:sz w:val="16"/>
                <w:szCs w:val="16"/>
                <w:color w:val="auto"/>
                <w:w w:val="98"/>
              </w:rPr>
              <w:t>THE SCOTTS COMPANY AND SUBSIDIARIES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6000" w:type="dxa"/>
            <w:vAlign w:val="bottom"/>
          </w:tcPr>
          <w:p>
            <w:pPr>
              <w:jc w:val="center"/>
              <w:ind w:left="1581"/>
              <w:spacing w:after="0"/>
              <w:rPr>
                <w:sz w:val="20"/>
                <w:szCs w:val="20"/>
                <w:color w:val="auto"/>
              </w:rPr>
            </w:pPr>
            <w:r>
              <w:rPr>
                <w:rFonts w:ascii="Courier New" w:cs="Courier New" w:eastAsia="Courier New" w:hAnsi="Courier New"/>
                <w:sz w:val="16"/>
                <w:szCs w:val="16"/>
                <w:color w:val="auto"/>
                <w:w w:val="97"/>
              </w:rPr>
              <w:t>CONSOLIDATED BALANCE SHEETS</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6000" w:type="dxa"/>
            <w:vAlign w:val="bottom"/>
          </w:tcPr>
          <w:p>
            <w:pPr>
              <w:jc w:val="center"/>
              <w:ind w:left="1561"/>
              <w:spacing w:after="0"/>
              <w:rPr>
                <w:sz w:val="20"/>
                <w:szCs w:val="20"/>
                <w:color w:val="auto"/>
              </w:rPr>
            </w:pPr>
            <w:r>
              <w:rPr>
                <w:rFonts w:ascii="Courier New" w:cs="Courier New" w:eastAsia="Courier New" w:hAnsi="Courier New"/>
                <w:sz w:val="16"/>
                <w:szCs w:val="16"/>
                <w:color w:val="auto"/>
                <w:w w:val="98"/>
              </w:rPr>
              <w:t>(Unaudited)</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6000" w:type="dxa"/>
            <w:vAlign w:val="bottom"/>
          </w:tcPr>
          <w:p>
            <w:pPr>
              <w:jc w:val="center"/>
              <w:ind w:left="1581"/>
              <w:spacing w:after="0"/>
              <w:rPr>
                <w:sz w:val="20"/>
                <w:szCs w:val="20"/>
                <w:color w:val="auto"/>
              </w:rPr>
            </w:pPr>
            <w:r>
              <w:rPr>
                <w:rFonts w:ascii="Courier New" w:cs="Courier New" w:eastAsia="Courier New" w:hAnsi="Courier New"/>
                <w:sz w:val="16"/>
                <w:szCs w:val="16"/>
                <w:color w:val="auto"/>
                <w:w w:val="97"/>
              </w:rPr>
              <w:t>(in millions)</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28"/>
        </w:trPr>
        <w:tc>
          <w:tcPr>
            <w:tcW w:w="6000" w:type="dxa"/>
            <w:vAlign w:val="bottom"/>
          </w:tcPr>
          <w:p>
            <w:pPr>
              <w:ind w:left="3500"/>
              <w:spacing w:after="0"/>
              <w:rPr>
                <w:sz w:val="20"/>
                <w:szCs w:val="20"/>
                <w:color w:val="auto"/>
              </w:rPr>
            </w:pPr>
            <w:r>
              <w:rPr>
                <w:rFonts w:ascii="Courier New" w:cs="Courier New" w:eastAsia="Courier New" w:hAnsi="Courier New"/>
                <w:sz w:val="16"/>
                <w:szCs w:val="16"/>
                <w:color w:val="auto"/>
              </w:rPr>
              <w:t>ASSETS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4"/>
        </w:trPr>
        <w:tc>
          <w:tcPr>
            <w:tcW w:w="6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March 29</w:t>
            </w:r>
          </w:p>
        </w:tc>
        <w:tc>
          <w:tcPr>
            <w:tcW w:w="15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March 30</w:t>
            </w:r>
          </w:p>
        </w:tc>
        <w:tc>
          <w:tcPr>
            <w:tcW w:w="150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5"/>
              </w:rPr>
              <w:t>September 30</w:t>
            </w:r>
          </w:p>
        </w:tc>
      </w:tr>
      <w:tr>
        <w:trPr>
          <w:trHeight w:val="182"/>
        </w:trPr>
        <w:tc>
          <w:tcPr>
            <w:tcW w:w="6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1997</w:t>
            </w:r>
          </w:p>
        </w:tc>
        <w:tc>
          <w:tcPr>
            <w:tcW w:w="560" w:type="dxa"/>
            <w:vAlign w:val="bottom"/>
          </w:tcPr>
          <w:p>
            <w:pPr>
              <w:spacing w:after="0"/>
              <w:rPr>
                <w:sz w:val="15"/>
                <w:szCs w:val="15"/>
                <w:color w:val="auto"/>
              </w:rPr>
            </w:pPr>
          </w:p>
        </w:tc>
        <w:tc>
          <w:tcPr>
            <w:tcW w:w="10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1996</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Cash</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12.0</w:t>
            </w:r>
          </w:p>
        </w:tc>
        <w:tc>
          <w:tcPr>
            <w:tcW w:w="5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10.6</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allowances</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of $6.2, $3.9, and $4.1, respectively</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349.7</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315.4</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110.4</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188.3</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187.4</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148.8</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Prepaid and other assets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22.4</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21.9</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22.1</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572.4</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533.2</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291.9</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660" w:type="dxa"/>
            <w:vAlign w:val="bottom"/>
          </w:tcPr>
          <w:p>
            <w:pPr>
              <w:spacing w:after="0"/>
              <w:rPr>
                <w:sz w:val="24"/>
                <w:szCs w:val="24"/>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134.8</w:t>
            </w:r>
          </w:p>
        </w:tc>
        <w:tc>
          <w:tcPr>
            <w:tcW w:w="560" w:type="dxa"/>
            <w:vAlign w:val="bottom"/>
          </w:tcPr>
          <w:p>
            <w:pPr>
              <w:spacing w:after="0"/>
              <w:rPr>
                <w:sz w:val="24"/>
                <w:szCs w:val="24"/>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147.4</w:t>
            </w:r>
          </w:p>
        </w:tc>
        <w:tc>
          <w:tcPr>
            <w:tcW w:w="700" w:type="dxa"/>
            <w:vAlign w:val="bottom"/>
          </w:tcPr>
          <w:p>
            <w:pPr>
              <w:spacing w:after="0"/>
              <w:rPr>
                <w:sz w:val="24"/>
                <w:szCs w:val="24"/>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139.5</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Trademarks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85.9</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88.1</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87.0</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intangibles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17.2</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22.1</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19.5</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251.7</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181.6</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180.2</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15.8</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13.6</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Total Assets</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$ 1,064.1</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$ 988.2</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$ 731.7</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546"/>
        </w:trPr>
        <w:tc>
          <w:tcPr>
            <w:tcW w:w="6000" w:type="dxa"/>
            <w:vAlign w:val="bottom"/>
          </w:tcPr>
          <w:p>
            <w:pPr>
              <w:ind w:left="2080"/>
              <w:spacing w:after="0"/>
              <w:rPr>
                <w:sz w:val="20"/>
                <w:szCs w:val="20"/>
                <w:color w:val="auto"/>
              </w:rPr>
            </w:pPr>
            <w:r>
              <w:rPr>
                <w:rFonts w:ascii="Courier New" w:cs="Courier New" w:eastAsia="Courier New" w:hAnsi="Courier New"/>
                <w:sz w:val="16"/>
                <w:szCs w:val="16"/>
                <w:color w:val="auto"/>
              </w:rPr>
              <w:t>LIABILITIES AND SHAREHOLDERS' EQUITY</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Revolving credit line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128.5</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$ 100.9</w:t>
            </w:r>
          </w:p>
        </w:tc>
        <w:tc>
          <w:tcPr>
            <w:tcW w:w="7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Current portion of term debt</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85.0</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78.6</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46.3</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Accrued liabilities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77.0</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46.7</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42.6</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Accrued taxes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37.5</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21.1</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19.7</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Total current liabilities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328.1</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247.5</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110.8</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Term debt, less current portion</w:t>
            </w:r>
          </w:p>
        </w:tc>
        <w:tc>
          <w:tcPr>
            <w:tcW w:w="660" w:type="dxa"/>
            <w:vAlign w:val="bottom"/>
          </w:tcPr>
          <w:p>
            <w:pPr>
              <w:spacing w:after="0"/>
              <w:rPr>
                <w:sz w:val="24"/>
                <w:szCs w:val="24"/>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324.4</w:t>
            </w:r>
          </w:p>
        </w:tc>
        <w:tc>
          <w:tcPr>
            <w:tcW w:w="560" w:type="dxa"/>
            <w:vAlign w:val="bottom"/>
          </w:tcPr>
          <w:p>
            <w:pPr>
              <w:spacing w:after="0"/>
              <w:rPr>
                <w:sz w:val="24"/>
                <w:szCs w:val="24"/>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324.5</w:t>
            </w:r>
          </w:p>
        </w:tc>
        <w:tc>
          <w:tcPr>
            <w:tcW w:w="700" w:type="dxa"/>
            <w:vAlign w:val="bottom"/>
          </w:tcPr>
          <w:p>
            <w:pPr>
              <w:spacing w:after="0"/>
              <w:rPr>
                <w:sz w:val="24"/>
                <w:szCs w:val="24"/>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223.1</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Postretirement benefits other than pensions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27.2</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27.3</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27.2</w:t>
            </w: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6.0</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5.1</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w:t>
            </w:r>
          </w:p>
        </w:tc>
        <w:tc>
          <w:tcPr>
            <w:tcW w:w="660" w:type="dxa"/>
            <w:vAlign w:val="bottom"/>
          </w:tcPr>
          <w:p>
            <w:pPr>
              <w:spacing w:after="0"/>
              <w:rPr>
                <w:sz w:val="24"/>
                <w:szCs w:val="24"/>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685.7</w:t>
            </w:r>
          </w:p>
        </w:tc>
        <w:tc>
          <w:tcPr>
            <w:tcW w:w="560" w:type="dxa"/>
            <w:vAlign w:val="bottom"/>
          </w:tcPr>
          <w:p>
            <w:pPr>
              <w:spacing w:after="0"/>
              <w:rPr>
                <w:sz w:val="24"/>
                <w:szCs w:val="24"/>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604.4</w:t>
            </w:r>
          </w:p>
        </w:tc>
        <w:tc>
          <w:tcPr>
            <w:tcW w:w="700" w:type="dxa"/>
            <w:vAlign w:val="bottom"/>
          </w:tcPr>
          <w:p>
            <w:pPr>
              <w:spacing w:after="0"/>
              <w:rPr>
                <w:sz w:val="24"/>
                <w:szCs w:val="24"/>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367.4</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4"/>
        </w:trPr>
        <w:tc>
          <w:tcPr>
            <w:tcW w:w="60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Class A Convertible Preferred Stock, no par value</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177.3</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177.3</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177.3</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Common Shares, $.01 stated value, issued 21.1</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shares in 1997 and 1996</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207.6</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207.7</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207.7</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37.4</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31.3</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20.4</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Cumulative foreign currency translation adjustments</w:t>
            </w:r>
          </w:p>
        </w:tc>
        <w:tc>
          <w:tcPr>
            <w:tcW w:w="6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w:t>
            </w:r>
          </w:p>
        </w:tc>
      </w:tr>
      <w:tr>
        <w:trPr>
          <w:trHeight w:val="182"/>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Treasury stock, 2.5 shares on March 29, 1997</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and September 30, 1996, and 2.1 shares on</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March 30, 1996, at cost</w:t>
            </w:r>
          </w:p>
        </w:tc>
        <w:tc>
          <w:tcPr>
            <w:tcW w:w="66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(43.0)</w:t>
            </w:r>
          </w:p>
        </w:tc>
        <w:tc>
          <w:tcPr>
            <w:tcW w:w="560" w:type="dxa"/>
            <w:vAlign w:val="bottom"/>
          </w:tcPr>
          <w:p>
            <w:pPr>
              <w:spacing w:after="0"/>
              <w:rPr>
                <w:sz w:val="15"/>
                <w:szCs w:val="15"/>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(36.1)</w:t>
            </w:r>
          </w:p>
        </w:tc>
        <w:tc>
          <w:tcPr>
            <w:tcW w:w="70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(43.4)</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Total Shareholders' Equity</w:t>
            </w:r>
          </w:p>
        </w:tc>
        <w:tc>
          <w:tcPr>
            <w:tcW w:w="660" w:type="dxa"/>
            <w:vAlign w:val="bottom"/>
          </w:tcPr>
          <w:p>
            <w:pPr>
              <w:spacing w:after="0"/>
              <w:rPr>
                <w:sz w:val="15"/>
                <w:szCs w:val="15"/>
                <w:color w:val="auto"/>
              </w:rPr>
            </w:pPr>
          </w:p>
        </w:tc>
        <w:tc>
          <w:tcPr>
            <w:tcW w:w="12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378.3</w:t>
            </w:r>
          </w:p>
        </w:tc>
        <w:tc>
          <w:tcPr>
            <w:tcW w:w="56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383.8</w:t>
            </w:r>
          </w:p>
        </w:tc>
        <w:tc>
          <w:tcPr>
            <w:tcW w:w="70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364.3</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600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$ 1,064.1</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$ 988.2</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$ 731.7</w:t>
            </w:r>
          </w:p>
        </w:tc>
      </w:tr>
      <w:tr>
        <w:trPr>
          <w:trHeight w:val="182"/>
        </w:trPr>
        <w:tc>
          <w:tcPr>
            <w:tcW w:w="6000" w:type="dxa"/>
            <w:vAlign w:val="bottom"/>
          </w:tcPr>
          <w:p>
            <w:pPr>
              <w:spacing w:after="0"/>
              <w:rPr>
                <w:sz w:val="15"/>
                <w:szCs w:val="15"/>
                <w:color w:val="auto"/>
              </w:rPr>
            </w:pPr>
          </w:p>
        </w:tc>
        <w:tc>
          <w:tcPr>
            <w:tcW w:w="19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Page 5</w:t>
      </w:r>
    </w:p>
    <w:p>
      <w:pPr>
        <w:sectPr>
          <w:pgSz w:w="11900" w:h="16838" w:orient="portrait"/>
          <w:cols w:equalWidth="0" w:num="1">
            <w:col w:w="10960"/>
          </w:cols>
          <w:pgMar w:left="240" w:top="295" w:right="699" w:bottom="1440" w:gutter="0" w:footer="0" w:header="0"/>
        </w:sectPr>
      </w:pPr>
    </w:p>
    <w:bookmarkStart w:id="5" w:name="page6"/>
    <w:bookmarkEnd w:id="5"/>
    <w:p>
      <w:pPr>
        <w:ind w:left="283"/>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46"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ind w:left="563" w:hanging="563"/>
        <w:spacing w:after="0"/>
        <w:tabs>
          <w:tab w:leader="none" w:pos="5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OPERATIONS</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5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United Kingdom, continental Europe, Southeast Asia, the Middle East, Africa, Australia, New Zealand, and several Latin American countries. The Company's business is highly seasonal with approximately 70% of sales occurring in the second and third fiscal quarters.</w:t>
      </w:r>
    </w:p>
    <w:p>
      <w:pPr>
        <w:spacing w:after="0" w:line="184" w:lineRule="exact"/>
        <w:rPr>
          <w:rFonts w:ascii="Courier New" w:cs="Courier New" w:eastAsia="Courier New" w:hAnsi="Courier New"/>
          <w:sz w:val="16"/>
          <w:szCs w:val="16"/>
          <w:color w:val="auto"/>
        </w:rPr>
      </w:pP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563"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include the accounts of The Scotts Company ("Scotts") and its wholly-owned subsidiaries, Hyponex Corporation ("Hyponex"), Republic Tool and Manufacturing Corp. ("Republic"), Scotts-Sierra Horticultural Products Company ("Sierra"), Scotts' Miracle-Gro Products, Inc. ("Miracle-Gro"), and Miracle Holdings Limited ("Miracle Holdings") (collectively, the "Company"). All material intercompany transactions have been eliminated.</w:t>
      </w:r>
    </w:p>
    <w:p>
      <w:pPr>
        <w:spacing w:after="0" w:line="191" w:lineRule="exact"/>
        <w:rPr>
          <w:rFonts w:ascii="Courier New" w:cs="Courier New" w:eastAsia="Courier New" w:hAnsi="Courier New"/>
          <w:sz w:val="16"/>
          <w:szCs w:val="16"/>
          <w:color w:val="auto"/>
        </w:rPr>
      </w:pPr>
    </w:p>
    <w:p>
      <w:pPr>
        <w:ind w:left="5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sheets as of March 29, 1997 and March 30, 1996, the related consolidated statements of operations for the three and six month periods ended March 29, 1997 and March 30, 1996 and the related consolidated statements of cash flows for the six month periods ended March 29, 1997 and March 30, 1996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1996 Annual Report on Form 10-K.</w:t>
      </w:r>
    </w:p>
    <w:p>
      <w:pPr>
        <w:spacing w:after="0" w:line="186" w:lineRule="exact"/>
        <w:rPr>
          <w:rFonts w:ascii="Courier New" w:cs="Courier New" w:eastAsia="Courier New" w:hAnsi="Courier New"/>
          <w:sz w:val="16"/>
          <w:szCs w:val="16"/>
          <w:color w:val="auto"/>
        </w:rPr>
      </w:pP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5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marketing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184" w:lineRule="exact"/>
        <w:rPr>
          <w:rFonts w:ascii="Courier New" w:cs="Courier New" w:eastAsia="Courier New" w:hAnsi="Courier New"/>
          <w:sz w:val="16"/>
          <w:szCs w:val="16"/>
          <w:color w:val="auto"/>
        </w:rPr>
      </w:pP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563" w:right="30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years' financial statements to conform to fiscal 1997 classifications.</w:t>
      </w:r>
    </w:p>
    <w:p>
      <w:pPr>
        <w:spacing w:after="0" w:line="183" w:lineRule="exact"/>
        <w:rPr>
          <w:rFonts w:ascii="Courier New" w:cs="Courier New" w:eastAsia="Courier New" w:hAnsi="Courier New"/>
          <w:sz w:val="16"/>
          <w:szCs w:val="16"/>
          <w:color w:val="auto"/>
        </w:rPr>
      </w:pP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COSTS</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563"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quarter ended March 29, 1997, the Company changed its method of accounting for advertising expenses in interim periods. The newly adopted method assigns anticipated advertising costs to interim periods based on projected sales of advertised product</w:t>
      </w:r>
    </w:p>
    <w:p>
      <w:pPr>
        <w:spacing w:after="0" w:line="365"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22"/>
          </w:cols>
          <w:pgMar w:left="237" w:top="295" w:right="1440" w:bottom="1440" w:gutter="0" w:footer="0" w:header="0"/>
        </w:sectPr>
      </w:pPr>
    </w:p>
    <w:bookmarkStart w:id="6" w:name="page7"/>
    <w:bookmarkEnd w:id="6"/>
    <w:p>
      <w:pPr>
        <w:ind w:left="283"/>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46"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68" w:lineRule="exact"/>
        <w:rPr>
          <w:sz w:val="20"/>
          <w:szCs w:val="20"/>
          <w:color w:val="auto"/>
        </w:rPr>
      </w:pPr>
    </w:p>
    <w:p>
      <w:pPr>
        <w:ind w:left="563" w:right="2839"/>
        <w:spacing w:after="0" w:line="239" w:lineRule="auto"/>
        <w:rPr>
          <w:sz w:val="20"/>
          <w:szCs w:val="20"/>
          <w:color w:val="auto"/>
        </w:rPr>
      </w:pPr>
      <w:r>
        <w:rPr>
          <w:rFonts w:ascii="Courier New" w:cs="Courier New" w:eastAsia="Courier New" w:hAnsi="Courier New"/>
          <w:sz w:val="16"/>
          <w:szCs w:val="16"/>
          <w:color w:val="auto"/>
        </w:rPr>
        <w:t>categories and has been applied retroactive to the beginning of fiscal 1997 (October 1, 1996). This change impacts interim periods only; all current year advertising costs will be expensed within the fiscal year. Management believes this method of interim accounting for advertising costs provides better matching of revenues and expenses in interim periods, and is consistent with companies in the consumer packaged goods industry.</w:t>
      </w:r>
    </w:p>
    <w:p>
      <w:pPr>
        <w:spacing w:after="0" w:line="192" w:lineRule="exact"/>
        <w:rPr>
          <w:sz w:val="20"/>
          <w:szCs w:val="20"/>
          <w:color w:val="auto"/>
        </w:rPr>
      </w:pPr>
    </w:p>
    <w:p>
      <w:pPr>
        <w:ind w:left="563" w:right="2659"/>
        <w:spacing w:after="0" w:line="239" w:lineRule="auto"/>
        <w:rPr>
          <w:sz w:val="20"/>
          <w:szCs w:val="20"/>
          <w:color w:val="auto"/>
        </w:rPr>
      </w:pPr>
      <w:r>
        <w:rPr>
          <w:rFonts w:ascii="Courier New" w:cs="Courier New" w:eastAsia="Courier New" w:hAnsi="Courier New"/>
          <w:sz w:val="16"/>
          <w:szCs w:val="16"/>
          <w:color w:val="auto"/>
        </w:rPr>
        <w:t>This change in interim accounting had the effect of increasing advertising expense for the first and second quarters of fiscal 1997, and for the six months ended March 29, 1997 by $3.3 million, $4.6 million and $7.9 million, respectively. Net income for the first and second quarters of fiscal 1997, and for the six months ended March 29, 1997 decreased by $1.9 million or $.10 per share, $2.6 million or $.09 per share and $4.5 million or $.15 per share, respectively.</w:t>
      </w:r>
    </w:p>
    <w:p>
      <w:pPr>
        <w:spacing w:after="0" w:line="188" w:lineRule="exact"/>
        <w:rPr>
          <w:sz w:val="20"/>
          <w:szCs w:val="20"/>
          <w:color w:val="auto"/>
        </w:rPr>
      </w:pPr>
    </w:p>
    <w:p>
      <w:pPr>
        <w:ind w:left="563" w:hanging="563"/>
        <w:spacing w:after="0"/>
        <w:tabs>
          <w:tab w:leader="none" w:pos="5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5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3, 1997, the Company acquired the approximately two-thirds interest in Miracle Holdings which the Company did not already own. Miracle Holdings owns Miracle Garden Care Limited, a manufacturer and distributor of lawn and garden products in the United Kingdom.</w:t>
      </w:r>
    </w:p>
    <w:p>
      <w:pPr>
        <w:spacing w:after="0" w:line="187" w:lineRule="exact"/>
        <w:rPr>
          <w:rFonts w:ascii="Courier New" w:cs="Courier New" w:eastAsia="Courier New" w:hAnsi="Courier New"/>
          <w:sz w:val="16"/>
          <w:szCs w:val="16"/>
          <w:color w:val="auto"/>
        </w:rPr>
      </w:pPr>
    </w:p>
    <w:p>
      <w:pPr>
        <w:ind w:left="563"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pro forma results of operations give effect to the Miracle Holdings acquisition as if it had occurred on October 1, 1995.</w:t>
      </w:r>
    </w:p>
    <w:p>
      <w:pPr>
        <w:spacing w:after="0" w:line="200" w:lineRule="exact"/>
        <w:rPr>
          <w:sz w:val="20"/>
          <w:szCs w:val="20"/>
          <w:color w:val="auto"/>
        </w:rPr>
      </w:pPr>
    </w:p>
    <w:p>
      <w:pPr>
        <w:spacing w:after="0" w:line="347" w:lineRule="exact"/>
        <w:rPr>
          <w:sz w:val="20"/>
          <w:szCs w:val="20"/>
          <w:color w:val="auto"/>
        </w:rPr>
      </w:pPr>
    </w:p>
    <w:tbl>
      <w:tblPr>
        <w:tblLayout w:type="fixed"/>
        <w:tblInd w:w="663" w:type="dxa"/>
        <w:tblCellMar>
          <w:top w:w="0" w:type="dxa"/>
          <w:left w:w="0" w:type="dxa"/>
          <w:bottom w:w="0" w:type="dxa"/>
          <w:right w:w="0" w:type="dxa"/>
        </w:tblCellMar>
      </w:tblPr>
      <w:tr>
        <w:trPr>
          <w:trHeight w:val="181"/>
        </w:trPr>
        <w:tc>
          <w:tcPr>
            <w:tcW w:w="3880" w:type="dxa"/>
            <w:vAlign w:val="bottom"/>
          </w:tcPr>
          <w:p>
            <w:pPr>
              <w:spacing w:after="0"/>
              <w:rPr>
                <w:sz w:val="15"/>
                <w:szCs w:val="15"/>
                <w:color w:val="auto"/>
              </w:rPr>
            </w:pPr>
          </w:p>
        </w:tc>
        <w:tc>
          <w:tcPr>
            <w:tcW w:w="482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(in millions, except per share amounts)</w:t>
            </w:r>
          </w:p>
        </w:tc>
      </w:tr>
      <w:tr>
        <w:trPr>
          <w:trHeight w:val="182"/>
        </w:trPr>
        <w:tc>
          <w:tcPr>
            <w:tcW w:w="3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6"/>
                <w:szCs w:val="16"/>
                <w:color w:val="auto"/>
              </w:rPr>
              <w:t>SIX MONTHS ENDED</w:t>
            </w:r>
          </w:p>
        </w:tc>
        <w:tc>
          <w:tcPr>
            <w:tcW w:w="760" w:type="dxa"/>
            <w:vAlign w:val="bottom"/>
          </w:tcPr>
          <w:p>
            <w:pPr>
              <w:spacing w:after="0"/>
              <w:rPr>
                <w:sz w:val="15"/>
                <w:szCs w:val="15"/>
                <w:color w:val="auto"/>
              </w:rPr>
            </w:pPr>
          </w:p>
        </w:tc>
      </w:tr>
      <w:tr>
        <w:trPr>
          <w:trHeight w:val="182"/>
        </w:trPr>
        <w:tc>
          <w:tcPr>
            <w:tcW w:w="3880" w:type="dxa"/>
            <w:vAlign w:val="bottom"/>
          </w:tcPr>
          <w:p>
            <w:pPr>
              <w:spacing w:after="0"/>
              <w:rPr>
                <w:sz w:val="15"/>
                <w:szCs w:val="15"/>
                <w:color w:val="auto"/>
              </w:rPr>
            </w:pPr>
          </w:p>
        </w:tc>
        <w:tc>
          <w:tcPr>
            <w:tcW w:w="482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spacing w:after="0"/>
              <w:rPr>
                <w:sz w:val="15"/>
                <w:szCs w:val="15"/>
                <w:color w:val="auto"/>
              </w:rPr>
            </w:pPr>
          </w:p>
        </w:tc>
        <w:tc>
          <w:tcPr>
            <w:tcW w:w="20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March 29</w:t>
            </w:r>
          </w:p>
        </w:tc>
        <w:tc>
          <w:tcPr>
            <w:tcW w:w="2780" w:type="dxa"/>
            <w:vAlign w:val="bottom"/>
            <w:gridSpan w:val="2"/>
          </w:tcPr>
          <w:p>
            <w:pPr>
              <w:ind w:left="1920"/>
              <w:spacing w:after="0"/>
              <w:rPr>
                <w:sz w:val="20"/>
                <w:szCs w:val="20"/>
                <w:color w:val="auto"/>
              </w:rPr>
            </w:pPr>
            <w:r>
              <w:rPr>
                <w:rFonts w:ascii="Courier New" w:cs="Courier New" w:eastAsia="Courier New" w:hAnsi="Courier New"/>
                <w:sz w:val="16"/>
                <w:szCs w:val="16"/>
                <w:color w:val="auto"/>
              </w:rPr>
              <w:t>March 30</w:t>
            </w:r>
          </w:p>
        </w:tc>
      </w:tr>
      <w:tr>
        <w:trPr>
          <w:trHeight w:val="182"/>
        </w:trPr>
        <w:tc>
          <w:tcPr>
            <w:tcW w:w="3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1997</w:t>
            </w:r>
          </w:p>
        </w:tc>
        <w:tc>
          <w:tcPr>
            <w:tcW w:w="202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3880" w:type="dxa"/>
            <w:vAlign w:val="bottom"/>
          </w:tcPr>
          <w:p>
            <w:pPr>
              <w:spacing w:after="0"/>
              <w:rPr>
                <w:sz w:val="15"/>
                <w:szCs w:val="15"/>
                <w:color w:val="auto"/>
              </w:rPr>
            </w:pPr>
          </w:p>
        </w:tc>
        <w:tc>
          <w:tcPr>
            <w:tcW w:w="20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8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0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$ 457.2</w:t>
            </w:r>
          </w:p>
        </w:tc>
        <w:tc>
          <w:tcPr>
            <w:tcW w:w="2020" w:type="dxa"/>
            <w:vAlign w:val="bottom"/>
          </w:tcPr>
          <w:p>
            <w:pPr>
              <w:ind w:left="192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399.5</w:t>
            </w:r>
          </w:p>
        </w:tc>
      </w:tr>
      <w:tr>
        <w:trPr>
          <w:trHeight w:val="182"/>
        </w:trPr>
        <w:tc>
          <w:tcPr>
            <w:tcW w:w="3880" w:type="dxa"/>
            <w:vAlign w:val="bottom"/>
          </w:tcPr>
          <w:p>
            <w:pPr>
              <w:spacing w:after="0"/>
              <w:rPr>
                <w:sz w:val="15"/>
                <w:szCs w:val="15"/>
                <w:color w:val="auto"/>
              </w:rPr>
            </w:pPr>
          </w:p>
        </w:tc>
        <w:tc>
          <w:tcPr>
            <w:tcW w:w="20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8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22.5</w:t>
            </w:r>
          </w:p>
        </w:tc>
        <w:tc>
          <w:tcPr>
            <w:tcW w:w="2020" w:type="dxa"/>
            <w:vAlign w:val="bottom"/>
          </w:tcPr>
          <w:p>
            <w:pPr>
              <w:ind w:left="192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w:t>
            </w:r>
          </w:p>
        </w:tc>
      </w:tr>
      <w:tr>
        <w:trPr>
          <w:trHeight w:val="182"/>
        </w:trPr>
        <w:tc>
          <w:tcPr>
            <w:tcW w:w="3880" w:type="dxa"/>
            <w:vAlign w:val="bottom"/>
          </w:tcPr>
          <w:p>
            <w:pPr>
              <w:spacing w:after="0"/>
              <w:rPr>
                <w:sz w:val="15"/>
                <w:szCs w:val="15"/>
                <w:color w:val="auto"/>
              </w:rPr>
            </w:pPr>
          </w:p>
        </w:tc>
        <w:tc>
          <w:tcPr>
            <w:tcW w:w="20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2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880" w:type="dxa"/>
            <w:vAlign w:val="bottom"/>
          </w:tcPr>
          <w:p>
            <w:pPr>
              <w:spacing w:after="0"/>
              <w:rPr>
                <w:sz w:val="20"/>
                <w:szCs w:val="20"/>
                <w:color w:val="auto"/>
              </w:rPr>
            </w:pPr>
            <w:r>
              <w:rPr>
                <w:rFonts w:ascii="Courier New" w:cs="Courier New" w:eastAsia="Courier New" w:hAnsi="Courier New"/>
                <w:sz w:val="16"/>
                <w:szCs w:val="16"/>
                <w:color w:val="auto"/>
              </w:rPr>
              <w:t>Income (loss) per common share</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0.77</w:t>
            </w:r>
          </w:p>
        </w:tc>
        <w:tc>
          <w:tcPr>
            <w:tcW w:w="20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 (0.02)</w:t>
            </w:r>
          </w:p>
        </w:tc>
      </w:tr>
      <w:tr>
        <w:trPr>
          <w:trHeight w:val="182"/>
        </w:trPr>
        <w:tc>
          <w:tcPr>
            <w:tcW w:w="3880" w:type="dxa"/>
            <w:vAlign w:val="bottom"/>
          </w:tcPr>
          <w:p>
            <w:pPr>
              <w:spacing w:after="0"/>
              <w:rPr>
                <w:sz w:val="15"/>
                <w:szCs w:val="15"/>
                <w:color w:val="auto"/>
              </w:rPr>
            </w:pPr>
          </w:p>
        </w:tc>
        <w:tc>
          <w:tcPr>
            <w:tcW w:w="20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w:t>
            </w:r>
          </w:p>
        </w:tc>
      </w:tr>
    </w:tbl>
    <w:p>
      <w:pPr>
        <w:spacing w:after="0" w:line="368" w:lineRule="exact"/>
        <w:rPr>
          <w:sz w:val="20"/>
          <w:szCs w:val="20"/>
          <w:color w:val="auto"/>
        </w:rPr>
      </w:pPr>
    </w:p>
    <w:p>
      <w:pPr>
        <w:ind w:left="563" w:right="2759"/>
        <w:spacing w:after="0" w:line="238" w:lineRule="auto"/>
        <w:rPr>
          <w:sz w:val="20"/>
          <w:szCs w:val="20"/>
          <w:color w:val="auto"/>
        </w:rPr>
      </w:pPr>
      <w:r>
        <w:rPr>
          <w:rFonts w:ascii="Courier New" w:cs="Courier New" w:eastAsia="Courier New" w:hAnsi="Courier New"/>
          <w:sz w:val="16"/>
          <w:szCs w:val="16"/>
          <w:color w:val="auto"/>
        </w:rPr>
        <w:t>Pro forma primary net income per common share for the six months ended is calculated using the weighted average common shares outstanding at March 29, 1997 of 29.2 million and at March 30, 1996 of 18.8 million.</w:t>
      </w:r>
    </w:p>
    <w:p>
      <w:pPr>
        <w:spacing w:after="0" w:line="18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43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The pro forma information provided does not</w:t>
            </w:r>
          </w:p>
        </w:tc>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purport to be indicative of</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43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actual results of operations if the Miracle</w:t>
            </w:r>
          </w:p>
        </w:tc>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Holdings Limited acquisition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756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had occurred as of October 1, 1995, and is not intended to be indicative</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of future results or trends.</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3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83"/>
              </w:rPr>
              <w:t>3.</w:t>
            </w: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INVENTORIES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80" w:type="dxa"/>
            <w:vAlign w:val="bottom"/>
          </w:tcPr>
          <w:p>
            <w:pPr>
              <w:spacing w:after="0"/>
              <w:rPr>
                <w:sz w:val="15"/>
                <w:szCs w:val="15"/>
                <w:color w:val="auto"/>
              </w:rPr>
            </w:pP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3160" w:type="dxa"/>
            <w:vAlign w:val="bottom"/>
          </w:tcPr>
          <w:p>
            <w:pPr>
              <w:ind w:left="180"/>
              <w:spacing w:after="0"/>
              <w:rPr>
                <w:sz w:val="20"/>
                <w:szCs w:val="20"/>
                <w:color w:val="auto"/>
              </w:rPr>
            </w:pPr>
            <w:r>
              <w:rPr>
                <w:rFonts w:ascii="Courier New" w:cs="Courier New" w:eastAsia="Courier New" w:hAnsi="Courier New"/>
                <w:sz w:val="16"/>
                <w:szCs w:val="16"/>
                <w:color w:val="auto"/>
              </w:rPr>
              <w:t>(in millions)</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380" w:type="dxa"/>
            <w:vAlign w:val="bottom"/>
          </w:tcPr>
          <w:p>
            <w:pPr>
              <w:spacing w:after="0"/>
              <w:rPr>
                <w:sz w:val="24"/>
                <w:szCs w:val="24"/>
                <w:color w:val="auto"/>
              </w:rPr>
            </w:pPr>
          </w:p>
        </w:tc>
        <w:tc>
          <w:tcPr>
            <w:tcW w:w="756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Inventories, net of provisions of $10.2, $6.9 and $8.7, consisted of:</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728"/>
        </w:trPr>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March 29</w:t>
            </w:r>
          </w:p>
        </w:tc>
        <w:tc>
          <w:tcPr>
            <w:tcW w:w="322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March 30</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3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1760" w:type="dxa"/>
            <w:vAlign w:val="bottom"/>
          </w:tcPr>
          <w:p>
            <w:pPr>
              <w:spacing w:after="0"/>
              <w:rPr>
                <w:sz w:val="15"/>
                <w:szCs w:val="15"/>
                <w:color w:val="auto"/>
              </w:rPr>
            </w:pPr>
          </w:p>
        </w:tc>
        <w:tc>
          <w:tcPr>
            <w:tcW w:w="14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1996</w:t>
            </w:r>
          </w:p>
        </w:tc>
      </w:tr>
      <w:tr>
        <w:trPr>
          <w:trHeight w:val="182"/>
        </w:trPr>
        <w:tc>
          <w:tcPr>
            <w:tcW w:w="3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5"/>
                <w:szCs w:val="15"/>
                <w:color w:val="auto"/>
              </w:rPr>
            </w:pPr>
          </w:p>
        </w:tc>
        <w:tc>
          <w:tcPr>
            <w:tcW w:w="14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380" w:type="dxa"/>
            <w:vAlign w:val="bottom"/>
          </w:tcPr>
          <w:p>
            <w:pPr>
              <w:spacing w:after="0"/>
              <w:rPr>
                <w:sz w:val="24"/>
                <w:szCs w:val="24"/>
                <w:color w:val="auto"/>
              </w:rPr>
            </w:pPr>
          </w:p>
        </w:tc>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Finished Goods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128.5</w:t>
            </w:r>
          </w:p>
        </w:tc>
        <w:tc>
          <w:tcPr>
            <w:tcW w:w="176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122.8</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96.7</w:t>
            </w:r>
          </w:p>
        </w:tc>
      </w:tr>
      <w:tr>
        <w:trPr>
          <w:trHeight w:val="182"/>
        </w:trPr>
        <w:tc>
          <w:tcPr>
            <w:tcW w:w="380" w:type="dxa"/>
            <w:vAlign w:val="bottom"/>
          </w:tcPr>
          <w:p>
            <w:pPr>
              <w:spacing w:after="0"/>
              <w:rPr>
                <w:sz w:val="15"/>
                <w:szCs w:val="15"/>
                <w:color w:val="auto"/>
              </w:rPr>
            </w:pPr>
          </w:p>
        </w:tc>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Raw Materials</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59.8</w:t>
            </w:r>
          </w:p>
        </w:tc>
        <w:tc>
          <w:tcPr>
            <w:tcW w:w="1760" w:type="dxa"/>
            <w:vAlign w:val="bottom"/>
          </w:tcPr>
          <w:p>
            <w:pPr>
              <w:spacing w:after="0"/>
              <w:rPr>
                <w:sz w:val="15"/>
                <w:szCs w:val="15"/>
                <w:color w:val="auto"/>
              </w:rPr>
            </w:pPr>
          </w:p>
        </w:tc>
        <w:tc>
          <w:tcPr>
            <w:tcW w:w="14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64.6</w:t>
            </w:r>
          </w:p>
        </w:tc>
        <w:tc>
          <w:tcPr>
            <w:tcW w:w="9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52.1</w:t>
            </w:r>
          </w:p>
        </w:tc>
      </w:tr>
      <w:tr>
        <w:trPr>
          <w:trHeight w:val="182"/>
        </w:trPr>
        <w:tc>
          <w:tcPr>
            <w:tcW w:w="3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22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188.3</w:t>
            </w:r>
          </w:p>
        </w:tc>
        <w:tc>
          <w:tcPr>
            <w:tcW w:w="1760" w:type="dxa"/>
            <w:vAlign w:val="bottom"/>
          </w:tcPr>
          <w:p>
            <w:pPr>
              <w:ind w:left="162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187.4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148.8</w:t>
            </w:r>
          </w:p>
        </w:tc>
      </w:tr>
      <w:tr>
        <w:trPr>
          <w:trHeight w:val="182"/>
        </w:trPr>
        <w:tc>
          <w:tcPr>
            <w:tcW w:w="3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322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10222"/>
          </w:cols>
          <w:pgMar w:left="237" w:top="295" w:right="1440" w:bottom="519" w:gutter="0" w:footer="0" w:header="0"/>
        </w:sectPr>
      </w:pPr>
    </w:p>
    <w:bookmarkStart w:id="7" w:name="page8"/>
    <w:bookmarkEnd w:id="7"/>
    <w:p>
      <w:pPr>
        <w:ind w:left="283"/>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46"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6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8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83"/>
              </w:rPr>
              <w:t>4.</w:t>
            </w:r>
          </w:p>
        </w:tc>
        <w:tc>
          <w:tcPr>
            <w:tcW w:w="312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LONG-TERM DEBT</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312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(in millions)</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546"/>
        </w:trPr>
        <w:tc>
          <w:tcPr>
            <w:tcW w:w="3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March 29</w:t>
            </w:r>
          </w:p>
        </w:tc>
        <w:tc>
          <w:tcPr>
            <w:tcW w:w="1580" w:type="dxa"/>
            <w:vAlign w:val="bottom"/>
            <w:gridSpan w:val="2"/>
          </w:tcPr>
          <w:p>
            <w:pPr>
              <w:ind w:left="820"/>
              <w:spacing w:after="0"/>
              <w:rPr>
                <w:sz w:val="20"/>
                <w:szCs w:val="20"/>
                <w:color w:val="auto"/>
              </w:rPr>
            </w:pPr>
            <w:r>
              <w:rPr>
                <w:rFonts w:ascii="Courier New" w:cs="Courier New" w:eastAsia="Courier New" w:hAnsi="Courier New"/>
                <w:sz w:val="16"/>
                <w:szCs w:val="16"/>
                <w:color w:val="auto"/>
                <w:w w:val="96"/>
              </w:rPr>
              <w:t>March 30</w:t>
            </w:r>
          </w:p>
        </w:tc>
      </w:tr>
      <w:tr>
        <w:trPr>
          <w:trHeight w:val="182"/>
        </w:trPr>
        <w:tc>
          <w:tcPr>
            <w:tcW w:w="3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jc w:val="right"/>
              <w:ind w:right="901"/>
              <w:spacing w:after="0"/>
              <w:rPr>
                <w:sz w:val="20"/>
                <w:szCs w:val="20"/>
                <w:color w:val="auto"/>
              </w:rPr>
            </w:pPr>
            <w:r>
              <w:rPr>
                <w:rFonts w:ascii="Courier New" w:cs="Courier New" w:eastAsia="Courier New" w:hAnsi="Courier New"/>
                <w:sz w:val="16"/>
                <w:szCs w:val="16"/>
                <w:color w:val="auto"/>
              </w:rPr>
              <w:t>1997</w:t>
            </w:r>
          </w:p>
        </w:tc>
        <w:tc>
          <w:tcPr>
            <w:tcW w:w="96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3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2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80" w:type="dxa"/>
            <w:vAlign w:val="bottom"/>
          </w:tcPr>
          <w:p>
            <w:pPr>
              <w:spacing w:after="0"/>
              <w:rPr>
                <w:sz w:val="24"/>
                <w:szCs w:val="24"/>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Revolving Credit Line</w:t>
            </w:r>
          </w:p>
        </w:tc>
        <w:tc>
          <w:tcPr>
            <w:tcW w:w="62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353.5</w:t>
            </w:r>
          </w:p>
        </w:tc>
        <w:tc>
          <w:tcPr>
            <w:tcW w:w="960" w:type="dxa"/>
            <w:vAlign w:val="bottom"/>
          </w:tcPr>
          <w:p>
            <w:pPr>
              <w:ind w:left="82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326.1</w:t>
            </w:r>
          </w:p>
        </w:tc>
      </w:tr>
      <w:tr>
        <w:trPr>
          <w:trHeight w:val="182"/>
        </w:trPr>
        <w:tc>
          <w:tcPr>
            <w:tcW w:w="380" w:type="dxa"/>
            <w:vAlign w:val="bottom"/>
          </w:tcPr>
          <w:p>
            <w:pPr>
              <w:spacing w:after="0"/>
              <w:rPr>
                <w:sz w:val="15"/>
                <w:szCs w:val="15"/>
                <w:color w:val="auto"/>
              </w:rPr>
            </w:pPr>
          </w:p>
        </w:tc>
        <w:tc>
          <w:tcPr>
            <w:tcW w:w="312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9 7/8% Senior</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3120" w:type="dxa"/>
            <w:vAlign w:val="bottom"/>
          </w:tcPr>
          <w:p>
            <w:pPr>
              <w:ind w:left="660"/>
              <w:spacing w:after="0"/>
              <w:rPr>
                <w:sz w:val="20"/>
                <w:szCs w:val="20"/>
                <w:color w:val="auto"/>
              </w:rPr>
            </w:pPr>
            <w:r>
              <w:rPr>
                <w:rFonts w:ascii="Courier New" w:cs="Courier New" w:eastAsia="Courier New" w:hAnsi="Courier New"/>
                <w:sz w:val="16"/>
                <w:szCs w:val="16"/>
                <w:color w:val="auto"/>
              </w:rPr>
              <w:t>Subordinated Notes</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3120" w:type="dxa"/>
            <w:vAlign w:val="bottom"/>
          </w:tcPr>
          <w:p>
            <w:pPr>
              <w:ind w:left="660"/>
              <w:spacing w:after="0"/>
              <w:rPr>
                <w:sz w:val="20"/>
                <w:szCs w:val="20"/>
                <w:color w:val="auto"/>
              </w:rPr>
            </w:pPr>
            <w:r>
              <w:rPr>
                <w:rFonts w:ascii="Courier New" w:cs="Courier New" w:eastAsia="Courier New" w:hAnsi="Courier New"/>
                <w:sz w:val="16"/>
                <w:szCs w:val="16"/>
                <w:color w:val="auto"/>
              </w:rPr>
              <w:t>$100 million face</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3120" w:type="dxa"/>
            <w:vAlign w:val="bottom"/>
          </w:tcPr>
          <w:p>
            <w:pPr>
              <w:ind w:left="660"/>
              <w:spacing w:after="0"/>
              <w:rPr>
                <w:sz w:val="20"/>
                <w:szCs w:val="20"/>
                <w:color w:val="auto"/>
              </w:rPr>
            </w:pPr>
            <w:r>
              <w:rPr>
                <w:rFonts w:ascii="Courier New" w:cs="Courier New" w:eastAsia="Courier New" w:hAnsi="Courier New"/>
                <w:sz w:val="16"/>
                <w:szCs w:val="16"/>
                <w:color w:val="auto"/>
              </w:rPr>
              <w:t>amount due 2004</w:t>
            </w:r>
          </w:p>
        </w:tc>
        <w:tc>
          <w:tcPr>
            <w:tcW w:w="620" w:type="dxa"/>
            <w:vAlign w:val="bottom"/>
          </w:tcPr>
          <w:p>
            <w:pPr>
              <w:spacing w:after="0"/>
              <w:rPr>
                <w:sz w:val="15"/>
                <w:szCs w:val="15"/>
                <w:color w:val="auto"/>
              </w:rPr>
            </w:pPr>
          </w:p>
        </w:tc>
        <w:tc>
          <w:tcPr>
            <w:tcW w:w="14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99.4</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99.3</w:t>
            </w:r>
          </w:p>
        </w:tc>
      </w:tr>
      <w:tr>
        <w:trPr>
          <w:trHeight w:val="182"/>
        </w:trPr>
        <w:tc>
          <w:tcPr>
            <w:tcW w:w="380" w:type="dxa"/>
            <w:vAlign w:val="bottom"/>
          </w:tcPr>
          <w:p>
            <w:pPr>
              <w:spacing w:after="0"/>
              <w:rPr>
                <w:sz w:val="15"/>
                <w:szCs w:val="15"/>
                <w:color w:val="auto"/>
              </w:rPr>
            </w:pPr>
          </w:p>
        </w:tc>
        <w:tc>
          <w:tcPr>
            <w:tcW w:w="3120" w:type="dxa"/>
            <w:vAlign w:val="bottom"/>
          </w:tcPr>
          <w:p>
            <w:pPr>
              <w:jc w:val="right"/>
              <w:ind w:right="1541"/>
              <w:spacing w:after="0"/>
              <w:rPr>
                <w:sz w:val="20"/>
                <w:szCs w:val="20"/>
                <w:color w:val="auto"/>
              </w:rPr>
            </w:pPr>
            <w:r>
              <w:rPr>
                <w:rFonts w:ascii="Courier New" w:cs="Courier New" w:eastAsia="Courier New" w:hAnsi="Courier New"/>
                <w:sz w:val="16"/>
                <w:szCs w:val="16"/>
                <w:color w:val="auto"/>
              </w:rPr>
              <w:t>Capital lease</w:t>
            </w: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80" w:type="dxa"/>
            <w:vAlign w:val="bottom"/>
          </w:tcPr>
          <w:p>
            <w:pPr>
              <w:spacing w:after="0"/>
              <w:rPr>
                <w:sz w:val="15"/>
                <w:szCs w:val="15"/>
                <w:color w:val="auto"/>
              </w:rPr>
            </w:pPr>
          </w:p>
        </w:tc>
        <w:tc>
          <w:tcPr>
            <w:tcW w:w="3120" w:type="dxa"/>
            <w:vAlign w:val="bottom"/>
          </w:tcPr>
          <w:p>
            <w:pPr>
              <w:ind w:left="660"/>
              <w:spacing w:after="0"/>
              <w:rPr>
                <w:sz w:val="20"/>
                <w:szCs w:val="20"/>
                <w:color w:val="auto"/>
              </w:rPr>
            </w:pPr>
            <w:r>
              <w:rPr>
                <w:rFonts w:ascii="Courier New" w:cs="Courier New" w:eastAsia="Courier New" w:hAnsi="Courier New"/>
                <w:sz w:val="16"/>
                <w:szCs w:val="16"/>
                <w:color w:val="auto"/>
              </w:rPr>
              <w:t>obligations and other</w:t>
            </w:r>
          </w:p>
        </w:tc>
        <w:tc>
          <w:tcPr>
            <w:tcW w:w="620" w:type="dxa"/>
            <w:vAlign w:val="bottom"/>
          </w:tcPr>
          <w:p>
            <w:pPr>
              <w:spacing w:after="0"/>
              <w:rPr>
                <w:sz w:val="15"/>
                <w:szCs w:val="15"/>
                <w:color w:val="auto"/>
              </w:rPr>
            </w:pPr>
          </w:p>
        </w:tc>
        <w:tc>
          <w:tcPr>
            <w:tcW w:w="14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3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2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453.0</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425.6</w:t>
            </w:r>
          </w:p>
        </w:tc>
      </w:tr>
      <w:tr>
        <w:trPr>
          <w:trHeight w:val="182"/>
        </w:trPr>
        <w:tc>
          <w:tcPr>
            <w:tcW w:w="38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Less current portions</w:t>
            </w:r>
          </w:p>
        </w:tc>
        <w:tc>
          <w:tcPr>
            <w:tcW w:w="620" w:type="dxa"/>
            <w:vAlign w:val="bottom"/>
          </w:tcPr>
          <w:p>
            <w:pPr>
              <w:spacing w:after="0"/>
              <w:rPr>
                <w:sz w:val="15"/>
                <w:szCs w:val="15"/>
                <w:color w:val="auto"/>
              </w:rPr>
            </w:pPr>
          </w:p>
        </w:tc>
        <w:tc>
          <w:tcPr>
            <w:tcW w:w="14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128.6</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101.1</w:t>
            </w:r>
          </w:p>
        </w:tc>
      </w:tr>
      <w:tr>
        <w:trPr>
          <w:trHeight w:val="182"/>
        </w:trPr>
        <w:tc>
          <w:tcPr>
            <w:tcW w:w="3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2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324.4</w:t>
            </w:r>
          </w:p>
        </w:tc>
        <w:tc>
          <w:tcPr>
            <w:tcW w:w="960" w:type="dxa"/>
            <w:vAlign w:val="bottom"/>
          </w:tcPr>
          <w:p>
            <w:pPr>
              <w:ind w:left="82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324.5</w:t>
            </w:r>
          </w:p>
        </w:tc>
      </w:tr>
      <w:tr>
        <w:trPr>
          <w:trHeight w:val="182"/>
        </w:trPr>
        <w:tc>
          <w:tcPr>
            <w:tcW w:w="3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2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Maturities of term debt for the next five calendar years are as follows:</w:t>
      </w:r>
    </w:p>
    <w:p>
      <w:pPr>
        <w:spacing w:after="0" w:line="200" w:lineRule="exact"/>
        <w:rPr>
          <w:sz w:val="20"/>
          <w:szCs w:val="20"/>
          <w:color w:val="auto"/>
        </w:rPr>
      </w:pPr>
    </w:p>
    <w:p>
      <w:pPr>
        <w:spacing w:after="0" w:line="346" w:lineRule="exact"/>
        <w:rPr>
          <w:sz w:val="20"/>
          <w:szCs w:val="20"/>
          <w:color w:val="auto"/>
        </w:rPr>
      </w:pPr>
    </w:p>
    <w:tbl>
      <w:tblPr>
        <w:tblLayout w:type="fixed"/>
        <w:tblInd w:w="563"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128.6</w:t>
            </w:r>
          </w:p>
        </w:tc>
      </w:tr>
      <w:tr>
        <w:trPr>
          <w:trHeight w:val="182"/>
        </w:trPr>
        <w:tc>
          <w:tcPr>
            <w:tcW w:w="190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2"/>
        </w:trPr>
        <w:tc>
          <w:tcPr>
            <w:tcW w:w="190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2"/>
        </w:trPr>
        <w:tc>
          <w:tcPr>
            <w:tcW w:w="190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225.0</w:t>
            </w:r>
          </w:p>
        </w:tc>
      </w:tr>
      <w:tr>
        <w:trPr>
          <w:trHeight w:val="182"/>
        </w:trPr>
        <w:tc>
          <w:tcPr>
            <w:tcW w:w="190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2"/>
        </w:trPr>
        <w:tc>
          <w:tcPr>
            <w:tcW w:w="190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bl>
    <w:p>
      <w:pPr>
        <w:spacing w:after="0" w:line="368" w:lineRule="exact"/>
        <w:rPr>
          <w:sz w:val="20"/>
          <w:szCs w:val="20"/>
          <w:color w:val="auto"/>
        </w:rPr>
      </w:pPr>
    </w:p>
    <w:p>
      <w:pPr>
        <w:ind w:left="563" w:right="320"/>
        <w:spacing w:after="0" w:line="258" w:lineRule="auto"/>
        <w:rPr>
          <w:sz w:val="20"/>
          <w:szCs w:val="20"/>
          <w:color w:val="auto"/>
        </w:rPr>
      </w:pPr>
      <w:r>
        <w:rPr>
          <w:rFonts w:ascii="Courier New" w:cs="Courier New" w:eastAsia="Courier New" w:hAnsi="Courier New"/>
          <w:sz w:val="15"/>
          <w:szCs w:val="15"/>
          <w:color w:val="auto"/>
        </w:rPr>
        <w:t>On December 23, 1996, the Company entered into an amendment to the Fourth Amended and Restated Credit Agreement with Chase Manhattan Bank and various participating banks. The amendment provides, on an unsecured basis, up to $425 million to the Company, which represents an increase of $50 million to the revolving credit facility, and establishes a $100 million sub-tranche to be available in U. K. Pounds Sterling.</w:t>
      </w:r>
    </w:p>
    <w:p>
      <w:pPr>
        <w:spacing w:after="0" w:line="173" w:lineRule="exact"/>
        <w:rPr>
          <w:sz w:val="20"/>
          <w:szCs w:val="20"/>
          <w:color w:val="auto"/>
        </w:rPr>
      </w:pPr>
    </w:p>
    <w:p>
      <w:pPr>
        <w:ind w:left="563" w:hanging="563"/>
        <w:spacing w:after="0"/>
        <w:tabs>
          <w:tab w:leader="none" w:pos="5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EXCHANGE INSTRUMENTS</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563" w:righ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enters into forward foreign exchange contracts and purchases currency options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 Effective in the second quarter of 1997, the Company significantly reduced this program.</w:t>
      </w:r>
    </w:p>
    <w:p>
      <w:pPr>
        <w:spacing w:after="0" w:line="186" w:lineRule="exact"/>
        <w:rPr>
          <w:rFonts w:ascii="Courier New" w:cs="Courier New" w:eastAsia="Courier New" w:hAnsi="Courier New"/>
          <w:sz w:val="16"/>
          <w:szCs w:val="16"/>
          <w:color w:val="auto"/>
        </w:rPr>
      </w:pPr>
    </w:p>
    <w:p>
      <w:pPr>
        <w:ind w:left="563" w:right="22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w:t>
      </w:r>
    </w:p>
    <w:p>
      <w:pPr>
        <w:spacing w:after="0" w:line="188" w:lineRule="exact"/>
        <w:rPr>
          <w:rFonts w:ascii="Courier New" w:cs="Courier New" w:eastAsia="Courier New" w:hAnsi="Courier New"/>
          <w:sz w:val="16"/>
          <w:szCs w:val="16"/>
          <w:color w:val="auto"/>
        </w:rPr>
      </w:pPr>
    </w:p>
    <w:p>
      <w:pPr>
        <w:ind w:left="563" w:righ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 March 29, 1997, the Company's European operations had foreign exchange risk in various European currencies tied to the Dutch Guilder. These currencies are the Belgian Franc, German Mark, Spanish Peseta, Italian Lire, French Franc, British Pound, Australian Dollar and U. S. Dollar. The Company's U. S. operations had foreign exchange rate risk in the Canadian Dollar, the Dutch Guilder and the British Pound which are tied to the U. S. Dollar. As of March 29, 1997, the Company had outstanding forward foreign exchange contracts with a contract value of approximately $2.4 million. These contracts have maturity dates ranging from June 10, 1997 to June 24, 1997.</w:t>
      </w:r>
    </w:p>
    <w:p>
      <w:pPr>
        <w:spacing w:after="0" w:line="366"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Page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September 30</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6"/>
          <w:szCs w:val="16"/>
          <w:color w:val="auto"/>
        </w:rPr>
        <w:t>1996</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80" w:hanging="377"/>
        <w:spacing w:after="0"/>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125.7</w:t>
      </w:r>
    </w:p>
    <w:p>
      <w:pPr>
        <w:spacing w:after="0" w:line="200" w:lineRule="exact"/>
        <w:rPr>
          <w:sz w:val="20"/>
          <w:szCs w:val="20"/>
          <w:color w:val="auto"/>
        </w:rPr>
      </w:pPr>
    </w:p>
    <w:p>
      <w:pPr>
        <w:spacing w:after="0" w:line="34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99.4</w:t>
      </w:r>
    </w:p>
    <w:p>
      <w:pPr>
        <w:spacing w:after="0" w:line="18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6"/>
          <w:szCs w:val="16"/>
          <w:color w:val="auto"/>
        </w:rPr>
        <w:t>225.3</w:t>
      </w:r>
    </w:p>
    <w:p>
      <w:pPr>
        <w:spacing w:after="0" w:line="1"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6"/>
          <w:szCs w:val="16"/>
          <w:color w:val="auto"/>
        </w:rPr>
        <w:t>2.2</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80" w:hanging="282"/>
        <w:spacing w:after="0"/>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223.1</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7783" w:space="720"/>
            <w:col w:w="1719"/>
          </w:cols>
          <w:pgMar w:left="237" w:top="295" w:right="1440" w:bottom="883" w:gutter="0" w:footer="0" w:header="0"/>
        </w:sectPr>
      </w:pPr>
    </w:p>
    <w:bookmarkStart w:id="8" w:name="page9"/>
    <w:bookmarkEnd w:id="8"/>
    <w:p>
      <w:pPr>
        <w:ind w:left="283"/>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46"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64" w:lineRule="exact"/>
        <w:rPr>
          <w:sz w:val="20"/>
          <w:szCs w:val="20"/>
          <w:color w:val="auto"/>
        </w:rPr>
      </w:pPr>
    </w:p>
    <w:p>
      <w:pPr>
        <w:ind w:left="563" w:hanging="563"/>
        <w:spacing w:after="0"/>
        <w:tabs>
          <w:tab w:leader="none" w:pos="5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ISSUES</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1995, the Financial Accounting Standards Board issued SFAS No. 123, "Accounting for Stock-Based Compensation," effective for financial statements for fiscal years beginning after December 15, 1995. SFAS No. 123 provides for, but does not require, a fair value method of accounting for stock-based compensation arrangements rather than the intrinsic value method previously required. Alternatively, entities that retain the intrinsic value method are required to disclose in the notes to the financial statements pro forma net income and earnings per share information as if the fair value method had been applied. The Company does not intend to adopt the fair value method of SFAS No. 123; therefore, this standard will not have a material effect on the Company's consolidated financial statements.</w:t>
      </w:r>
    </w:p>
    <w:p>
      <w:pPr>
        <w:spacing w:after="0" w:line="185" w:lineRule="exact"/>
        <w:rPr>
          <w:rFonts w:ascii="Courier New" w:cs="Courier New" w:eastAsia="Courier New" w:hAnsi="Courier New"/>
          <w:sz w:val="16"/>
          <w:szCs w:val="16"/>
          <w:color w:val="auto"/>
        </w:rPr>
      </w:pPr>
    </w:p>
    <w:p>
      <w:pPr>
        <w:ind w:left="563" w:hanging="563"/>
        <w:spacing w:after="0"/>
        <w:tabs>
          <w:tab w:leader="none" w:pos="5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EXPENSES, NET</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expenses, net consisted of the following:</w:t>
      </w:r>
    </w:p>
    <w:p>
      <w:pPr>
        <w:spacing w:after="0" w:line="200" w:lineRule="exact"/>
        <w:rPr>
          <w:sz w:val="20"/>
          <w:szCs w:val="20"/>
          <w:color w:val="auto"/>
        </w:rPr>
      </w:pPr>
    </w:p>
    <w:p>
      <w:pPr>
        <w:spacing w:after="0" w:line="346" w:lineRule="exact"/>
        <w:rPr>
          <w:sz w:val="20"/>
          <w:szCs w:val="20"/>
          <w:color w:val="auto"/>
        </w:rPr>
      </w:pPr>
    </w:p>
    <w:tbl>
      <w:tblPr>
        <w:tblLayout w:type="fixed"/>
        <w:tblInd w:w="663"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3400" w:type="dxa"/>
            <w:vAlign w:val="bottom"/>
          </w:tcPr>
          <w:p>
            <w:pPr>
              <w:spacing w:after="0"/>
              <w:rPr>
                <w:sz w:val="15"/>
                <w:szCs w:val="15"/>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400" w:type="dxa"/>
            <w:vAlign w:val="bottom"/>
          </w:tcPr>
          <w:p>
            <w:pPr>
              <w:spacing w:after="0"/>
              <w:rPr>
                <w:sz w:val="15"/>
                <w:szCs w:val="15"/>
                <w:color w:val="auto"/>
              </w:rPr>
            </w:pPr>
          </w:p>
        </w:tc>
        <w:tc>
          <w:tcPr>
            <w:tcW w:w="19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March 29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March 30</w:t>
            </w:r>
          </w:p>
        </w:tc>
      </w:tr>
      <w:tr>
        <w:trPr>
          <w:trHeight w:val="182"/>
        </w:trPr>
        <w:tc>
          <w:tcPr>
            <w:tcW w:w="3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3"/>
              </w:rPr>
              <w:t>1997</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3400" w:type="dxa"/>
            <w:vAlign w:val="bottom"/>
          </w:tcPr>
          <w:p>
            <w:pPr>
              <w:spacing w:after="0"/>
              <w:rPr>
                <w:sz w:val="15"/>
                <w:szCs w:val="15"/>
                <w:color w:val="auto"/>
              </w:rPr>
            </w:pPr>
          </w:p>
        </w:tc>
        <w:tc>
          <w:tcPr>
            <w:tcW w:w="19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400" w:type="dxa"/>
            <w:vAlign w:val="bottom"/>
          </w:tcPr>
          <w:p>
            <w:pPr>
              <w:spacing w:after="0"/>
              <w:rPr>
                <w:sz w:val="20"/>
                <w:szCs w:val="20"/>
                <w:color w:val="auto"/>
              </w:rPr>
            </w:pPr>
            <w:r>
              <w:rPr>
                <w:rFonts w:ascii="Courier New" w:cs="Courier New" w:eastAsia="Courier New" w:hAnsi="Courier New"/>
                <w:sz w:val="16"/>
                <w:szCs w:val="16"/>
                <w:color w:val="auto"/>
              </w:rPr>
              <w:t>Foreign currency</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(0.2)</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Royalty (income) expense</w:t>
            </w:r>
          </w:p>
        </w:tc>
        <w:tc>
          <w:tcPr>
            <w:tcW w:w="86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Asset valuation charges</w:t>
            </w:r>
          </w:p>
        </w:tc>
        <w:tc>
          <w:tcPr>
            <w:tcW w:w="86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4.2</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0.5</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Restructuring/severance</w:t>
            </w:r>
          </w:p>
        </w:tc>
        <w:tc>
          <w:tcPr>
            <w:tcW w:w="86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w:t>
            </w:r>
          </w:p>
        </w:tc>
      </w:tr>
      <w:tr>
        <w:trPr>
          <w:trHeight w:val="364"/>
        </w:trPr>
        <w:tc>
          <w:tcPr>
            <w:tcW w:w="3400" w:type="dxa"/>
            <w:vAlign w:val="bottom"/>
          </w:tcPr>
          <w:p>
            <w:pPr>
              <w:spacing w:after="0"/>
              <w:rPr>
                <w:sz w:val="20"/>
                <w:szCs w:val="20"/>
                <w:color w:val="auto"/>
              </w:rPr>
            </w:pPr>
            <w:r>
              <w:rPr>
                <w:rFonts w:ascii="Courier New" w:cs="Courier New" w:eastAsia="Courier New" w:hAnsi="Courier New"/>
                <w:sz w:val="16"/>
                <w:szCs w:val="16"/>
                <w:color w:val="auto"/>
              </w:rPr>
              <w:t>Equity in income of</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3400" w:type="dxa"/>
            <w:vAlign w:val="bottom"/>
          </w:tcPr>
          <w:p>
            <w:pPr>
              <w:ind w:left="380"/>
              <w:spacing w:after="0"/>
              <w:rPr>
                <w:sz w:val="20"/>
                <w:szCs w:val="20"/>
                <w:color w:val="auto"/>
              </w:rPr>
            </w:pPr>
            <w:r>
              <w:rPr>
                <w:rFonts w:ascii="Courier New" w:cs="Courier New" w:eastAsia="Courier New" w:hAnsi="Courier New"/>
                <w:sz w:val="16"/>
                <w:szCs w:val="16"/>
                <w:color w:val="auto"/>
              </w:rPr>
              <w:t>unconsolidated businesses</w:t>
            </w:r>
          </w:p>
        </w:tc>
        <w:tc>
          <w:tcPr>
            <w:tcW w:w="86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0.3</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86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0.1</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(0.7)</w:t>
            </w:r>
          </w:p>
        </w:tc>
      </w:tr>
      <w:tr>
        <w:trPr>
          <w:trHeight w:val="182"/>
        </w:trPr>
        <w:tc>
          <w:tcPr>
            <w:tcW w:w="340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34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3.2</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2.4</w:t>
            </w:r>
          </w:p>
        </w:tc>
      </w:tr>
      <w:tr>
        <w:trPr>
          <w:trHeight w:val="182"/>
        </w:trPr>
        <w:tc>
          <w:tcPr>
            <w:tcW w:w="340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Page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SIX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w w:val="93"/>
              </w:rPr>
              <w:t>March 29</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March 30</w:t>
            </w:r>
          </w:p>
        </w:tc>
      </w:tr>
      <w:tr>
        <w:trPr>
          <w:trHeight w:val="182"/>
        </w:trPr>
        <w:tc>
          <w:tcPr>
            <w:tcW w:w="140" w:type="dxa"/>
            <w:vAlign w:val="bottom"/>
          </w:tcPr>
          <w:p>
            <w:pPr>
              <w:spacing w:after="0"/>
              <w:rPr>
                <w:sz w:val="15"/>
                <w:szCs w:val="15"/>
                <w:color w:val="auto"/>
              </w:rPr>
            </w:pP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1997</w:t>
            </w:r>
          </w:p>
        </w:tc>
        <w:tc>
          <w:tcPr>
            <w:tcW w:w="620" w:type="dxa"/>
            <w:vAlign w:val="bottom"/>
          </w:tcPr>
          <w:p>
            <w:pPr>
              <w:spacing w:after="0"/>
              <w:rPr>
                <w:sz w:val="15"/>
                <w:szCs w:val="15"/>
                <w:color w:val="auto"/>
              </w:rPr>
            </w:pPr>
          </w:p>
        </w:tc>
        <w:tc>
          <w:tcPr>
            <w:tcW w:w="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0.3</w:t>
            </w:r>
          </w:p>
        </w:tc>
        <w:tc>
          <w:tcPr>
            <w:tcW w:w="6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w:t>
            </w:r>
          </w:p>
        </w:tc>
      </w:tr>
      <w:tr>
        <w:trPr>
          <w:trHeight w:val="182"/>
        </w:trPr>
        <w:tc>
          <w:tcPr>
            <w:tcW w:w="140" w:type="dxa"/>
            <w:vAlign w:val="bottom"/>
          </w:tcPr>
          <w:p>
            <w:pPr>
              <w:spacing w:after="0"/>
              <w:rPr>
                <w:sz w:val="15"/>
                <w:szCs w:val="15"/>
                <w:color w:val="auto"/>
              </w:rPr>
            </w:pPr>
          </w:p>
        </w:tc>
        <w:tc>
          <w:tcPr>
            <w:tcW w:w="10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(1.1)</w:t>
            </w:r>
          </w:p>
        </w:tc>
        <w:tc>
          <w:tcPr>
            <w:tcW w:w="62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(0.3)</w:t>
            </w:r>
          </w:p>
        </w:tc>
      </w:tr>
      <w:tr>
        <w:trPr>
          <w:trHeight w:val="182"/>
        </w:trPr>
        <w:tc>
          <w:tcPr>
            <w:tcW w:w="140" w:type="dxa"/>
            <w:vAlign w:val="bottom"/>
          </w:tcPr>
          <w:p>
            <w:pPr>
              <w:spacing w:after="0"/>
              <w:rPr>
                <w:sz w:val="15"/>
                <w:szCs w:val="15"/>
                <w:color w:val="auto"/>
              </w:rPr>
            </w:pP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4.3</w:t>
            </w:r>
          </w:p>
        </w:tc>
        <w:tc>
          <w:tcPr>
            <w:tcW w:w="620" w:type="dxa"/>
            <w:vAlign w:val="bottom"/>
          </w:tcPr>
          <w:p>
            <w:pPr>
              <w:spacing w:after="0"/>
              <w:rPr>
                <w:sz w:val="15"/>
                <w:szCs w:val="15"/>
                <w:color w:val="auto"/>
              </w:rPr>
            </w:pPr>
          </w:p>
        </w:tc>
        <w:tc>
          <w:tcPr>
            <w:tcW w:w="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0.8</w:t>
            </w:r>
          </w:p>
        </w:tc>
      </w:tr>
      <w:tr>
        <w:trPr>
          <w:trHeight w:val="182"/>
        </w:trPr>
        <w:tc>
          <w:tcPr>
            <w:tcW w:w="140" w:type="dxa"/>
            <w:vAlign w:val="bottom"/>
          </w:tcPr>
          <w:p>
            <w:pPr>
              <w:spacing w:after="0"/>
              <w:rPr>
                <w:sz w:val="15"/>
                <w:szCs w:val="15"/>
                <w:color w:val="auto"/>
              </w:rPr>
            </w:pPr>
          </w:p>
        </w:tc>
        <w:tc>
          <w:tcPr>
            <w:tcW w:w="10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w:t>
            </w:r>
          </w:p>
        </w:tc>
      </w:tr>
      <w:tr>
        <w:trPr>
          <w:trHeight w:val="546"/>
        </w:trPr>
        <w:tc>
          <w:tcPr>
            <w:tcW w:w="140" w:type="dxa"/>
            <w:vAlign w:val="bottom"/>
          </w:tcPr>
          <w:p>
            <w:pPr>
              <w:spacing w:after="0"/>
              <w:rPr>
                <w:sz w:val="24"/>
                <w:szCs w:val="24"/>
                <w:color w:val="auto"/>
              </w:rPr>
            </w:pP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0.1</w:t>
            </w:r>
          </w:p>
        </w:tc>
        <w:tc>
          <w:tcPr>
            <w:tcW w:w="620" w:type="dxa"/>
            <w:vAlign w:val="bottom"/>
          </w:tcPr>
          <w:p>
            <w:pPr>
              <w:spacing w:after="0"/>
              <w:rPr>
                <w:sz w:val="24"/>
                <w:szCs w:val="24"/>
                <w:color w:val="auto"/>
              </w:rPr>
            </w:pPr>
          </w:p>
        </w:tc>
        <w:tc>
          <w:tcPr>
            <w:tcW w:w="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0.4</w:t>
            </w:r>
          </w:p>
        </w:tc>
      </w:tr>
      <w:tr>
        <w:trPr>
          <w:trHeight w:val="182"/>
        </w:trPr>
        <w:tc>
          <w:tcPr>
            <w:tcW w:w="140" w:type="dxa"/>
            <w:vAlign w:val="bottom"/>
          </w:tcPr>
          <w:p>
            <w:pPr>
              <w:spacing w:after="0"/>
              <w:rPr>
                <w:sz w:val="15"/>
                <w:szCs w:val="15"/>
                <w:color w:val="auto"/>
              </w:rPr>
            </w:pPr>
          </w:p>
        </w:tc>
        <w:tc>
          <w:tcPr>
            <w:tcW w:w="10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(0.1)</w:t>
            </w:r>
          </w:p>
        </w:tc>
        <w:tc>
          <w:tcPr>
            <w:tcW w:w="62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(0.9)</w:t>
            </w:r>
          </w:p>
        </w:tc>
      </w:tr>
      <w:tr>
        <w:trPr>
          <w:trHeight w:val="182"/>
        </w:trPr>
        <w:tc>
          <w:tcPr>
            <w:tcW w:w="12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w w:val="93"/>
              </w:rPr>
              <w:t>------</w:t>
            </w:r>
          </w:p>
        </w:tc>
        <w:tc>
          <w:tcPr>
            <w:tcW w:w="12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3.5</w:t>
            </w:r>
          </w:p>
        </w:tc>
        <w:tc>
          <w:tcPr>
            <w:tcW w:w="6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w:t>
            </w:r>
          </w:p>
        </w:tc>
      </w:tr>
      <w:tr>
        <w:trPr>
          <w:trHeight w:val="182"/>
        </w:trPr>
        <w:tc>
          <w:tcPr>
            <w:tcW w:w="12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w w:val="93"/>
              </w:rPr>
              <w:t>======</w:t>
            </w:r>
          </w:p>
        </w:tc>
        <w:tc>
          <w:tcPr>
            <w:tcW w:w="12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7563" w:space="580"/>
            <w:col w:w="2440"/>
          </w:cols>
          <w:pgMar w:left="237" w:top="295" w:right="1079" w:bottom="1440" w:gutter="0" w:footer="0" w:header="0"/>
        </w:sectPr>
      </w:pPr>
    </w:p>
    <w:bookmarkStart w:id="9" w:name="page10"/>
    <w:bookmarkEnd w:id="9"/>
    <w:p>
      <w:pPr>
        <w:ind w:left="283"/>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46"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64" w:lineRule="exact"/>
        <w:rPr>
          <w:sz w:val="20"/>
          <w:szCs w:val="20"/>
          <w:color w:val="auto"/>
        </w:rPr>
      </w:pPr>
    </w:p>
    <w:p>
      <w:pPr>
        <w:ind w:left="563" w:hanging="563"/>
        <w:spacing w:after="0"/>
        <w:tabs>
          <w:tab w:leader="none" w:pos="5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(LOSS) PER COMMON SHARE</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563" w:right="3020"/>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Net income (loss) per common share is based on the weighted average number of common shares and common share equivalents (stock options, Class A Convertible Preferred Stock and warrants) outstanding each period.</w:t>
      </w:r>
    </w:p>
    <w:p>
      <w:pPr>
        <w:spacing w:after="0" w:line="171" w:lineRule="exact"/>
        <w:rPr>
          <w:rFonts w:ascii="Courier New" w:cs="Courier New" w:eastAsia="Courier New" w:hAnsi="Courier New"/>
          <w:sz w:val="16"/>
          <w:szCs w:val="16"/>
          <w:color w:val="auto"/>
        </w:rPr>
      </w:pPr>
    </w:p>
    <w:p>
      <w:pPr>
        <w:ind w:left="563" w:right="3400"/>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information necessary to calculate income (loss) per common share.</w:t>
      </w:r>
    </w:p>
    <w:p>
      <w:pPr>
        <w:spacing w:after="0" w:line="366" w:lineRule="exact"/>
        <w:rPr>
          <w:sz w:val="20"/>
          <w:szCs w:val="20"/>
          <w:color w:val="auto"/>
        </w:rPr>
      </w:pPr>
    </w:p>
    <w:tbl>
      <w:tblPr>
        <w:tblLayout w:type="fixed"/>
        <w:tblInd w:w="663"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3"/>
          </w:tcPr>
          <w:p>
            <w:pPr>
              <w:jc w:val="right"/>
              <w:ind w:right="741"/>
              <w:spacing w:after="0"/>
              <w:rPr>
                <w:sz w:val="20"/>
                <w:szCs w:val="20"/>
                <w:color w:val="auto"/>
              </w:rPr>
            </w:pPr>
            <w:r>
              <w:rPr>
                <w:rFonts w:ascii="Courier New" w:cs="Courier New" w:eastAsia="Courier New" w:hAnsi="Courier New"/>
                <w:sz w:val="16"/>
                <w:szCs w:val="16"/>
                <w:color w:val="auto"/>
              </w:rPr>
              <w:t>THREE MONTHS ENDED</w:t>
            </w:r>
          </w:p>
        </w:tc>
        <w:tc>
          <w:tcPr>
            <w:tcW w:w="600" w:type="dxa"/>
            <w:vAlign w:val="bottom"/>
          </w:tcPr>
          <w:p>
            <w:pPr>
              <w:spacing w:after="0"/>
              <w:rPr>
                <w:sz w:val="15"/>
                <w:szCs w:val="15"/>
                <w:color w:val="auto"/>
              </w:rPr>
            </w:pPr>
          </w:p>
        </w:tc>
        <w:tc>
          <w:tcPr>
            <w:tcW w:w="2360" w:type="dxa"/>
            <w:vAlign w:val="bottom"/>
            <w:gridSpan w:val="3"/>
          </w:tcPr>
          <w:p>
            <w:pPr>
              <w:jc w:val="right"/>
              <w:ind w:right="381"/>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00" w:type="dxa"/>
            <w:vAlign w:val="bottom"/>
            <w:gridSpan w:val="4"/>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23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w:t>
            </w:r>
          </w:p>
        </w:tc>
      </w:tr>
      <w:tr>
        <w:trPr>
          <w:trHeight w:val="182"/>
        </w:trPr>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March 29</w:t>
            </w:r>
          </w:p>
        </w:tc>
        <w:tc>
          <w:tcPr>
            <w:tcW w:w="172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March 30</w:t>
            </w:r>
          </w:p>
        </w:tc>
        <w:tc>
          <w:tcPr>
            <w:tcW w:w="170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March 29</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March 30</w:t>
            </w:r>
          </w:p>
        </w:tc>
      </w:tr>
      <w:tr>
        <w:trPr>
          <w:trHeight w:val="182"/>
        </w:trPr>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1997</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1996</w:t>
            </w:r>
          </w:p>
        </w:tc>
        <w:tc>
          <w:tcPr>
            <w:tcW w:w="6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1997</w:t>
            </w:r>
          </w:p>
        </w:tc>
        <w:tc>
          <w:tcPr>
            <w:tcW w:w="7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1996</w:t>
            </w:r>
          </w:p>
        </w:tc>
      </w:tr>
      <w:tr>
        <w:trPr>
          <w:trHeight w:val="182"/>
        </w:trPr>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72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 millions except per share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amounts)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64"/>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600" w:type="dxa"/>
            <w:vAlign w:val="bottom"/>
          </w:tcPr>
          <w:p>
            <w:pPr>
              <w:spacing w:after="0"/>
              <w:rPr>
                <w:sz w:val="24"/>
                <w:szCs w:val="24"/>
                <w:color w:val="auto"/>
              </w:rPr>
            </w:pP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27.9</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10.6</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Class A Convertible Preferred</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Stock dividend</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NA</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NA</w:t>
            </w:r>
          </w:p>
        </w:tc>
        <w:tc>
          <w:tcPr>
            <w:tcW w:w="600" w:type="dxa"/>
            <w:vAlign w:val="bottom"/>
          </w:tcPr>
          <w:p>
            <w:pPr>
              <w:spacing w:after="0"/>
              <w:rPr>
                <w:sz w:val="15"/>
                <w:szCs w:val="15"/>
                <w:color w:val="auto"/>
              </w:rPr>
            </w:pPr>
          </w:p>
        </w:tc>
        <w:tc>
          <w:tcPr>
            <w:tcW w:w="11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NA</w:t>
            </w:r>
          </w:p>
        </w:tc>
        <w:tc>
          <w:tcPr>
            <w:tcW w:w="7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w:t>
            </w:r>
          </w:p>
        </w:tc>
      </w:tr>
      <w:tr>
        <w:trPr>
          <w:trHeight w:val="182"/>
        </w:trPr>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11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3"/>
              </w:rPr>
              <w:t>----</w:t>
            </w:r>
          </w:p>
        </w:tc>
        <w:tc>
          <w:tcPr>
            <w:tcW w:w="7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Income (loss) used in net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income (loss) per common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share calculation</w:t>
            </w:r>
          </w:p>
        </w:tc>
        <w:tc>
          <w:tcPr>
            <w:tcW w:w="600" w:type="dxa"/>
            <w:vAlign w:val="bottom"/>
          </w:tcPr>
          <w:p>
            <w:pPr>
              <w:spacing w:after="0"/>
              <w:rPr>
                <w:sz w:val="15"/>
                <w:szCs w:val="15"/>
                <w:color w:val="auto"/>
              </w:rPr>
            </w:pP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27.9</w:t>
            </w:r>
          </w:p>
        </w:tc>
        <w:tc>
          <w:tcPr>
            <w:tcW w:w="620" w:type="dxa"/>
            <w:vAlign w:val="bottom"/>
          </w:tcPr>
          <w:p>
            <w:pPr>
              <w:ind w:left="52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10.6</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(1.4)</w:t>
            </w:r>
          </w:p>
        </w:tc>
      </w:tr>
      <w:tr>
        <w:trPr>
          <w:trHeight w:val="182"/>
        </w:trPr>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546"/>
        </w:trPr>
        <w:tc>
          <w:tcPr>
            <w:tcW w:w="3460" w:type="dxa"/>
            <w:vAlign w:val="bottom"/>
          </w:tcPr>
          <w:p>
            <w:pPr>
              <w:spacing w:after="0"/>
              <w:rPr>
                <w:sz w:val="20"/>
                <w:szCs w:val="20"/>
                <w:color w:val="auto"/>
              </w:rPr>
            </w:pPr>
            <w:r>
              <w:rPr>
                <w:rFonts w:ascii="Courier New" w:cs="Courier New" w:eastAsia="Courier New" w:hAnsi="Courier New"/>
                <w:sz w:val="16"/>
                <w:szCs w:val="16"/>
                <w:color w:val="auto"/>
              </w:rPr>
              <w:t>Weighted average common</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shares outstanding during</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the period</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18.6</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18.9</w:t>
            </w:r>
          </w:p>
        </w:tc>
        <w:tc>
          <w:tcPr>
            <w:tcW w:w="6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18.6</w:t>
            </w:r>
          </w:p>
        </w:tc>
        <w:tc>
          <w:tcPr>
            <w:tcW w:w="7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18.8</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Assuming conversion of Class A</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Convertible Preferred Stock</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10.3</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10.3</w:t>
            </w:r>
          </w:p>
        </w:tc>
        <w:tc>
          <w:tcPr>
            <w:tcW w:w="6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10.3</w:t>
            </w:r>
          </w:p>
        </w:tc>
        <w:tc>
          <w:tcPr>
            <w:tcW w:w="70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NA</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Assuming exercise of warrants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0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460" w:type="dxa"/>
            <w:vAlign w:val="bottom"/>
          </w:tcPr>
          <w:p>
            <w:pPr>
              <w:spacing w:after="0"/>
              <w:rPr>
                <w:sz w:val="20"/>
                <w:szCs w:val="20"/>
                <w:color w:val="auto"/>
              </w:rPr>
            </w:pPr>
            <w:r>
              <w:rPr>
                <w:rFonts w:ascii="Courier New" w:cs="Courier New" w:eastAsia="Courier New" w:hAnsi="Courier New"/>
                <w:sz w:val="16"/>
                <w:szCs w:val="16"/>
                <w:color w:val="auto"/>
              </w:rPr>
              <w:t>Assuming exercise of options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using the Treasury Stock</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Method</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0.4</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0.2</w:t>
            </w:r>
          </w:p>
        </w:tc>
        <w:tc>
          <w:tcPr>
            <w:tcW w:w="6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0.3</w:t>
            </w:r>
          </w:p>
        </w:tc>
        <w:tc>
          <w:tcPr>
            <w:tcW w:w="7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NA</w:t>
            </w:r>
          </w:p>
        </w:tc>
      </w:tr>
      <w:tr>
        <w:trPr>
          <w:trHeight w:val="182"/>
        </w:trPr>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w:t>
            </w:r>
          </w:p>
        </w:tc>
        <w:tc>
          <w:tcPr>
            <w:tcW w:w="6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w:t>
            </w:r>
          </w:p>
        </w:tc>
        <w:tc>
          <w:tcPr>
            <w:tcW w:w="70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346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common shares outstanding</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as adjusted</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29.3</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29.4</w:t>
            </w:r>
          </w:p>
        </w:tc>
        <w:tc>
          <w:tcPr>
            <w:tcW w:w="6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29.2</w:t>
            </w:r>
          </w:p>
        </w:tc>
        <w:tc>
          <w:tcPr>
            <w:tcW w:w="7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18.8</w:t>
            </w:r>
          </w:p>
        </w:tc>
      </w:tr>
      <w:tr>
        <w:trPr>
          <w:trHeight w:val="182"/>
        </w:trPr>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w:t>
            </w:r>
          </w:p>
        </w:tc>
      </w:tr>
      <w:tr>
        <w:trPr>
          <w:trHeight w:val="364"/>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Income (loss) per common</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3460" w:type="dxa"/>
            <w:vAlign w:val="bottom"/>
          </w:tcPr>
          <w:p>
            <w:pPr>
              <w:ind w:left="380"/>
              <w:spacing w:after="0"/>
              <w:rPr>
                <w:sz w:val="20"/>
                <w:szCs w:val="20"/>
                <w:color w:val="auto"/>
              </w:rPr>
            </w:pPr>
            <w:r>
              <w:rPr>
                <w:rFonts w:ascii="Courier New" w:cs="Courier New" w:eastAsia="Courier New" w:hAnsi="Courier New"/>
                <w:sz w:val="16"/>
                <w:szCs w:val="16"/>
                <w:color w:val="auto"/>
              </w:rPr>
              <w:t>share</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.95</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.36</w:t>
            </w:r>
          </w:p>
        </w:tc>
        <w:tc>
          <w:tcPr>
            <w:tcW w:w="600" w:type="dxa"/>
            <w:vAlign w:val="bottom"/>
          </w:tcPr>
          <w:p>
            <w:pPr>
              <w:jc w:val="right"/>
              <w:ind w:right="6"/>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.75</w:t>
            </w: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(.08)</w:t>
            </w:r>
          </w:p>
        </w:tc>
      </w:tr>
      <w:tr>
        <w:trPr>
          <w:trHeight w:val="182"/>
        </w:trPr>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w:t>
            </w:r>
          </w:p>
        </w:tc>
        <w:tc>
          <w:tcPr>
            <w:tcW w:w="600" w:type="dxa"/>
            <w:vAlign w:val="bottom"/>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w:t>
            </w:r>
          </w:p>
        </w:tc>
        <w:tc>
          <w:tcPr>
            <w:tcW w:w="12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563" w:right="3020"/>
        <w:spacing w:after="0" w:line="239" w:lineRule="auto"/>
        <w:rPr>
          <w:sz w:val="20"/>
          <w:szCs w:val="20"/>
          <w:color w:val="auto"/>
        </w:rPr>
      </w:pPr>
      <w:r>
        <w:rPr>
          <w:rFonts w:ascii="Courier New" w:cs="Courier New" w:eastAsia="Courier New" w:hAnsi="Courier New"/>
          <w:sz w:val="16"/>
          <w:szCs w:val="16"/>
          <w:color w:val="auto"/>
        </w:rPr>
        <w:t>The shares of Class A Convertible Preferred Stock and stock options were not considered in the earnings per share computation for the six months ended March 30, 1996 because they were antidilutive for such period. Fully diluted net income (loss) per common share is considered to be the same as primary net income (loss) per common share.</w:t>
      </w:r>
    </w:p>
    <w:p>
      <w:pPr>
        <w:spacing w:after="0" w:line="367"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10583"/>
          </w:cols>
          <w:pgMar w:left="237" w:top="295" w:right="1079" w:bottom="1440" w:gutter="0" w:footer="0" w:header="0"/>
        </w:sectPr>
      </w:pPr>
    </w:p>
    <w:bookmarkStart w:id="10" w:name="page11"/>
    <w:bookmarkEnd w:id="10"/>
    <w:p>
      <w:pPr>
        <w:ind w:left="283"/>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46"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68" w:lineRule="exact"/>
        <w:rPr>
          <w:sz w:val="20"/>
          <w:szCs w:val="20"/>
          <w:color w:val="auto"/>
        </w:rPr>
      </w:pPr>
    </w:p>
    <w:p>
      <w:pPr>
        <w:ind w:left="563" w:right="2659"/>
        <w:spacing w:after="0"/>
        <w:rPr>
          <w:sz w:val="20"/>
          <w:szCs w:val="20"/>
          <w:color w:val="auto"/>
        </w:rPr>
      </w:pPr>
      <w:r>
        <w:rPr>
          <w:rFonts w:ascii="Courier New" w:cs="Courier New" w:eastAsia="Courier New" w:hAnsi="Courier New"/>
          <w:sz w:val="16"/>
          <w:szCs w:val="16"/>
          <w:color w:val="auto"/>
        </w:rPr>
        <w:t>In February 1997, the Financial Accounting Standards Board issued Statement of Financial Accounting Standards No. 128, "Earnings Per Share" ("FAS 128"). FAS 128 establishes standards for computing and presenting earnings per share ("EPS"). FAS 128 replaces the presentation of primary EPS with a presentation of basic EPS which excludes dilution and is computed by dividing income available to common shareholders by the weighted-average number of common shares outstanding during the period. This statement also requires dual presentation of basic EPS and diluted EPS on the face of the income statement for all periods presented. FAS 128 is effective for financial statements issued for periods ending after December 15, 1997, including interim periods. The Company plans to adopt FAS 128 in the first quarter of 1998 for the year ended September 30, 1998. If FAS 128 had been adopted at March 29, 1997, basic and diluted earnings (loss) per share would be:</w:t>
      </w:r>
    </w:p>
    <w:p>
      <w:pPr>
        <w:sectPr>
          <w:pgSz w:w="11900" w:h="16838" w:orient="portrait"/>
          <w:cols w:equalWidth="0" w:num="1">
            <w:col w:w="10222"/>
          </w:cols>
          <w:pgMar w:left="237" w:top="295" w:right="1440" w:bottom="519" w:gutter="0" w:footer="0" w:header="0"/>
        </w:sectPr>
      </w:pPr>
    </w:p>
    <w:p>
      <w:pPr>
        <w:spacing w:after="0" w:line="200" w:lineRule="exact"/>
        <w:rPr>
          <w:sz w:val="20"/>
          <w:szCs w:val="20"/>
          <w:color w:val="auto"/>
        </w:rPr>
      </w:pPr>
    </w:p>
    <w:p>
      <w:pPr>
        <w:spacing w:after="0" w:line="350" w:lineRule="exact"/>
        <w:rPr>
          <w:sz w:val="20"/>
          <w:szCs w:val="20"/>
          <w:color w:val="auto"/>
        </w:rPr>
      </w:pPr>
    </w:p>
    <w:p>
      <w:pPr>
        <w:ind w:left="4443"/>
        <w:spacing w:after="0"/>
        <w:rPr>
          <w:sz w:val="20"/>
          <w:szCs w:val="20"/>
          <w:color w:val="auto"/>
        </w:rPr>
      </w:pPr>
      <w:r>
        <w:rPr>
          <w:rFonts w:ascii="Courier New" w:cs="Courier New" w:eastAsia="Courier New" w:hAnsi="Courier New"/>
          <w:sz w:val="16"/>
          <w:szCs w:val="16"/>
          <w:color w:val="auto"/>
        </w:rPr>
        <w:t>THREE MONTHS ENDED</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63"/>
        <w:spacing w:after="0"/>
        <w:tabs>
          <w:tab w:leader="none" w:pos="5663" w:val="left"/>
        </w:tabs>
        <w:rPr>
          <w:sz w:val="20"/>
          <w:szCs w:val="20"/>
          <w:color w:val="auto"/>
        </w:rPr>
      </w:pPr>
      <w:r>
        <w:rPr>
          <w:rFonts w:ascii="Courier New" w:cs="Courier New" w:eastAsia="Courier New" w:hAnsi="Courier New"/>
          <w:sz w:val="16"/>
          <w:szCs w:val="16"/>
          <w:color w:val="auto"/>
        </w:rPr>
        <w:t>March 29</w:t>
      </w:r>
      <w:r>
        <w:rPr>
          <w:sz w:val="20"/>
          <w:szCs w:val="20"/>
          <w:color w:val="auto"/>
        </w:rPr>
        <w:tab/>
      </w:r>
      <w:r>
        <w:rPr>
          <w:rFonts w:ascii="Courier New" w:cs="Courier New" w:eastAsia="Courier New" w:hAnsi="Courier New"/>
          <w:sz w:val="15"/>
          <w:szCs w:val="15"/>
          <w:color w:val="auto"/>
        </w:rPr>
        <w:t>March 30</w:t>
      </w:r>
    </w:p>
    <w:p>
      <w:pPr>
        <w:spacing w:after="0" w:line="1" w:lineRule="exact"/>
        <w:rPr>
          <w:sz w:val="20"/>
          <w:szCs w:val="20"/>
          <w:color w:val="auto"/>
        </w:rPr>
      </w:pPr>
    </w:p>
    <w:p>
      <w:pPr>
        <w:ind w:left="4263"/>
        <w:spacing w:after="0"/>
        <w:tabs>
          <w:tab w:leader="none" w:pos="5843" w:val="left"/>
        </w:tabs>
        <w:rPr>
          <w:sz w:val="20"/>
          <w:szCs w:val="20"/>
          <w:color w:val="auto"/>
        </w:rPr>
      </w:pP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1996</w:t>
      </w:r>
    </w:p>
    <w:p>
      <w:pPr>
        <w:spacing w:after="0" w:line="5" w:lineRule="exact"/>
        <w:rPr>
          <w:sz w:val="20"/>
          <w:szCs w:val="20"/>
          <w:color w:val="auto"/>
        </w:rPr>
      </w:pPr>
    </w:p>
    <w:p>
      <w:pPr>
        <w:ind w:left="4063"/>
        <w:spacing w:after="0"/>
        <w:tabs>
          <w:tab w:leader="none" w:pos="5663"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SIX MONTHS ENDED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6"/>
          <w:szCs w:val="16"/>
          <w:color w:val="auto"/>
        </w:rPr>
        <w:t>March 29</w:t>
      </w:r>
      <w:r>
        <w:rPr>
          <w:sz w:val="20"/>
          <w:szCs w:val="20"/>
          <w:color w:val="auto"/>
        </w:rPr>
        <w:tab/>
      </w:r>
      <w:r>
        <w:rPr>
          <w:rFonts w:ascii="Courier New" w:cs="Courier New" w:eastAsia="Courier New" w:hAnsi="Courier New"/>
          <w:sz w:val="15"/>
          <w:szCs w:val="15"/>
          <w:color w:val="auto"/>
        </w:rPr>
        <w:t>March 30</w:t>
      </w:r>
    </w:p>
    <w:p>
      <w:pPr>
        <w:spacing w:after="0" w:line="1" w:lineRule="exact"/>
        <w:rPr>
          <w:sz w:val="20"/>
          <w:szCs w:val="20"/>
          <w:color w:val="auto"/>
        </w:rPr>
      </w:pPr>
    </w:p>
    <w:p>
      <w:pPr>
        <w:ind w:left="180"/>
        <w:spacing w:after="0"/>
        <w:tabs>
          <w:tab w:leader="none" w:pos="1780" w:val="left"/>
        </w:tabs>
        <w:rPr>
          <w:sz w:val="20"/>
          <w:szCs w:val="20"/>
          <w:color w:val="auto"/>
        </w:rPr>
      </w:pP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1996</w:t>
      </w:r>
    </w:p>
    <w:p>
      <w:pPr>
        <w:spacing w:after="0" w:line="1"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2">
            <w:col w:w="6663" w:space="720"/>
            <w:col w:w="2839"/>
          </w:cols>
          <w:pgMar w:left="237" w:top="295" w:right="1440" w:bottom="519" w:gutter="0" w:footer="0" w:header="0"/>
          <w:type w:val="continuous"/>
        </w:sectPr>
      </w:pPr>
    </w:p>
    <w:p>
      <w:pPr>
        <w:spacing w:after="0" w:line="3" w:lineRule="exact"/>
        <w:rPr>
          <w:sz w:val="20"/>
          <w:szCs w:val="20"/>
          <w:color w:val="auto"/>
        </w:rPr>
      </w:pPr>
    </w:p>
    <w:p>
      <w:pPr>
        <w:ind w:left="663"/>
        <w:spacing w:after="0" w:line="524" w:lineRule="auto"/>
        <w:rPr>
          <w:sz w:val="20"/>
          <w:szCs w:val="20"/>
          <w:color w:val="auto"/>
        </w:rPr>
      </w:pPr>
      <w:r>
        <w:rPr>
          <w:rFonts w:ascii="Courier New" w:cs="Courier New" w:eastAsia="Courier New" w:hAnsi="Courier New"/>
          <w:sz w:val="15"/>
          <w:szCs w:val="15"/>
          <w:color w:val="auto"/>
        </w:rPr>
        <w:t>Basic earnings (loss) per share Diluted earnings (loss)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$ 1.37</w:t>
      </w:r>
    </w:p>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.95</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spacing w:after="0"/>
        <w:tabs>
          <w:tab w:leader="none" w:pos="340" w:val="left"/>
        </w:tabs>
        <w:rPr>
          <w:sz w:val="20"/>
          <w:szCs w:val="20"/>
          <w:color w:val="auto"/>
        </w:rPr>
      </w:pPr>
      <w:r>
        <w:rPr>
          <w:rFonts w:ascii="Courier New" w:cs="Courier New" w:eastAsia="Courier New" w:hAnsi="Courier New"/>
          <w:sz w:val="16"/>
          <w:szCs w:val="16"/>
          <w:color w:val="auto"/>
        </w:rPr>
        <w:t>$</w:t>
        <w:tab/>
        <w:t>.43</w:t>
      </w:r>
    </w:p>
    <w:p>
      <w:pPr>
        <w:spacing w:after="0" w:line="1"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both"/>
        <w:spacing w:after="0"/>
        <w:tabs>
          <w:tab w:leader="none" w:pos="340" w:val="left"/>
        </w:tabs>
        <w:rPr>
          <w:sz w:val="20"/>
          <w:szCs w:val="20"/>
          <w:color w:val="auto"/>
        </w:rPr>
      </w:pPr>
      <w:r>
        <w:rPr>
          <w:rFonts w:ascii="Courier New" w:cs="Courier New" w:eastAsia="Courier New" w:hAnsi="Courier New"/>
          <w:sz w:val="16"/>
          <w:szCs w:val="16"/>
          <w:color w:val="auto"/>
        </w:rPr>
        <w:t>$</w:t>
        <w:tab/>
        <w:t>.36</w:t>
      </w:r>
    </w:p>
    <w:p>
      <w:pPr>
        <w:spacing w:after="0" w:line="1"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both"/>
        <w:spacing w:after="0"/>
        <w:tabs>
          <w:tab w:leader="none" w:pos="360" w:val="left"/>
        </w:tabs>
        <w:rPr>
          <w:sz w:val="20"/>
          <w:szCs w:val="20"/>
          <w:color w:val="auto"/>
        </w:rPr>
      </w:pPr>
      <w:r>
        <w:rPr>
          <w:rFonts w:ascii="Courier New" w:cs="Courier New" w:eastAsia="Courier New" w:hAnsi="Courier New"/>
          <w:sz w:val="16"/>
          <w:szCs w:val="16"/>
          <w:color w:val="auto"/>
        </w:rPr>
        <w:t>$</w:t>
        <w:tab/>
        <w:t>.92</w:t>
      </w:r>
    </w:p>
    <w:p>
      <w:pPr>
        <w:spacing w:after="0" w:line="1"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both"/>
        <w:spacing w:after="0"/>
        <w:tabs>
          <w:tab w:leader="none" w:pos="360" w:val="left"/>
        </w:tabs>
        <w:rPr>
          <w:sz w:val="20"/>
          <w:szCs w:val="20"/>
          <w:color w:val="auto"/>
        </w:rPr>
      </w:pPr>
      <w:r>
        <w:rPr>
          <w:rFonts w:ascii="Courier New" w:cs="Courier New" w:eastAsia="Courier New" w:hAnsi="Courier New"/>
          <w:sz w:val="16"/>
          <w:szCs w:val="16"/>
          <w:color w:val="auto"/>
        </w:rPr>
        <w:t>$</w:t>
        <w:tab/>
        <w:t>.75</w:t>
      </w:r>
    </w:p>
    <w:p>
      <w:pPr>
        <w:spacing w:after="0" w:line="1"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tab/>
        <w:t>(.08)</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tab/>
        <w:t>(.08)</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9" w:lineRule="exact"/>
        <w:rPr>
          <w:sz w:val="20"/>
          <w:szCs w:val="20"/>
          <w:color w:val="auto"/>
        </w:rPr>
      </w:pPr>
    </w:p>
    <w:p>
      <w:pPr>
        <w:sectPr>
          <w:pgSz w:w="11900" w:h="16838" w:orient="portrait"/>
          <w:cols w:equalWidth="0" w:num="5">
            <w:col w:w="3783" w:space="380"/>
            <w:col w:w="800" w:space="720"/>
            <w:col w:w="880" w:space="720"/>
            <w:col w:w="980" w:space="720"/>
            <w:col w:w="1239"/>
          </w:cols>
          <w:pgMar w:left="237" w:top="295" w:right="1440" w:bottom="519" w:gutter="0" w:footer="0" w:header="0"/>
          <w:type w:val="continuous"/>
        </w:sectPr>
      </w:pPr>
    </w:p>
    <w:p>
      <w:pPr>
        <w:spacing w:after="0" w:line="145" w:lineRule="exact"/>
        <w:rPr>
          <w:sz w:val="20"/>
          <w:szCs w:val="20"/>
          <w:color w:val="auto"/>
        </w:rPr>
      </w:pPr>
    </w:p>
    <w:p>
      <w:pPr>
        <w:ind w:left="563" w:hanging="563"/>
        <w:spacing w:after="0"/>
        <w:tabs>
          <w:tab w:leader="none" w:pos="5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ind w:left="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563"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are the more significant of the Company's identified contingencies.</w:t>
      </w:r>
    </w:p>
    <w:p>
      <w:pPr>
        <w:spacing w:after="0" w:line="186" w:lineRule="exact"/>
        <w:rPr>
          <w:rFonts w:ascii="Courier New" w:cs="Courier New" w:eastAsia="Courier New" w:hAnsi="Courier New"/>
          <w:sz w:val="16"/>
          <w:szCs w:val="16"/>
          <w:color w:val="auto"/>
        </w:rPr>
      </w:pPr>
    </w:p>
    <w:p>
      <w:pPr>
        <w:ind w:left="5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However, as a result of the joint and several liability of PRP's, the Company may choose to participate in voluntary remediation efforts which might occur at the site. Management does not believe any such obligations would have a material adverse effect on the Company's results of operations or financial condition.</w:t>
      </w:r>
    </w:p>
    <w:p>
      <w:pPr>
        <w:spacing w:after="0" w:line="191" w:lineRule="exact"/>
        <w:rPr>
          <w:rFonts w:ascii="Courier New" w:cs="Courier New" w:eastAsia="Courier New" w:hAnsi="Courier New"/>
          <w:sz w:val="16"/>
          <w:szCs w:val="16"/>
          <w:color w:val="auto"/>
        </w:rPr>
      </w:pPr>
    </w:p>
    <w:p>
      <w:pPr>
        <w:ind w:left="5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1990, the Philadelphia District of the Army Corps of Engineers directed that peat harvesting operations be discontinued at Hyponex's Lafayette, New Jersey facility, and the Company complied. In May 1992, the Department of Justice in the U. S. District Court for the District of New Jersey,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adversely affected by continued closure of this peat harvesting operation.</w:t>
      </w:r>
    </w:p>
    <w:p>
      <w:pPr>
        <w:spacing w:after="0" w:line="370"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Page 11</w:t>
      </w:r>
    </w:p>
    <w:p>
      <w:pPr>
        <w:sectPr>
          <w:pgSz w:w="11900" w:h="16838" w:orient="portrait"/>
          <w:cols w:equalWidth="0" w:num="1">
            <w:col w:w="10222"/>
          </w:cols>
          <w:pgMar w:left="237" w:top="295" w:right="1440" w:bottom="519"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4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68" w:lineRule="exact"/>
        <w:rPr>
          <w:sz w:val="20"/>
          <w:szCs w:val="20"/>
          <w:color w:val="auto"/>
        </w:rPr>
      </w:pPr>
    </w:p>
    <w:p>
      <w:pPr>
        <w:ind w:left="280" w:right="2659"/>
        <w:spacing w:after="0" w:line="257" w:lineRule="auto"/>
        <w:rPr>
          <w:sz w:val="20"/>
          <w:szCs w:val="20"/>
          <w:color w:val="auto"/>
        </w:rPr>
      </w:pPr>
      <w:r>
        <w:rPr>
          <w:rFonts w:ascii="Courier New" w:cs="Courier New" w:eastAsia="Courier New" w:hAnsi="Courier New"/>
          <w:sz w:val="15"/>
          <w:szCs w:val="15"/>
          <w:color w:val="auto"/>
        </w:rPr>
        <w:t>On January 30, 1996, the United States Environmental Protection Agency (the "U. S. EPA") served a Complaint and Notice of Opportunity for Hearing upon Sierra's wholly-owned subsidiary, Scotts-Sierra Crop Protection Company ("Crop Protection"). The Complaint alleged labeling violations under the Federal Insecticide, Fungicide and Rodenticide Act ("FIFRA") during 1992 and 1993 and proposed penalties totaling $785,000, the maximum allowable under FIFRA according to management's calculations. On February 11, 1997, the U.S. EPA's Motion for Accelerated Decision was granted on the issue of liability, with the amount of the civil penalty to be a resolved at hearing. Based upon Crop Protection's good faith compliance actions and FIFRA's provisions for "gravity-based" penalty reductions, management believes Crop Protection's maximum liability in this action to be $200,000. The Company does not believe that the outcome of this proceeding will have a material adverse effect on its financial condition or results of operations.</w:t>
      </w:r>
    </w:p>
    <w:p>
      <w:pPr>
        <w:spacing w:after="0" w:line="363" w:lineRule="exact"/>
        <w:rPr>
          <w:sz w:val="20"/>
          <w:szCs w:val="20"/>
          <w:color w:val="auto"/>
        </w:rPr>
      </w:pPr>
    </w:p>
    <w:p>
      <w:pPr>
        <w:ind w:left="280" w:right="2659"/>
        <w:spacing w:after="0"/>
        <w:rPr>
          <w:sz w:val="20"/>
          <w:szCs w:val="20"/>
          <w:color w:val="auto"/>
        </w:rPr>
      </w:pPr>
      <w:r>
        <w:rPr>
          <w:rFonts w:ascii="Courier New" w:cs="Courier New" w:eastAsia="Courier New" w:hAnsi="Courier New"/>
          <w:sz w:val="16"/>
          <w:szCs w:val="16"/>
          <w:color w:val="auto"/>
        </w:rPr>
        <w:t>The Company has been assessing and, as necessary, addressing certain environmental issues regarding the wastewater treatment plants currently operating at its Marysville facility. Specifically, it has been considering whether to upgrade the existing treatment plants or to attempt to tie the facility's wastewater into the City of Marysville's municipal treatment system. Additionally, the Company has been assessing, under Ohio's new Voluntary Action Program, the possible remediation of several discontinued on-site waste disposal areas dating back to the early operations of its Marysville facility.</w:t>
      </w:r>
    </w:p>
    <w:p>
      <w:pPr>
        <w:spacing w:after="0" w:line="188" w:lineRule="exact"/>
        <w:rPr>
          <w:sz w:val="20"/>
          <w:szCs w:val="20"/>
          <w:color w:val="auto"/>
        </w:rPr>
      </w:pPr>
    </w:p>
    <w:p>
      <w:pPr>
        <w:ind w:left="280" w:right="2759"/>
        <w:spacing w:after="0"/>
        <w:rPr>
          <w:sz w:val="20"/>
          <w:szCs w:val="20"/>
          <w:color w:val="auto"/>
        </w:rPr>
      </w:pPr>
      <w:r>
        <w:rPr>
          <w:rFonts w:ascii="Courier New" w:cs="Courier New" w:eastAsia="Courier New" w:hAnsi="Courier New"/>
          <w:sz w:val="16"/>
          <w:szCs w:val="16"/>
          <w:color w:val="auto"/>
        </w:rPr>
        <w:t>On February 11, 1997, the Company was informed that the Ohio EPA was referring certain matters relating to the Company's wastewater treatment plants and on-site disposal areas to the Ohio Attorney General's office. Representatives from the Ohio EPA, the Ohio Attorney General's office and the Company have had one meeting subsequent to February 11 to discuss these issues. Although the Company has not yet been informed as to the specific nature of any issues or the expected remedial response, all parties have expressed an interest in reaching an amicable resolution. The Company expects that a consent order will be negotiated with the Ohio EPA.</w:t>
      </w:r>
    </w:p>
    <w:p>
      <w:pPr>
        <w:spacing w:after="0" w:line="188" w:lineRule="exact"/>
        <w:rPr>
          <w:sz w:val="20"/>
          <w:szCs w:val="20"/>
          <w:color w:val="auto"/>
        </w:rPr>
      </w:pPr>
    </w:p>
    <w:p>
      <w:pPr>
        <w:ind w:left="280" w:right="2659"/>
        <w:spacing w:after="0" w:line="260" w:lineRule="auto"/>
        <w:rPr>
          <w:sz w:val="20"/>
          <w:szCs w:val="20"/>
          <w:color w:val="auto"/>
        </w:rPr>
      </w:pPr>
      <w:r>
        <w:rPr>
          <w:rFonts w:ascii="Courier New" w:cs="Courier New" w:eastAsia="Courier New" w:hAnsi="Courier New"/>
          <w:sz w:val="15"/>
          <w:szCs w:val="15"/>
          <w:color w:val="auto"/>
        </w:rPr>
        <w:t>The Company does not believe that any proceedings which may result from the Ohio EPA's referral of these matters to the Ohio Attorney General will be material to the business or financial condition of the Company but is unable, at this early stage, to predict the outcome of these issues.</w:t>
      </w:r>
    </w:p>
    <w:p>
      <w:pPr>
        <w:spacing w:after="0" w:line="35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9939"/>
          </w:cols>
          <w:pgMar w:left="520" w:top="295" w:right="1440" w:bottom="1440" w:gutter="0" w:footer="0" w:header="0"/>
        </w:sectPr>
      </w:pPr>
    </w:p>
    <w:bookmarkStart w:id="12" w:name="page13"/>
    <w:bookmarkEnd w:id="12"/>
    <w:p>
      <w:pPr>
        <w:ind w:left="283"/>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ITEM 2. MANAGEMENT'S DISCUSSION AND ANALYSIS OF</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368"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cash flows and financial position of the Company should be read in conjunction with the Consolidated Financial Statements of the Company included elsewhere in this report. The Company's Annual Report on Form 10-K for the fiscal year ended September 30, 1996 includes additional information about the Company, its operations, and its financial position, and should be read in conjunction with this quarterly report on Form 10-Q.</w:t>
      </w:r>
    </w:p>
    <w:p>
      <w:pPr>
        <w:spacing w:after="0" w:line="18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left="3" w:right="3219"/>
        <w:spacing w:after="0" w:line="267" w:lineRule="auto"/>
        <w:rPr>
          <w:sz w:val="20"/>
          <w:szCs w:val="20"/>
          <w:color w:val="auto"/>
        </w:rPr>
      </w:pPr>
      <w:r>
        <w:rPr>
          <w:rFonts w:ascii="Courier New" w:cs="Courier New" w:eastAsia="Courier New" w:hAnsi="Courier New"/>
          <w:sz w:val="15"/>
          <w:szCs w:val="15"/>
          <w:color w:val="auto"/>
        </w:rPr>
        <w:t>Before reviewing the details of the Company's second quarter and first six months results, the reader should keep in mind the following matters.</w:t>
      </w:r>
    </w:p>
    <w:p>
      <w:pPr>
        <w:spacing w:after="0" w:line="168" w:lineRule="exact"/>
        <w:rPr>
          <w:sz w:val="20"/>
          <w:szCs w:val="20"/>
          <w:color w:val="auto"/>
        </w:rPr>
      </w:pPr>
    </w:p>
    <w:p>
      <w:pPr>
        <w:ind w:left="3" w:right="2659"/>
        <w:spacing w:after="0" w:line="258" w:lineRule="auto"/>
        <w:rPr>
          <w:sz w:val="20"/>
          <w:szCs w:val="20"/>
          <w:color w:val="auto"/>
        </w:rPr>
      </w:pPr>
      <w:r>
        <w:rPr>
          <w:rFonts w:ascii="Courier New" w:cs="Courier New" w:eastAsia="Courier New" w:hAnsi="Courier New"/>
          <w:sz w:val="15"/>
          <w:szCs w:val="15"/>
          <w:color w:val="auto"/>
        </w:rPr>
        <w:t>In the quarter ended March 29, 1997, the Company changed its method of accounting for advertising expenses in interim periods. The newly adopted method assigns anticipated advertising costs to interim periods based on projected sales of advertised product categories and has been applied retroactive to the beginning of fiscal 1997 (October 1, 1996). This change impacts interim periods only; all current year advertising costs will be expensed within the fiscal year. Management believes this method of interim accounting for advertising costs provides better matching of revenues and expenses in interim periods, and is consistent with companies in the consumer packaged goods industry.</w:t>
      </w:r>
    </w:p>
    <w:p>
      <w:pPr>
        <w:spacing w:after="0" w:line="175"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This change in interim accounting had the effect of increasing advertising expense for the first and second quarters of fiscal 1997, and for the six months ended March 29, 1997 by $3.3 million, $4.6 million and $7.9 million, respectively. Net income for the first and second quarters of fiscal 1997, and for the six months ended March 29, 1997 decreased by $1.9 million or $0.10 per share, $2.6 million or $.09 per share and $4.5 million or $0.15 per share, respectively.</w:t>
      </w:r>
    </w:p>
    <w:p>
      <w:pPr>
        <w:spacing w:after="0" w:line="192" w:lineRule="exact"/>
        <w:rPr>
          <w:sz w:val="20"/>
          <w:szCs w:val="20"/>
          <w:color w:val="auto"/>
        </w:rPr>
      </w:pPr>
    </w:p>
    <w:p>
      <w:pPr>
        <w:ind w:left="3" w:right="2759"/>
        <w:spacing w:after="0" w:line="238" w:lineRule="auto"/>
        <w:rPr>
          <w:sz w:val="20"/>
          <w:szCs w:val="20"/>
          <w:color w:val="auto"/>
        </w:rPr>
      </w:pPr>
      <w:r>
        <w:rPr>
          <w:rFonts w:ascii="Courier New" w:cs="Courier New" w:eastAsia="Courier New" w:hAnsi="Courier New"/>
          <w:sz w:val="16"/>
          <w:szCs w:val="16"/>
          <w:color w:val="auto"/>
        </w:rPr>
        <w:t>Effective with the second quarter of fiscal 1997, The Scotts Company has made several changes in its financial statement presentation. First, the Company has reformatted its statement of operations as follows:</w:t>
      </w:r>
    </w:p>
    <w:p>
      <w:pPr>
        <w:spacing w:after="0" w:line="184" w:lineRule="exact"/>
        <w:rPr>
          <w:sz w:val="20"/>
          <w:szCs w:val="20"/>
          <w:color w:val="auto"/>
        </w:rPr>
      </w:pPr>
    </w:p>
    <w:p>
      <w:pPr>
        <w:ind w:left="763" w:hanging="763"/>
        <w:spacing w:after="0"/>
        <w:tabs>
          <w:tab w:leader="none" w:pos="7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expense is included in cost of sales;</w:t>
      </w:r>
    </w:p>
    <w:p>
      <w:pPr>
        <w:spacing w:after="0" w:line="4" w:lineRule="exact"/>
        <w:rPr>
          <w:rFonts w:ascii="Courier New" w:cs="Courier New" w:eastAsia="Courier New" w:hAnsi="Courier New"/>
          <w:sz w:val="16"/>
          <w:szCs w:val="16"/>
          <w:color w:val="auto"/>
        </w:rPr>
      </w:pPr>
    </w:p>
    <w:p>
      <w:pPr>
        <w:ind w:left="763" w:right="3219" w:hanging="763"/>
        <w:spacing w:after="0" w:line="237" w:lineRule="auto"/>
        <w:tabs>
          <w:tab w:leader="none" w:pos="7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Selling, general and administrative expenses are combined (include research and development); and</w:t>
      </w:r>
    </w:p>
    <w:p>
      <w:pPr>
        <w:spacing w:after="0" w:line="1" w:lineRule="exact"/>
        <w:rPr>
          <w:rFonts w:ascii="Courier New" w:cs="Courier New" w:eastAsia="Courier New" w:hAnsi="Courier New"/>
          <w:sz w:val="16"/>
          <w:szCs w:val="16"/>
          <w:color w:val="auto"/>
        </w:rPr>
      </w:pPr>
    </w:p>
    <w:p>
      <w:pPr>
        <w:ind w:left="763" w:hanging="763"/>
        <w:spacing w:after="0"/>
        <w:tabs>
          <w:tab w:leader="none" w:pos="7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 expenses are shown separately.</w:t>
      </w:r>
    </w:p>
    <w:p>
      <w:pPr>
        <w:spacing w:after="0" w:line="186"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Second, the business unit net sales breakdowns have been updated to include Canadian net sales as part of the North American business units in which they are managed. Canadian net sales had previously been disclosed as part of International. Annual Canadian net sales have been approximately $10.0 million or less historically.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Page 13</w:t>
      </w:r>
    </w:p>
    <w:p>
      <w:pPr>
        <w:sectPr>
          <w:pgSz w:w="11900" w:h="16838" w:orient="portrait"/>
          <w:cols w:equalWidth="0" w:num="1">
            <w:col w:w="10222"/>
          </w:cols>
          <w:pgMar w:left="237" w:top="295"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1"/>
        </w:trPr>
        <w:tc>
          <w:tcPr>
            <w:tcW w:w="2840" w:type="dxa"/>
            <w:vAlign w:val="bottom"/>
          </w:tcPr>
          <w:p>
            <w:pPr>
              <w:ind w:left="280"/>
              <w:spacing w:after="0"/>
              <w:rPr>
                <w:sz w:val="20"/>
                <w:szCs w:val="20"/>
                <w:color w:val="auto"/>
              </w:rPr>
            </w:pPr>
            <w:r>
              <w:rPr>
                <w:rFonts w:ascii="Courier New" w:cs="Courier New" w:eastAsia="Courier New" w:hAnsi="Courier New"/>
                <w:sz w:val="16"/>
                <w:szCs w:val="16"/>
                <w:color w:val="auto"/>
              </w:rPr>
              <w:t>14</w:t>
            </w: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091"/>
        </w:trPr>
        <w:tc>
          <w:tcPr>
            <w:tcW w:w="7800" w:type="dxa"/>
            <w:vAlign w:val="bottom"/>
            <w:gridSpan w:val="5"/>
          </w:tcPr>
          <w:p>
            <w:pPr>
              <w:spacing w:after="0"/>
              <w:rPr>
                <w:sz w:val="20"/>
                <w:szCs w:val="20"/>
                <w:color w:val="auto"/>
              </w:rPr>
            </w:pPr>
            <w:r>
              <w:rPr>
                <w:rFonts w:ascii="Courier New" w:cs="Courier New" w:eastAsia="Courier New" w:hAnsi="Courier New"/>
                <w:sz w:val="16"/>
                <w:szCs w:val="16"/>
                <w:color w:val="auto"/>
              </w:rPr>
              <w:t>THREE MONTHS ENDED MARCH 29, 1997 VERSUS THE THREE MONTHS ENDED MARCH 30, 1996</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2"/>
        </w:trPr>
        <w:tc>
          <w:tcPr>
            <w:tcW w:w="7800" w:type="dxa"/>
            <w:vAlign w:val="bottom"/>
            <w:gridSpan w:val="5"/>
          </w:tcPr>
          <w:p>
            <w:pPr>
              <w:jc w:val="right"/>
              <w:ind w:right="161"/>
              <w:spacing w:after="0"/>
              <w:rPr>
                <w:sz w:val="20"/>
                <w:szCs w:val="20"/>
                <w:color w:val="auto"/>
              </w:rPr>
            </w:pPr>
            <w:r>
              <w:rPr>
                <w:rFonts w:ascii="Courier New" w:cs="Courier New" w:eastAsia="Courier New" w:hAnsi="Courier New"/>
                <w:sz w:val="16"/>
                <w:szCs w:val="16"/>
                <w:color w:val="auto"/>
                <w:w w:val="98"/>
              </w:rPr>
              <w:t>- ------------------------------------------------------------------------------</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64"/>
        </w:trPr>
        <w:tc>
          <w:tcPr>
            <w:tcW w:w="7800" w:type="dxa"/>
            <w:vAlign w:val="bottom"/>
            <w:gridSpan w:val="5"/>
          </w:tcPr>
          <w:p>
            <w:pPr>
              <w:spacing w:after="0"/>
              <w:rPr>
                <w:sz w:val="20"/>
                <w:szCs w:val="20"/>
                <w:color w:val="auto"/>
              </w:rPr>
            </w:pPr>
            <w:r>
              <w:rPr>
                <w:rFonts w:ascii="Courier New" w:cs="Courier New" w:eastAsia="Courier New" w:hAnsi="Courier New"/>
                <w:sz w:val="16"/>
                <w:szCs w:val="16"/>
                <w:color w:val="auto"/>
              </w:rPr>
              <w:t>The following table sets forth the components of income and expense for the</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2"/>
        </w:trPr>
        <w:tc>
          <w:tcPr>
            <w:tcW w:w="6620" w:type="dxa"/>
            <w:vAlign w:val="bottom"/>
            <w:gridSpan w:val="4"/>
          </w:tcPr>
          <w:p>
            <w:pPr>
              <w:spacing w:after="0"/>
              <w:rPr>
                <w:sz w:val="20"/>
                <w:szCs w:val="20"/>
                <w:color w:val="auto"/>
              </w:rPr>
            </w:pPr>
            <w:r>
              <w:rPr>
                <w:rFonts w:ascii="Courier New" w:cs="Courier New" w:eastAsia="Courier New" w:hAnsi="Courier New"/>
                <w:sz w:val="16"/>
                <w:szCs w:val="16"/>
                <w:color w:val="auto"/>
              </w:rPr>
              <w:t>second quarter and first six months of fiscal 1997 and 1996 on a</w:t>
            </w: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w w:val="97"/>
              </w:rPr>
              <w:t>percentage-of-net sales basis:</w:t>
            </w: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909"/>
        </w:trPr>
        <w:tc>
          <w:tcPr>
            <w:tcW w:w="2840" w:type="dxa"/>
            <w:vAlign w:val="bottom"/>
          </w:tcPr>
          <w:p>
            <w:pPr>
              <w:spacing w:after="0"/>
              <w:rPr>
                <w:sz w:val="24"/>
                <w:szCs w:val="24"/>
                <w:color w:val="auto"/>
              </w:rPr>
            </w:pPr>
          </w:p>
        </w:tc>
        <w:tc>
          <w:tcPr>
            <w:tcW w:w="23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Three Months Ended</w:t>
            </w:r>
          </w:p>
        </w:tc>
        <w:tc>
          <w:tcPr>
            <w:tcW w:w="1420" w:type="dxa"/>
            <w:vAlign w:val="bottom"/>
          </w:tcPr>
          <w:p>
            <w:pPr>
              <w:spacing w:after="0"/>
              <w:rPr>
                <w:sz w:val="24"/>
                <w:szCs w:val="24"/>
                <w:color w:val="auto"/>
              </w:rPr>
            </w:pPr>
          </w:p>
        </w:tc>
        <w:tc>
          <w:tcPr>
            <w:tcW w:w="2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Six Months Ended</w:t>
            </w:r>
          </w:p>
        </w:tc>
        <w:tc>
          <w:tcPr>
            <w:tcW w:w="1100" w:type="dxa"/>
            <w:vAlign w:val="bottom"/>
          </w:tcPr>
          <w:p>
            <w:pPr>
              <w:spacing w:after="0"/>
              <w:rPr>
                <w:sz w:val="24"/>
                <w:szCs w:val="24"/>
                <w:color w:val="auto"/>
              </w:rPr>
            </w:pPr>
          </w:p>
        </w:tc>
      </w:tr>
      <w:tr>
        <w:trPr>
          <w:trHeight w:val="182"/>
        </w:trPr>
        <w:tc>
          <w:tcPr>
            <w:tcW w:w="2840" w:type="dxa"/>
            <w:vAlign w:val="bottom"/>
          </w:tcPr>
          <w:p>
            <w:pPr>
              <w:spacing w:after="0"/>
              <w:rPr>
                <w:sz w:val="15"/>
                <w:szCs w:val="15"/>
                <w:color w:val="auto"/>
              </w:rPr>
            </w:pPr>
          </w:p>
        </w:tc>
        <w:tc>
          <w:tcPr>
            <w:tcW w:w="23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Period to</w:t>
            </w:r>
          </w:p>
        </w:tc>
        <w:tc>
          <w:tcPr>
            <w:tcW w:w="25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w w:val="97"/>
              </w:rPr>
              <w:t>Period to</w:t>
            </w:r>
          </w:p>
        </w:tc>
      </w:tr>
      <w:tr>
        <w:trPr>
          <w:trHeight w:val="182"/>
        </w:trPr>
        <w:tc>
          <w:tcPr>
            <w:tcW w:w="28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6"/>
              </w:rPr>
              <w:t>March 29</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March 30</w:t>
            </w:r>
          </w:p>
        </w:tc>
        <w:tc>
          <w:tcPr>
            <w:tcW w:w="14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Period</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March 29</w:t>
            </w:r>
          </w:p>
        </w:tc>
        <w:tc>
          <w:tcPr>
            <w:tcW w:w="1320" w:type="dxa"/>
            <w:vAlign w:val="bottom"/>
          </w:tcPr>
          <w:p>
            <w:pPr>
              <w:ind w:left="340"/>
              <w:spacing w:after="0"/>
              <w:rPr>
                <w:sz w:val="20"/>
                <w:szCs w:val="20"/>
                <w:color w:val="auto"/>
              </w:rPr>
            </w:pPr>
            <w:r>
              <w:rPr>
                <w:rFonts w:ascii="Courier New" w:cs="Courier New" w:eastAsia="Courier New" w:hAnsi="Courier New"/>
                <w:sz w:val="16"/>
                <w:szCs w:val="16"/>
                <w:color w:val="auto"/>
              </w:rPr>
              <w:t>March 30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Period</w:t>
            </w:r>
          </w:p>
        </w:tc>
      </w:tr>
      <w:tr>
        <w:trPr>
          <w:trHeight w:val="182"/>
        </w:trPr>
        <w:tc>
          <w:tcPr>
            <w:tcW w:w="28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1997</w:t>
            </w: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c>
          <w:tcPr>
            <w:tcW w:w="14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 Change</w:t>
            </w:r>
          </w:p>
        </w:tc>
        <w:tc>
          <w:tcPr>
            <w:tcW w:w="1180" w:type="dxa"/>
            <w:vAlign w:val="bottom"/>
          </w:tcPr>
          <w:p>
            <w:pPr>
              <w:ind w:left="480"/>
              <w:spacing w:after="0"/>
              <w:rPr>
                <w:sz w:val="20"/>
                <w:szCs w:val="20"/>
                <w:color w:val="auto"/>
              </w:rPr>
            </w:pPr>
            <w:r>
              <w:rPr>
                <w:rFonts w:ascii="Courier New" w:cs="Courier New" w:eastAsia="Courier New" w:hAnsi="Courier New"/>
                <w:sz w:val="16"/>
                <w:szCs w:val="16"/>
                <w:color w:val="auto"/>
              </w:rPr>
              <w:t>1997</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1996</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 Change</w:t>
            </w:r>
          </w:p>
        </w:tc>
      </w:tr>
      <w:tr>
        <w:trPr>
          <w:trHeight w:val="182"/>
        </w:trPr>
        <w:tc>
          <w:tcPr>
            <w:tcW w:w="28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364"/>
        </w:trPr>
        <w:tc>
          <w:tcPr>
            <w:tcW w:w="28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100.0%</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100.0%</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37.8%</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20.9%</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60.0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65.1</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27.1</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61.7</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66.3</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12.5</w:t>
            </w:r>
          </w:p>
        </w:tc>
      </w:tr>
      <w:tr>
        <w:trPr>
          <w:trHeight w:val="182"/>
        </w:trPr>
        <w:tc>
          <w:tcPr>
            <w:tcW w:w="28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40.0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34.9</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57.8</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38.3</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33.7</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37.3</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2840" w:type="dxa"/>
            <w:vAlign w:val="bottom"/>
          </w:tcPr>
          <w:p>
            <w:pPr>
              <w:ind w:left="380"/>
              <w:spacing w:after="0"/>
              <w:rPr>
                <w:sz w:val="20"/>
                <w:szCs w:val="20"/>
                <w:color w:val="auto"/>
              </w:rPr>
            </w:pPr>
            <w:r>
              <w:rPr>
                <w:rFonts w:ascii="Courier New" w:cs="Courier New" w:eastAsia="Courier New" w:hAnsi="Courier New"/>
                <w:sz w:val="16"/>
                <w:szCs w:val="16"/>
                <w:color w:val="auto"/>
              </w:rPr>
              <w:t>administrative</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11.6</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13.7</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16.9</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14.9</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17.2</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5.2</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10.1</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8.6</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61.3</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9.7</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8.4</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40.3</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Amortization of goodwill</w:t>
            </w: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2840" w:type="dxa"/>
            <w:vAlign w:val="bottom"/>
          </w:tcPr>
          <w:p>
            <w:pPr>
              <w:ind w:left="380"/>
              <w:spacing w:after="0"/>
              <w:rPr>
                <w:sz w:val="20"/>
                <w:szCs w:val="20"/>
                <w:color w:val="auto"/>
              </w:rPr>
            </w:pPr>
            <w:r>
              <w:rPr>
                <w:rFonts w:ascii="Courier New" w:cs="Courier New" w:eastAsia="Courier New" w:hAnsi="Courier New"/>
                <w:sz w:val="16"/>
                <w:szCs w:val="16"/>
                <w:color w:val="auto"/>
              </w:rPr>
              <w:t>and other intangibles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0.8</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0.9</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22.7</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11.4</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0.9</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33.3</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0.8</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(23.9)</w:t>
            </w:r>
          </w:p>
        </w:tc>
      </w:tr>
      <w:tr>
        <w:trPr>
          <w:trHeight w:val="182"/>
        </w:trPr>
        <w:tc>
          <w:tcPr>
            <w:tcW w:w="28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16.6</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10.8</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111.8</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11.7</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5.7</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148.3</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w:t>
            </w:r>
          </w:p>
        </w:tc>
      </w:tr>
      <w:tr>
        <w:trPr>
          <w:trHeight w:val="182"/>
        </w:trPr>
        <w:tc>
          <w:tcPr>
            <w:tcW w:w="28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Income before taxes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14.2</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7.6</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158.4</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501.6</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6.1</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152.4</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0.8</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472.4</w:t>
            </w:r>
          </w:p>
        </w:tc>
      </w:tr>
      <w:tr>
        <w:trPr>
          <w:trHeight w:val="182"/>
        </w:trPr>
        <w:tc>
          <w:tcPr>
            <w:tcW w:w="28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163.2%</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0.9</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525.7%</w:t>
            </w: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0.7</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c>
          <w:tcPr>
            <w:tcW w:w="142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NM</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28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r>
        <w:trPr>
          <w:trHeight w:val="182"/>
        </w:trPr>
        <w:tc>
          <w:tcPr>
            <w:tcW w:w="2840" w:type="dxa"/>
            <w:vAlign w:val="bottom"/>
          </w:tcPr>
          <w:p>
            <w:pPr>
              <w:spacing w:after="0"/>
              <w:rPr>
                <w:sz w:val="20"/>
                <w:szCs w:val="20"/>
                <w:color w:val="auto"/>
              </w:rPr>
            </w:pPr>
            <w:r>
              <w:rPr>
                <w:rFonts w:ascii="Courier New" w:cs="Courier New" w:eastAsia="Courier New" w:hAnsi="Courier New"/>
                <w:sz w:val="16"/>
                <w:szCs w:val="16"/>
                <w:color w:val="auto"/>
              </w:rPr>
              <w:t>Income (loss) applicable to</w:t>
            </w: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2840" w:type="dxa"/>
            <w:vAlign w:val="bottom"/>
          </w:tcPr>
          <w:p>
            <w:pPr>
              <w:ind w:left="380"/>
              <w:spacing w:after="0"/>
              <w:rPr>
                <w:sz w:val="20"/>
                <w:szCs w:val="20"/>
                <w:color w:val="auto"/>
              </w:rPr>
            </w:pPr>
            <w:r>
              <w:rPr>
                <w:rFonts w:ascii="Courier New" w:cs="Courier New" w:eastAsia="Courier New" w:hAnsi="Courier New"/>
                <w:sz w:val="16"/>
                <w:szCs w:val="16"/>
                <w:color w:val="auto"/>
              </w:rPr>
              <w:t>common shareholders</w:t>
            </w: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7.4%</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w:t>
            </w:r>
          </w:p>
        </w:tc>
        <w:tc>
          <w:tcPr>
            <w:tcW w:w="142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NM</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(0.4)%</w:t>
            </w: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2840" w:type="dxa"/>
            <w:vAlign w:val="bottom"/>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r>
    </w:tbl>
    <w:p>
      <w:pPr>
        <w:spacing w:after="0" w:line="368" w:lineRule="exact"/>
        <w:rPr>
          <w:sz w:val="20"/>
          <w:szCs w:val="20"/>
          <w:color w:val="auto"/>
        </w:rPr>
      </w:pPr>
    </w:p>
    <w:p>
      <w:pPr>
        <w:ind w:right="2660"/>
        <w:spacing w:after="0" w:line="237" w:lineRule="auto"/>
        <w:rPr>
          <w:sz w:val="20"/>
          <w:szCs w:val="20"/>
          <w:color w:val="auto"/>
        </w:rPr>
      </w:pPr>
      <w:r>
        <w:rPr>
          <w:rFonts w:ascii="Courier New" w:cs="Courier New" w:eastAsia="Courier New" w:hAnsi="Courier New"/>
          <w:sz w:val="16"/>
          <w:szCs w:val="16"/>
          <w:color w:val="auto"/>
        </w:rPr>
        <w:t>The following table sets forth the sales by business unit for the second quarter and first six months of fiscal 1997 and 1996 (in millions).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 CHANGE V.</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2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 CHANGE V.</w:t>
            </w:r>
          </w:p>
        </w:tc>
      </w:tr>
      <w:tr>
        <w:trPr>
          <w:trHeight w:val="182"/>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2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w:t>
            </w:r>
          </w:p>
        </w:tc>
      </w:tr>
      <w:tr>
        <w:trPr>
          <w:trHeight w:val="182"/>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3"/>
              </w:rPr>
              <w:t>Q2</w:t>
            </w: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1996</w:t>
            </w:r>
          </w:p>
        </w:tc>
        <w:tc>
          <w:tcPr>
            <w:tcW w:w="13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First Half</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1240" w:type="dxa"/>
            <w:vAlign w:val="bottom"/>
          </w:tcPr>
          <w:p>
            <w:pPr>
              <w:ind w:left="580"/>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1997</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ACTUAL</w:t>
            </w:r>
          </w:p>
        </w:tc>
        <w:tc>
          <w:tcPr>
            <w:tcW w:w="1480" w:type="dxa"/>
            <w:vAlign w:val="bottom"/>
          </w:tcPr>
          <w:p>
            <w:pPr>
              <w:ind w:left="200"/>
              <w:spacing w:after="0"/>
              <w:rPr>
                <w:sz w:val="20"/>
                <w:szCs w:val="20"/>
                <w:color w:val="auto"/>
              </w:rPr>
            </w:pPr>
            <w:r>
              <w:rPr>
                <w:rFonts w:ascii="Courier New" w:cs="Courier New" w:eastAsia="Courier New" w:hAnsi="Courier New"/>
                <w:sz w:val="16"/>
                <w:szCs w:val="16"/>
                <w:color w:val="auto"/>
              </w:rPr>
              <w:t>AS ADJUSTED</w:t>
            </w:r>
          </w:p>
        </w:tc>
        <w:tc>
          <w:tcPr>
            <w:tcW w:w="42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1997</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ACTUAL</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w w:val="96"/>
              </w:rPr>
              <w:t>AS ADJUSTED</w:t>
            </w:r>
          </w:p>
        </w:tc>
      </w:tr>
      <w:tr>
        <w:trPr>
          <w:trHeight w:val="182"/>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ind w:left="580"/>
              <w:spacing w:after="0"/>
              <w:rPr>
                <w:sz w:val="20"/>
                <w:szCs w:val="20"/>
                <w:color w:val="auto"/>
              </w:rPr>
            </w:pPr>
            <w:r>
              <w:rPr>
                <w:rFonts w:ascii="Courier New" w:cs="Courier New" w:eastAsia="Courier New" w:hAnsi="Courier New"/>
                <w:sz w:val="16"/>
                <w:szCs w:val="16"/>
                <w:color w:val="auto"/>
              </w:rPr>
              <w:t>(1)</w:t>
            </w: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rPr>
              <w:t>Consumer Lawns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152.5</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63.1%</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185.9</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30.6%</w:t>
            </w:r>
          </w:p>
        </w:tc>
        <w:tc>
          <w:tcPr>
            <w:tcW w:w="1240" w:type="dxa"/>
            <w:vAlign w:val="bottom"/>
          </w:tcPr>
          <w:p>
            <w:pPr>
              <w:ind w:left="580"/>
              <w:spacing w:after="0"/>
              <w:rPr>
                <w:sz w:val="20"/>
                <w:szCs w:val="20"/>
                <w:color w:val="auto"/>
              </w:rPr>
            </w:pPr>
            <w:r>
              <w:rPr>
                <w:rFonts w:ascii="Courier New" w:cs="Courier New" w:eastAsia="Courier New" w:hAnsi="Courier New"/>
                <w:sz w:val="16"/>
                <w:szCs w:val="16"/>
                <w:color w:val="auto"/>
              </w:rPr>
              <w:t>8.5%</w:t>
            </w: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Consumer Gardens</w:t>
            </w:r>
          </w:p>
        </w:tc>
        <w:tc>
          <w:tcPr>
            <w:tcW w:w="7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55.5</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18.1</w:t>
            </w:r>
          </w:p>
        </w:tc>
        <w:tc>
          <w:tcPr>
            <w:tcW w:w="1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66.3</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11.6</w:t>
            </w:r>
          </w:p>
        </w:tc>
        <w:tc>
          <w:tcPr>
            <w:tcW w:w="124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Organics</w:t>
            </w:r>
          </w:p>
        </w:tc>
        <w:tc>
          <w:tcPr>
            <w:tcW w:w="7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56.2</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w:t>
            </w:r>
          </w:p>
        </w:tc>
        <w:tc>
          <w:tcPr>
            <w:tcW w:w="1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70.6</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(0.8)</w:t>
            </w:r>
          </w:p>
        </w:tc>
        <w:tc>
          <w:tcPr>
            <w:tcW w:w="1240" w:type="dxa"/>
            <w:vAlign w:val="bottom"/>
          </w:tcPr>
          <w:p>
            <w:pPr>
              <w:spacing w:after="0"/>
              <w:rPr>
                <w:sz w:val="15"/>
                <w:szCs w:val="15"/>
                <w:color w:val="auto"/>
              </w:rPr>
            </w:pPr>
          </w:p>
        </w:tc>
      </w:tr>
      <w:tr>
        <w:trPr>
          <w:trHeight w:val="182"/>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Domestic consumer</w:t>
            </w:r>
          </w:p>
        </w:tc>
        <w:tc>
          <w:tcPr>
            <w:tcW w:w="7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264.2</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34.7</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9.2</w:t>
            </w: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322.8</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w:t>
            </w:r>
          </w:p>
        </w:tc>
        <w:tc>
          <w:tcPr>
            <w:tcW w:w="1240" w:type="dxa"/>
            <w:vAlign w:val="bottom"/>
          </w:tcPr>
          <w:p>
            <w:pPr>
              <w:ind w:left="580"/>
              <w:spacing w:after="0"/>
              <w:rPr>
                <w:sz w:val="20"/>
                <w:szCs w:val="20"/>
                <w:color w:val="auto"/>
              </w:rPr>
            </w:pPr>
            <w:r>
              <w:rPr>
                <w:rFonts w:ascii="Courier New" w:cs="Courier New" w:eastAsia="Courier New" w:hAnsi="Courier New"/>
                <w:sz w:val="16"/>
                <w:szCs w:val="16"/>
                <w:color w:val="auto"/>
              </w:rPr>
              <w:t>6.9</w:t>
            </w:r>
          </w:p>
        </w:tc>
      </w:tr>
      <w:tr>
        <w:trPr>
          <w:trHeight w:val="182"/>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rPr>
              <w:t>Professional</w:t>
            </w:r>
          </w:p>
        </w:tc>
        <w:tc>
          <w:tcPr>
            <w:tcW w:w="760" w:type="dxa"/>
            <w:vAlign w:val="bottom"/>
          </w:tcPr>
          <w:p>
            <w:pPr>
              <w:spacing w:after="0"/>
              <w:rPr>
                <w:sz w:val="24"/>
                <w:szCs w:val="24"/>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41.6</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13.0</w:t>
            </w: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68.2</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w:t>
            </w:r>
          </w:p>
        </w:tc>
        <w:tc>
          <w:tcPr>
            <w:tcW w:w="1240" w:type="dxa"/>
            <w:vAlign w:val="bottom"/>
          </w:tcPr>
          <w:p>
            <w:pPr>
              <w:spacing w:after="0"/>
              <w:rPr>
                <w:sz w:val="24"/>
                <w:szCs w:val="24"/>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7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40.4</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120.8</w:t>
            </w:r>
          </w:p>
        </w:tc>
        <w:tc>
          <w:tcPr>
            <w:tcW w:w="1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55.4</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72.1</w:t>
            </w:r>
          </w:p>
        </w:tc>
        <w:tc>
          <w:tcPr>
            <w:tcW w:w="1240" w:type="dxa"/>
            <w:vAlign w:val="bottom"/>
          </w:tcPr>
          <w:p>
            <w:pPr>
              <w:spacing w:after="0"/>
              <w:rPr>
                <w:sz w:val="15"/>
                <w:szCs w:val="15"/>
                <w:color w:val="auto"/>
              </w:rPr>
            </w:pPr>
          </w:p>
        </w:tc>
      </w:tr>
      <w:tr>
        <w:trPr>
          <w:trHeight w:val="182"/>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rPr>
              <w:t>Consolidated</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346.2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37.8%</w:t>
            </w:r>
          </w:p>
        </w:tc>
        <w:tc>
          <w:tcPr>
            <w:tcW w:w="14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446.4</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12.1%</w:t>
            </w:r>
          </w:p>
        </w:tc>
      </w:tr>
      <w:tr>
        <w:trPr>
          <w:trHeight w:val="182"/>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Pr>
          <w:p>
            <w:pPr>
              <w:spacing w:after="0"/>
              <w:rPr>
                <w:sz w:val="20"/>
                <w:szCs w:val="20"/>
                <w:color w:val="auto"/>
              </w:rPr>
            </w:pPr>
            <w:r>
              <w:rPr>
                <w:rFonts w:ascii="Courier New" w:cs="Courier New" w:eastAsia="Courier New" w:hAnsi="Courier New"/>
                <w:sz w:val="16"/>
                <w:szCs w:val="16"/>
                <w:color w:val="auto"/>
              </w:rPr>
              <w:t>(1)Reflects</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sales adjustments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$45.8 million</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for the second</w:t>
            </w:r>
          </w:p>
        </w:tc>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quarter of</w:t>
            </w:r>
          </w:p>
        </w:tc>
      </w:tr>
      <w:tr>
        <w:trPr>
          <w:trHeight w:val="182"/>
        </w:trPr>
        <w:tc>
          <w:tcPr>
            <w:tcW w:w="1080" w:type="dxa"/>
            <w:vAlign w:val="bottom"/>
          </w:tcPr>
          <w:p>
            <w:pPr>
              <w:ind w:left="280"/>
              <w:spacing w:after="0"/>
              <w:rPr>
                <w:sz w:val="20"/>
                <w:szCs w:val="20"/>
                <w:color w:val="auto"/>
              </w:rPr>
            </w:pPr>
            <w:r>
              <w:rPr>
                <w:rFonts w:ascii="Courier New" w:cs="Courier New" w:eastAsia="Courier New" w:hAnsi="Courier New"/>
                <w:sz w:val="16"/>
                <w:szCs w:val="16"/>
                <w:color w:val="auto"/>
              </w:rPr>
              <w:t>1996 and</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$29.0 million for the</w:t>
            </w:r>
          </w:p>
        </w:tc>
        <w:tc>
          <w:tcPr>
            <w:tcW w:w="16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first six months</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of 1996 for the</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1995</w:t>
            </w:r>
          </w:p>
        </w:tc>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Consumer</w:t>
            </w:r>
          </w:p>
        </w:tc>
      </w:tr>
      <w:tr>
        <w:trPr>
          <w:trHeight w:val="182"/>
        </w:trPr>
        <w:tc>
          <w:tcPr>
            <w:tcW w:w="13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Lawns early</w:t>
            </w:r>
          </w:p>
        </w:tc>
        <w:tc>
          <w:tcPr>
            <w:tcW w:w="20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purchase program that</w:t>
            </w: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encouraged retailers to build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their</w:t>
            </w:r>
          </w:p>
        </w:tc>
        <w:tc>
          <w:tcPr>
            <w:tcW w:w="760" w:type="dxa"/>
            <w:vAlign w:val="bottom"/>
          </w:tcPr>
          <w:p>
            <w:pPr>
              <w:spacing w:after="0"/>
              <w:rPr>
                <w:sz w:val="15"/>
                <w:szCs w:val="15"/>
                <w:color w:val="auto"/>
              </w:rPr>
            </w:pPr>
          </w:p>
        </w:tc>
      </w:tr>
      <w:tr>
        <w:trPr>
          <w:trHeight w:val="182"/>
        </w:trPr>
        <w:tc>
          <w:tcPr>
            <w:tcW w:w="13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inventories</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well in advance of</w:t>
            </w:r>
          </w:p>
        </w:tc>
        <w:tc>
          <w:tcPr>
            <w:tcW w:w="30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the second and third quarter of</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1996.</w:t>
            </w:r>
          </w:p>
        </w:tc>
        <w:tc>
          <w:tcPr>
            <w:tcW w:w="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Page 14</w:t>
      </w:r>
    </w:p>
    <w:p>
      <w:pPr>
        <w:sectPr>
          <w:pgSz w:w="11900" w:h="16838" w:orient="portrait"/>
          <w:cols w:equalWidth="0" w:num="1">
            <w:col w:w="10220"/>
          </w:cols>
          <w:pgMar w:left="240" w:top="295" w:right="1439" w:bottom="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MARCH 29, 1997 VERSUS THE THREE MONTHS ENDED MARCH 30, 1996</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Net sales for the three months ended March 29, 1997 totaled $346.2 million, an increase of $95.0 million or 37.8%. Management estimates that approximately $45.8 million (19.9%) of this increase was due to the 1995 Consumer Lawns retailer early purchase program that had the effect of depressing sales in the second and third quarters of fiscal 1996. The January 3, 1997 acquisition of the remaining two-thirds interest in Miracle Garden Care Limited ("MGC") increased second quarter sales by $21.3 million or 8.4%. The remaining 9.5% increase in second quarter 1997 sales was primarily attributable to sales volumes in Consumer Gardens, Professional, Consumer Lawns, and International.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Lawns Group net sales increased $59.0 million or 63.1% to $152.5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primarily as a result of volume increases. Management estimates that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$45.8 million (53.6%) of this quarterly sales increase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to the discontinuance of the 1995 early purchase program that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encouraged retailers to build their inventories well in advance of the second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third quarters of 1996. After adjusting for this program change,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estimates that the Consumer Lawns Group quarterly net sales increase was 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Gardens Group net sales increased $8.5 million or 18.1% to $55.5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Consumer Gardens Group net sales increased primarily as a result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volume, including the inclusion of grass seed into the Group's distribution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starting in fiscal 1997. Organics Business Group net sales increased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$0.6 million or 1.1% to $56.2 million, in line with this group's focus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profitability, not revenues. Professional Business Group net sales increased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 million or 13.0% to $41.6 million, as this Group's customers move more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just-in-time inventory management. International Business Group net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$22.1 million or 120.8% to $40.4 million. MGC contributed $21.3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of this net sales increase. Excluding the impact of MGC, International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Group net sales increased $0.8 million or 4.4%, with a volume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of approximately 17.5% largely offset by unfavorable exchange 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movements that resulted in a 13.1% quarter-to-quarter reduction in International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after translation to U.S. dollars.</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Cost of sales were 60.0% of net sales for the three months ended March 29, 1997, a 5.1 percentage point decrease compared to 65.1% in the same period of the prior year. This improvement is attributable to the discontinuance of promotional programs to drive out-of-season sales, the discontinuance of lower margin professional and consumer products, and manufacturing and distribution efficiencies.</w:t>
      </w:r>
    </w:p>
    <w:p>
      <w:pPr>
        <w:spacing w:after="0" w:line="190"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Operating expenses increased $20.4 million or 33.7% to $81.0 million. Operating expenses were 23.4% of net sales compared to 24.1% in the prior year. Selling, general and administrative expenses increased $5.8 million or 16.9% to $40.1 million. This increase reflects the inclusion of MGC for the first time, and higher salesforce and general management incentives in the current year, partially offset by cost savings generated by restructuring efforts in 1996. As a percentage of net sales, selling, general and administrative expenses decreased from 13.7% to 11.6%.</w:t>
      </w:r>
    </w:p>
    <w:p>
      <w:pPr>
        <w:spacing w:after="0" w:line="187"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Advertising and promotion expenses increased by $13.3 million or 61.3% to $35.0 million. As a percentage of net sales, advertising and promotion expenses increased to 10.1% from 8.6%. Approximately $4.5 million (20.7%) of this increase is attributable to the change in interim accounting for advertising, as previously discussed. Exclusive of the change in interim accounting for advertising, overall higher investment in media spending on brand building increased this expense by approximately $2.7 million (12.4%). Trade promotions related to the significant increase in second quarter consumer sales increased approximately $3.0 million (13.8%). The inclusion of MGC accounted for the remaining $3.0 million increase in advertising and promotion expense for the quarter.</w:t>
      </w:r>
    </w:p>
    <w:p>
      <w:pPr>
        <w:spacing w:after="0" w:line="189"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Amortization of goodwill and other intangibles increased as a result of the inclusion of MGC.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Page 15</w:t>
      </w:r>
    </w:p>
    <w:p>
      <w:pPr>
        <w:sectPr>
          <w:pgSz w:w="11900" w:h="16838" w:orient="portrait"/>
          <w:cols w:equalWidth="0" w:num="1">
            <w:col w:w="10219"/>
          </w:cols>
          <w:pgMar w:left="240"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50"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Other expense, net for the second quarter of 1997 includes approximately $4.2 million of charges related to various productive assets which are pending sale or whose values are impaired as a result of changes in management's plans and business conditions. These charges were partially offset by royalty income from new and ongoing agreements that license the use of the Scotts(R) logo. The second quarter of 1996 included $2.7 million in severance charges and $0.5 million asset valuation adjustments.</w:t>
      </w:r>
    </w:p>
    <w:p>
      <w:pPr>
        <w:spacing w:after="0" w:line="192"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5"/>
          <w:szCs w:val="15"/>
          <w:color w:val="auto"/>
        </w:rPr>
        <w:t>Primarily as a result of higher sales volumes, improved manufacturing and distribution efficiencies, and other cost improvements, income from operations increased by $30.3 million or 111.8% to $57.4 million. Income from operations increased to 16.6% from 10.8% on a percentage of sales basis.</w:t>
      </w:r>
    </w:p>
    <w:p>
      <w:pPr>
        <w:spacing w:after="0" w:line="173"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Interest expense increased $0.2 million or 2.5%. Excluding the impact of MGC related borrowings, interest expense decreased by approximately $1.3 million or 16.1%, principally due to a $71.9 million reduction in average borrowings for the second quarter compared to the same period last year. MGC related interest expense was approximately $1.5 million for the quarter, reflecting both acquisition debt and seasonal working capital requirements.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effective tax rate was 43.2% compared to 44.2% in the prior year.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second quarter of fiscal 1997, the Company reported net income of</w:t>
      </w:r>
    </w:p>
    <w:p>
      <w:pPr>
        <w:spacing w:after="0" w:line="5"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$27.9 million or $0.95 per common share compared with prior year net income of $10.6 million or $0.36 per common share. The quarterly improvement reflects the positive impact of the change in retailer selling programs for the Consumer Lawns group. Other favorable factors influencing this quarters' results</w:t>
      </w:r>
    </w:p>
    <w:p>
      <w:pPr>
        <w:spacing w:after="0" w:line="3"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of operations include sales volume increases, improved manufacturing and distribution efficiencies, ongoing cost control efforts, lower average borrowings and the full consolidation of MGC's results. These positive factors were partially offset by the change in interim accounting for advertising and the higher investment in brand building the Company is making during fiscal 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MARCH 29, 1997 VERSUS SIX MONTHS ENDED MARCH 30, 1996</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Net sales for the six months ended March 29, 1997 totaled $446.4 million, an increase of $77.2 million or 20.9%. Management estimates that approximately $29.0 million (8.3%) of this increase was due to the 1995 Consumer Lawns retailer early purchase program that had the effect of depressing sales in the second and third quarters of 1996. The January 3, 1997 acquisition of the remaining two-thirds interest in MGC increased net sales of the first six months by $21.3 million or 5.8%. The remaining 6.8% increase in net sales for the first six months of fiscal 1997 was primarily attributable to volume gains in Consumer Gardens, Consumer Lawns, Professional and International.</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Consumer Lawns Group net sales increased $43.5 million or 30.6% to $185.9 million, primarily as a result of volume increases. Management estimates that approximately $29.0 million (22.1%) of this six months sales increase is attributable to the discontinuance of the 1995 early purchase program. After adjusting for this program change, management estimates that the Consumer Lawns Group six month's net sales increase was 8.5%. Consumer Gardens Group net sales increased $6.9 million or 11.6% to $66.3 million. Gardens group net sales increased primarily as a result of volume, including the inclusion of grass seed into their distribution network starting in fiscal 1997. Organics Business Group net sales decreased $0.6 million or 0.8% to $70.6 million, in line with this Group's focus on profitability, not revenues. Professional Business Group net sales increased $4.2 million or 6.6% to $68.2 million, as this Group's customers move more to just-in-time inventory management. International Business Group net sales increased $23.2 million or 72.1% to $55.4 million. MGC contributed $21.3 million of this net sales increase. Excluding the impact of MGC, International Business Group net sales increased $1.9 million or 5.9%, with sales volumes up approximately 15.9%, largely offset by unfavorable exchange rate movements that resulted in a 10.0% year-to-date reduction in International sales after translation to U.S. dollars.</w:t>
      </w:r>
    </w:p>
    <w:p>
      <w:pPr>
        <w:spacing w:after="0" w:line="37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Page 16</w:t>
      </w:r>
    </w:p>
    <w:p>
      <w:pPr>
        <w:sectPr>
          <w:pgSz w:w="11900" w:h="16838" w:orient="portrait"/>
          <w:cols w:equalWidth="0" w:num="1">
            <w:col w:w="10219"/>
          </w:cols>
          <w:pgMar w:left="240"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350"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Cost of sales were 61.7% of net sales for the six months ended March 29, 1997, a 4.6 percentage point decrease compared to 66.3% in the same period of the prior year. This improvement is attributable to the discontinuance of promotional programs to drive out-of-season sales, the discontinuance of lower margin professional and consumer products, and manufacturing and distribution efficiencies.</w:t>
      </w:r>
    </w:p>
    <w:p>
      <w:pPr>
        <w:spacing w:after="0" w:line="190"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Operating expenses increased $15.2 million or 14.7% to $118.6 million. Operating expenses were 26.6% of net sales compared to 28.0% in the prior year. Selling, general and administrative expenses increased $3.3 million or 5.2% to $66.7 million. This increase reflects the inclusion of MGC for the first time, and higher salesforce and general management incentives in the current year, partially offset by cost savings generated by restructuring efforts in 1996. As a percentage of sales, selling, general and administrative expenses decreased from 17.2% to 14.9%.</w:t>
      </w:r>
    </w:p>
    <w:p>
      <w:pPr>
        <w:spacing w:after="0" w:line="187"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Advertising and promotion expenses increased by $12.5 million or 40.3% to $43.5 million. As a percentage of net sales, advertising and promotion expenses increased to 9.7% from 8.4%. Approximately $7.8 million (25.2%) of this increase is attributable to the change in interim accounting for advertising, as previously discussed. Exclusive of the change in interim accounting for advertising, overall higher investment in media spending on brand building increased this expense by approximately $2.4 million (7.7%). The inclusion of MGC increased year-to-date advertising and promotion expenses by $3.0 million. Trade promotions decreased $0.7 million reflecting the Company's move toward "pull" advertising and away from "push" retailer promotions. The Company believes retailer promotions and cooperative advertising are an integral part of the consumer lawn and garden business, but to a lesser extent than that practiced in prior years.</w:t>
      </w:r>
    </w:p>
    <w:p>
      <w:pPr>
        <w:spacing w:after="0" w:line="190"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Amortization of goodwill and other intangibles increased as a result of the inclusion of MGC.</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Other expense, net for the first six months of 1997 includes approximately $4.3 million of charges related to various productive assets which are pending sale or whose values are impaired as a result of changes in management plans and business conditions. These charges were partially offset by royalty income from new and ongoing agreements that license the use of the Scotts(R) logo. The first six months of fiscal 1996 included $4.5 million of severance charges and $0.8 million of asset valuation adjustments.</w:t>
      </w:r>
    </w:p>
    <w:p>
      <w:pPr>
        <w:spacing w:after="0" w:line="192"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Primarily as a result of higher sales volumes, improved manufacturing and distribution efficiencies, and other cost improvements, income from operations increased by $31.3 million or 148.3% to $52.4 million. Income from operations increased to 11.7% from 5.7% on a percentage of sales basis.</w:t>
      </w:r>
    </w:p>
    <w:p>
      <w:pPr>
        <w:spacing w:after="0" w:line="187" w:lineRule="exact"/>
        <w:rPr>
          <w:sz w:val="20"/>
          <w:szCs w:val="20"/>
          <w:color w:val="auto"/>
        </w:rPr>
      </w:pPr>
    </w:p>
    <w:p>
      <w:pPr>
        <w:ind w:right="2839"/>
        <w:spacing w:after="0" w:line="258" w:lineRule="auto"/>
        <w:rPr>
          <w:sz w:val="20"/>
          <w:szCs w:val="20"/>
          <w:color w:val="auto"/>
        </w:rPr>
      </w:pPr>
      <w:r>
        <w:rPr>
          <w:rFonts w:ascii="Courier New" w:cs="Courier New" w:eastAsia="Courier New" w:hAnsi="Courier New"/>
          <w:sz w:val="15"/>
          <w:szCs w:val="15"/>
          <w:color w:val="auto"/>
        </w:rPr>
        <w:t>Interest expense decreased $0.8 million or 5.4% for the six months ended March 29, 1997. Excluding MGC related borrowings, interest expense decreased by approximately $2.3 million or 15.7%, principally due to a $66.9 million reduction in average borrowings for the first six months compared to the same period last year. MGC related interest expense was approximately $1.5 million, reflecting both acquisition debt and seasonal working capital requirements.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effective tax rate was 43.2% compared to 45.3% in the prior year.</w:t>
      </w:r>
    </w:p>
    <w:p>
      <w:pPr>
        <w:spacing w:after="0" w:line="194"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During the first six months of fiscal 1997, the Company reported net income of $21.9 million or $0.75 per common share compared with prior year net income of $3.5 million or a loss of $0.08 per common share, after considering preferred stock dividends. The year-to-date improvement reflects the positive impact of the change in retailer selling programs for the Consumer Lawns Group. Other favorable factors influencing year-to-date results of operations include sales volume increases, improved manufacturing and distribution efficiencies, ongoing cost control efforts, lower average borrowings and full consolidation of MGC's results. These positive factors were partially offset by the change in interim accounting for advertising and the higher investment in brand building the Company is making during fiscal 1997.</w:t>
      </w:r>
    </w:p>
    <w:p>
      <w:pPr>
        <w:spacing w:after="0" w:line="36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10219"/>
          </w:cols>
          <w:pgMar w:left="240"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Cash used in operating activities totaled $138.6 million for the six month period ended March 29, 1997 compared to $143.3 million in the prior year. The seasonal nature of the Company's operations results in a significant increase in working capital (primarily inventory and accounts receivable) during the first and second fiscal quarters. The third fiscal quarter is a significant period for collecting accounts receivable. The lower level of cash used in operating activities for the first six months of 1997 is principally due to higher net income and better working capital management, partially offset by the seasonal working capital needs of MGC.</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Cash used in investing activities totaled $51.2 million compared to $8.3 million in the prior year. This increase is attributable to the acquisition of the remaining two-thirds interest in MGC for approximately $47.1 million effective January 3, 1997. The Company estimates that fiscal 1997 capital investments will be $20 million to $25 million compared to $18.2 million in the prior year. These capital investments will be financed with cash provided by operations and utilization of available credit facilities. The largest project will be an approximately $9.0 million expansion of the Marysville distribution facility, estimated to generate annual distribution expense savings of at least $1.5 million beginning in fiscal 1998. The Company's Fourth Amended and Restated Credit Agreement (the "Credit Agreement") restricts annual capital investments to $50 million.</w:t>
      </w:r>
    </w:p>
    <w:p>
      <w:pPr>
        <w:spacing w:after="0" w:line="189"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Financing activities provided $195.5 million for the six month period ended March 29, 1997 compared to $153.2 million in the prior year. Financing activities are principally supported by the Company's Credit Agreement. The higher level of incremental borrowings in the first six months of fiscal 1997 compared to the prior year is a result of the MGC transaction, partially offset by lower working capital requirements and year-to-date capital investment.</w:t>
      </w:r>
    </w:p>
    <w:p>
      <w:pPr>
        <w:spacing w:after="0" w:line="177"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Total debt increased by $227.7 million compared with debt at September 30, 1996 and increased by $27.4 million compared with total debt at March 30, 1996. The increase as compared to September 30, 1996 was to support increased working capital, capital expenditures, and the MGC acquisition. The increase compared to March 30, 1996 is attributable to positive cash flow generated in fiscal 1996 and lower working capital requirements in fiscal 1997, offset by the borrowings associated with the MGC acquisition and MGC's seasonal borrowing requirements.</w:t>
      </w:r>
    </w:p>
    <w:p>
      <w:pPr>
        <w:spacing w:after="0" w:line="176"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Shareholders' equity as of March 29, 1997 was $378.3 million, a $14.0 million increase compared to September 30, 1996 and a $5.5 million decrease compared to March 30, 1996. The increase compared to September 30, 1996 was due to the net income of $21.9 million, Convertible Preferred Stock dividends of $4.9 million, an unfavorable change in the cumulative foreign currency adjustment of $3.3 million and net treasury stock activity of $0.4 million. The decrease compared to March 30, 1996 was due to the net income for the twelve month period ended March 29, 1997 of $15.9 million offset by Convertible Preferred Stock dividends of $9.8 million, net treasury stock purchases of $7.0 million and an unfavorable change in the cumulative foreign currency adjustment of $4.5 million.</w:t>
      </w:r>
    </w:p>
    <w:p>
      <w:pPr>
        <w:spacing w:after="0" w:line="174"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The primary sources of liquidity for the Company are funds generated by operations and borrowings under the Company's Credit Agreement. The Credit Agreement was amended in December 1996. The most recent amendment provides for an increase in the available line-of-credit from $375 million to $425 million, and provides that up to the equivalent of $100 million of the available credit may be borrowed in U.K. Pounds Sterling.</w:t>
      </w:r>
    </w:p>
    <w:p>
      <w:pPr>
        <w:spacing w:after="0" w:line="19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The Company has foreign exchange rate risk related to International operations and cash flows.</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Company enters into forward foreign exchange contracts and purchases currency options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 Effective in the second quarter of 1997, the Company significantly reduced this program.</w:t>
      </w:r>
    </w:p>
    <w:p>
      <w:pPr>
        <w:spacing w:after="0" w:line="187"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w:t>
      </w:r>
    </w:p>
    <w:p>
      <w:pPr>
        <w:spacing w:after="0" w:line="36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Page 18</w:t>
      </w:r>
    </w:p>
    <w:p>
      <w:pPr>
        <w:sectPr>
          <w:pgSz w:w="11900" w:h="16838" w:orient="portrait"/>
          <w:cols w:equalWidth="0" w:num="1">
            <w:col w:w="10219"/>
          </w:cols>
          <w:pgMar w:left="240" w:top="295" w:right="1440" w:bottom="701"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As of March 29, 1997, the Company's European operations had foreign exchange risk in various European currencies tied to the Dutch Guilder. These currencies include the Belgian Franc, German Mark, Spanish Peseta, French Franc, British Pound, Italian Lire, and the Australian Dollar and U.S. Dollar. The Company's U.S. operations had foreign exchange rate risk in the Canadian Dollar, Dutch Guilder and the British Pound which are tied to the U.S. Dollar. As of March 29, 1997, there were outstanding forward foreign exchange contracts with a value of approximately $2.4 million. These contracts had maturity dates ranging from June 10, 1997 to June 24, 1997.</w:t>
      </w:r>
    </w:p>
    <w:p>
      <w:pPr>
        <w:spacing w:after="0" w:line="188"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In the opinion of the Company's management, cash flows from operations and capital resources will be sufficient to meet debt service and working capital needs during the 1997 fiscal year.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86"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The Company is subject to the effect of changing prices. The Company has, however, generally been able to pass along inflationary increases in its costs by increasing the prices of its products.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9 to the Company's Consolidated Financial Statements and in the Annual Report on Form 10-K to the Securities and Exchange Commission for the year ended September 30, 1996 under the "Business" and "Legal Proceedings" sections.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ISSUES</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In October 1995, the Financial Accounting Standards Board issued SFAS No. 123, "Accounting for Stock-Based Compensation", effective for financial statements for fiscal years beginning after December 15, 1995. SFAS No. 123 provides for, but does not require, a fair value method of accounting for stock-based compensation arrangements rather than the intrinsic value method previously required. Alternatively, entities that retain the intrinsic value method are required to disclose in the notes to the financial statements pro forma net income and earnings per share information as if the fair value method had been applied. The Company does not intend to adopt the fair value method of SFAS No. 123; therefore, this standard will not have a material effect on the Company's consolidated financial statements.</w:t>
      </w:r>
    </w:p>
    <w:p>
      <w:pPr>
        <w:spacing w:after="0" w:line="189"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In February 1997, the Financial Accounting Standards Board issued Statement of Financial Accounting Standards No. 128, "Earnings Per Share" ("FAS 128"). FAS 128 establishes standards for computing and presenting earnings per share ("EPS"). FAS 128 replaces the presentation of primary EPS with a presentation of basic EPS which excludes dilution and is computed by dividing income available to common shareholders by the weighted-average number of common shares outstanding during the period. This statement also requires dual presentation of basic EPS and diluted EPS on the face of the income statement for all periods presented. FAS 128 is effective for financial statements issued for periods ending after December 15, 1997,</w:t>
      </w:r>
    </w:p>
    <w:p>
      <w:pPr>
        <w:spacing w:after="0" w:line="36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0219"/>
          </w:cols>
          <w:pgMar w:left="240" w:top="295"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350" w:lineRule="exact"/>
        <w:rPr>
          <w:sz w:val="20"/>
          <w:szCs w:val="20"/>
          <w:color w:val="auto"/>
        </w:rPr>
      </w:pPr>
    </w:p>
    <w:p>
      <w:pPr>
        <w:ind w:right="2659"/>
        <w:spacing w:after="0" w:line="262" w:lineRule="auto"/>
        <w:rPr>
          <w:sz w:val="20"/>
          <w:szCs w:val="20"/>
          <w:color w:val="auto"/>
        </w:rPr>
      </w:pPr>
      <w:r>
        <w:rPr>
          <w:rFonts w:ascii="Courier New" w:cs="Courier New" w:eastAsia="Courier New" w:hAnsi="Courier New"/>
          <w:sz w:val="15"/>
          <w:szCs w:val="15"/>
          <w:color w:val="auto"/>
        </w:rPr>
        <w:t>including interim periods. The Company plans to adopt FAS 128 in the first quarter of 1998 for the year ended September 30, 1998. If FAS 128 had been adopted at March 29, 1997, basic and diluted earnings (loss) per share would be: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322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THREE MONTHS ENDED</w:t>
            </w:r>
          </w:p>
        </w:tc>
        <w:tc>
          <w:tcPr>
            <w:tcW w:w="660" w:type="dxa"/>
            <w:vAlign w:val="bottom"/>
          </w:tcPr>
          <w:p>
            <w:pPr>
              <w:spacing w:after="0"/>
              <w:rPr>
                <w:sz w:val="15"/>
                <w:szCs w:val="15"/>
                <w:color w:val="auto"/>
              </w:rPr>
            </w:pPr>
          </w:p>
        </w:tc>
        <w:tc>
          <w:tcPr>
            <w:tcW w:w="236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340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400" w:type="dxa"/>
            <w:vAlign w:val="bottom"/>
          </w:tcPr>
          <w:p>
            <w:pPr>
              <w:spacing w:after="0"/>
              <w:rPr>
                <w:sz w:val="15"/>
                <w:szCs w:val="15"/>
                <w:color w:val="auto"/>
              </w:rPr>
            </w:pPr>
          </w:p>
        </w:tc>
        <w:tc>
          <w:tcPr>
            <w:tcW w:w="1900" w:type="dxa"/>
            <w:vAlign w:val="bottom"/>
          </w:tcPr>
          <w:p>
            <w:pPr>
              <w:ind w:left="280"/>
              <w:spacing w:after="0"/>
              <w:rPr>
                <w:sz w:val="20"/>
                <w:szCs w:val="20"/>
                <w:color w:val="auto"/>
              </w:rPr>
            </w:pPr>
            <w:r>
              <w:rPr>
                <w:rFonts w:ascii="Courier New" w:cs="Courier New" w:eastAsia="Courier New" w:hAnsi="Courier New"/>
                <w:sz w:val="16"/>
                <w:szCs w:val="16"/>
                <w:color w:val="auto"/>
              </w:rPr>
              <w:t>MARCH 29</w:t>
            </w:r>
          </w:p>
        </w:tc>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MARCH 30</w:t>
            </w:r>
          </w:p>
        </w:tc>
        <w:tc>
          <w:tcPr>
            <w:tcW w:w="17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MARCH 29</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MARCH 30</w:t>
            </w:r>
          </w:p>
        </w:tc>
      </w:tr>
      <w:tr>
        <w:trPr>
          <w:trHeight w:val="182"/>
        </w:trPr>
        <w:tc>
          <w:tcPr>
            <w:tcW w:w="3400" w:type="dxa"/>
            <w:vAlign w:val="bottom"/>
          </w:tcPr>
          <w:p>
            <w:pPr>
              <w:spacing w:after="0"/>
              <w:rPr>
                <w:sz w:val="15"/>
                <w:szCs w:val="15"/>
                <w:color w:val="auto"/>
              </w:rPr>
            </w:pPr>
          </w:p>
        </w:tc>
        <w:tc>
          <w:tcPr>
            <w:tcW w:w="1900" w:type="dxa"/>
            <w:vAlign w:val="bottom"/>
          </w:tcPr>
          <w:p>
            <w:pPr>
              <w:jc w:val="center"/>
              <w:ind w:right="481"/>
              <w:spacing w:after="0"/>
              <w:rPr>
                <w:sz w:val="20"/>
                <w:szCs w:val="20"/>
                <w:color w:val="auto"/>
              </w:rPr>
            </w:pPr>
            <w:r>
              <w:rPr>
                <w:rFonts w:ascii="Courier New" w:cs="Courier New" w:eastAsia="Courier New" w:hAnsi="Courier New"/>
                <w:sz w:val="16"/>
                <w:szCs w:val="16"/>
                <w:color w:val="auto"/>
                <w:w w:val="98"/>
              </w:rPr>
              <w:t>1997</w:t>
            </w:r>
          </w:p>
        </w:tc>
        <w:tc>
          <w:tcPr>
            <w:tcW w:w="180" w:type="dxa"/>
            <w:vAlign w:val="bottom"/>
          </w:tcPr>
          <w:p>
            <w:pPr>
              <w:spacing w:after="0"/>
              <w:rPr>
                <w:sz w:val="15"/>
                <w:szCs w:val="15"/>
                <w:color w:val="auto"/>
              </w:rPr>
            </w:pPr>
          </w:p>
        </w:tc>
        <w:tc>
          <w:tcPr>
            <w:tcW w:w="11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3"/>
              </w:rPr>
              <w:t>1996</w:t>
            </w:r>
          </w:p>
        </w:tc>
        <w:tc>
          <w:tcPr>
            <w:tcW w:w="660" w:type="dxa"/>
            <w:vAlign w:val="bottom"/>
          </w:tcPr>
          <w:p>
            <w:pPr>
              <w:spacing w:after="0"/>
              <w:rPr>
                <w:sz w:val="15"/>
                <w:szCs w:val="15"/>
                <w:color w:val="auto"/>
              </w:rPr>
            </w:pPr>
          </w:p>
        </w:tc>
        <w:tc>
          <w:tcPr>
            <w:tcW w:w="10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3"/>
              </w:rPr>
              <w:t>1997</w:t>
            </w:r>
          </w:p>
        </w:tc>
        <w:tc>
          <w:tcPr>
            <w:tcW w:w="66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1996</w:t>
            </w:r>
          </w:p>
        </w:tc>
      </w:tr>
      <w:tr>
        <w:trPr>
          <w:trHeight w:val="182"/>
        </w:trPr>
        <w:tc>
          <w:tcPr>
            <w:tcW w:w="3400" w:type="dxa"/>
            <w:vAlign w:val="bottom"/>
          </w:tcPr>
          <w:p>
            <w:pPr>
              <w:spacing w:after="0"/>
              <w:rPr>
                <w:sz w:val="15"/>
                <w:szCs w:val="15"/>
                <w:color w:val="auto"/>
              </w:rPr>
            </w:pPr>
          </w:p>
        </w:tc>
        <w:tc>
          <w:tcPr>
            <w:tcW w:w="190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Basic earnings (loss) per share</w:t>
            </w:r>
          </w:p>
        </w:tc>
        <w:tc>
          <w:tcPr>
            <w:tcW w:w="190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7"/>
              </w:rPr>
              <w:t>$ 1.37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2"/>
        </w:trPr>
        <w:tc>
          <w:tcPr>
            <w:tcW w:w="3400" w:type="dxa"/>
            <w:vAlign w:val="bottom"/>
          </w:tcPr>
          <w:p>
            <w:pPr>
              <w:spacing w:after="0"/>
              <w:rPr>
                <w:sz w:val="15"/>
                <w:szCs w:val="15"/>
                <w:color w:val="auto"/>
              </w:rPr>
            </w:pPr>
          </w:p>
        </w:tc>
        <w:tc>
          <w:tcPr>
            <w:tcW w:w="190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Diluted earnings (loss) per share</w:t>
            </w:r>
          </w:p>
        </w:tc>
        <w:tc>
          <w:tcPr>
            <w:tcW w:w="190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7"/>
              </w:rPr>
              <w:t>$  .95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2"/>
        </w:trPr>
        <w:tc>
          <w:tcPr>
            <w:tcW w:w="3400" w:type="dxa"/>
            <w:vAlign w:val="bottom"/>
          </w:tcPr>
          <w:p>
            <w:pPr>
              <w:spacing w:after="0"/>
              <w:rPr>
                <w:sz w:val="15"/>
                <w:szCs w:val="15"/>
                <w:color w:val="auto"/>
              </w:rPr>
            </w:pPr>
          </w:p>
        </w:tc>
        <w:tc>
          <w:tcPr>
            <w:tcW w:w="190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7"/>
              </w:rPr>
              <w:t>======</w:t>
            </w:r>
          </w:p>
        </w:tc>
        <w:tc>
          <w:tcPr>
            <w:tcW w:w="13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On January 3, 1997, the Company acquired the approximately two-thirds interest in Miracle Holdings Limited ("Miracle Holdings") which the Company did not already own. Miracle Holdings owns MGC Limited, a manufacturer and distributor of lawn and garden products in the United Kingdom.</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 FOR THE REMAINDER OF 1997</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Looking forward to the remaining six months of fiscal 1997, management expects a continuation of the return to profitability demonstrated in the first six months of the year. The primary factors contributing to 1997's improvement over 1996 include the discontinuance of the Consumer Lawns Group's retailer early purchase program; alignment of the business groups to provide better focus on, and accountability for, performance; and the positive impacts of fiscal 1996 restructuring efforts. However, these changes, along with inherent risks of a seasonal business, present several challenges for 1997.</w:t>
      </w:r>
    </w:p>
    <w:p>
      <w:pPr>
        <w:spacing w:after="0" w:line="187"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As noted in previous reports, the Consumer Lawns Business Group's marketing strategy has been refocused on consumer directed, "pull" advertising and less on retailer directed, "push" promotional programs heavily relied upon in recent years. Management believes results for the first six months of fiscal 1997 indicate general marketplace acceptance of this strategy. However, weather conditions in North America and in Northern Europe have a significant impact on the quarterly timing of sales of the Company's products, especially in the spring selling season. After adjustment for the 1995 early purchase program, the Company has historically generated 66% to 68% of its annual revenues in its second and third fiscal quarters. Management expects this relationship to become slightly more pronounced with the change in the consumer lawns marketing and promotional programs, and the trend in both its consumer and professional markets toward "just-in-time" product purchasing.</w:t>
      </w:r>
    </w:p>
    <w:p>
      <w:pPr>
        <w:spacing w:after="0" w:line="190"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Management expects 1997 gross profit margins to continue to show improvement over 1996 as a result of the recovery of the relatively higher margin consumer lawns business, higher volumes increasing manufacturing distribution efficiencies, and the discontinuance of certain lower margin products. In the last quarter of 1997, the Company plans to change over to plastic packaging for its key consumer lawns products and update the technology of one of its key manufacturing lines. These planned changes, along with the general direction toward simplifying its product lines, may put temporary downward pressure on gross profit margins during the transition period as new processes start up and old products are phased out.</w:t>
      </w:r>
    </w:p>
    <w:p>
      <w:pPr>
        <w:spacing w:after="0" w:line="188" w:lineRule="exact"/>
        <w:rPr>
          <w:sz w:val="20"/>
          <w:szCs w:val="20"/>
          <w:color w:val="auto"/>
        </w:rPr>
      </w:pPr>
    </w:p>
    <w:p>
      <w:pPr>
        <w:ind w:right="3119"/>
        <w:spacing w:after="0" w:line="267" w:lineRule="auto"/>
        <w:rPr>
          <w:sz w:val="20"/>
          <w:szCs w:val="20"/>
          <w:color w:val="auto"/>
        </w:rPr>
      </w:pPr>
      <w:r>
        <w:rPr>
          <w:rFonts w:ascii="Courier New" w:cs="Courier New" w:eastAsia="Courier New" w:hAnsi="Courier New"/>
          <w:sz w:val="15"/>
          <w:szCs w:val="15"/>
          <w:color w:val="auto"/>
        </w:rPr>
        <w:t>The Company expects a lower effective tax rate in 1997 in the range of 42% to 44%, principally as a result of the anticipated return to profitability.</w:t>
      </w:r>
    </w:p>
    <w:p>
      <w:pPr>
        <w:spacing w:after="0" w:line="168"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The Company has made and will make certain forward-looking statements in this quarterly report and in other contexts regarding future economic performance and finances, plans and objectives of management, among others. In some cases, information regarding certain important factors that could cause actual results to differ materially from any such forward-looking statement appear together with such statement. Furthermore, the following factors, in addition to other possible factors not listed, could affect the company's actual results and cause such results to differ materially from those expressed in forward-looking statements. These factors include weather conditions in North America and in Northern Europe which have a significant impact on timing of sales in the spring selling season and overall annual sales; continued marketplace acceptance of the Company's Consumer Lawns and Gardens Group's "pull" advertising marketing strategies, especially in the Consumer Lawn's Group which refocused its general marketing strategy beginning in fiscal 1996; competition among lawn and garden product producers supplying the consumer and professional markets, both domestically and internationally; competition between retail outlets selling lawn and garden products produced by the Company; public perceptions regarding the safety of products produced and supplied by the Company; continued changes in economic conditions; risks inherent to international development; and other factors set forth in the Company's letters to shareholders and analysts, press releases and filings with the Securities and Exchange Commission.</w:t>
      </w:r>
    </w:p>
    <w:p>
      <w:pPr>
        <w:sectPr>
          <w:pgSz w:w="11900" w:h="16838" w:orient="portrait"/>
          <w:cols w:equalWidth="0" w:num="1">
            <w:col w:w="10219"/>
          </w:cols>
          <w:pgMar w:left="240" w:top="295" w:right="1440" w:bottom="0" w:gutter="0" w:footer="0" w:header="0"/>
        </w:sectPr>
      </w:pPr>
    </w:p>
    <w:bookmarkStart w:id="20" w:name="page21"/>
    <w:bookmarkEnd w:id="20"/>
    <w:p>
      <w:pPr>
        <w:ind w:left="230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9019"/>
          </w:cols>
          <w:pgMar w:left="1440" w:top="323"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346"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Part II - OTHER INFORMATION</w:t>
      </w:r>
    </w:p>
    <w:p>
      <w:pPr>
        <w:spacing w:after="0" w:line="36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ind w:left="840" w:right="2839"/>
        <w:spacing w:after="0" w:line="239" w:lineRule="auto"/>
        <w:rPr>
          <w:sz w:val="20"/>
          <w:szCs w:val="20"/>
          <w:color w:val="auto"/>
        </w:rPr>
      </w:pPr>
      <w:r>
        <w:rPr>
          <w:rFonts w:ascii="Courier New" w:cs="Courier New" w:eastAsia="Courier New" w:hAnsi="Courier New"/>
          <w:sz w:val="16"/>
          <w:szCs w:val="16"/>
          <w:color w:val="auto"/>
        </w:rPr>
        <w:t>On January 16, 1997, Pursell and the Company settled two lawsuits pursuant to a confidential Settlement Agreement and Release (the "Settlement Agreement"). Under the terms of the Settlement Agreement, both actions have been dismissed with prejudice. Full and complete releases were exchanged by the parties, and the Company granted to Pursell a fully paid-up, non-exclusive license under the Company's Poly-S patents.</w:t>
      </w:r>
    </w:p>
    <w:p>
      <w:pPr>
        <w:spacing w:after="0" w:line="192" w:lineRule="exact"/>
        <w:rPr>
          <w:sz w:val="20"/>
          <w:szCs w:val="20"/>
          <w:color w:val="auto"/>
        </w:rPr>
      </w:pPr>
    </w:p>
    <w:p>
      <w:pPr>
        <w:ind w:left="840" w:right="2659"/>
        <w:spacing w:after="0"/>
        <w:rPr>
          <w:sz w:val="20"/>
          <w:szCs w:val="20"/>
          <w:color w:val="auto"/>
        </w:rPr>
      </w:pPr>
      <w:r>
        <w:rPr>
          <w:rFonts w:ascii="Courier New" w:cs="Courier New" w:eastAsia="Courier New" w:hAnsi="Courier New"/>
          <w:sz w:val="16"/>
          <w:szCs w:val="16"/>
          <w:color w:val="auto"/>
        </w:rPr>
        <w:t>The Company has been assessing and, as necessary, addressing certain environmental issues regarding the wastewater treatment plants currently operating at its Marysville facility. Specifically, it has been considering whether to upgrade the existing treatment plants or to attempt to tie the facility's wastewater into the City of Marysville's municipal treatment system. Additionally, the Company has been assessing, under Ohio's new Voluntary Action Program, the possible remediation of several discontinued on-site waste disposal areas dating back to the early operations of its Marysville facility.</w:t>
      </w:r>
    </w:p>
    <w:p>
      <w:pPr>
        <w:spacing w:after="0" w:line="188" w:lineRule="exact"/>
        <w:rPr>
          <w:sz w:val="20"/>
          <w:szCs w:val="20"/>
          <w:color w:val="auto"/>
        </w:rPr>
      </w:pPr>
    </w:p>
    <w:p>
      <w:pPr>
        <w:ind w:left="840" w:right="2759"/>
        <w:spacing w:after="0"/>
        <w:rPr>
          <w:sz w:val="20"/>
          <w:szCs w:val="20"/>
          <w:color w:val="auto"/>
        </w:rPr>
      </w:pPr>
      <w:r>
        <w:rPr>
          <w:rFonts w:ascii="Courier New" w:cs="Courier New" w:eastAsia="Courier New" w:hAnsi="Courier New"/>
          <w:sz w:val="16"/>
          <w:szCs w:val="16"/>
          <w:color w:val="auto"/>
        </w:rPr>
        <w:t>On February 11, 1997, the Company was informed that the Ohio EPA was referring certain matters relating to the Company's wastewater treatment plants and on-site disposal areas to the Ohio Attorney General's office. Representatives from the Ohio EPA, the Ohio Attorney General's office and the Company have had one meeting subsequent to February 11 to discuss these issues. Although the Company has not yet been informed as to the specific nature of any issues or the expected remedial response, all parties have expressed an interest in reaching an amicable resolution. The Company expects that a consent order will be negotiated with the Ohio EPA.</w:t>
      </w:r>
    </w:p>
    <w:p>
      <w:pPr>
        <w:spacing w:after="0" w:line="188" w:lineRule="exact"/>
        <w:rPr>
          <w:sz w:val="20"/>
          <w:szCs w:val="20"/>
          <w:color w:val="auto"/>
        </w:rPr>
      </w:pPr>
    </w:p>
    <w:p>
      <w:pPr>
        <w:ind w:left="840" w:right="2659"/>
        <w:spacing w:after="0" w:line="239" w:lineRule="auto"/>
        <w:rPr>
          <w:sz w:val="20"/>
          <w:szCs w:val="20"/>
          <w:color w:val="auto"/>
        </w:rPr>
      </w:pPr>
      <w:r>
        <w:rPr>
          <w:rFonts w:ascii="Courier New" w:cs="Courier New" w:eastAsia="Courier New" w:hAnsi="Courier New"/>
          <w:sz w:val="16"/>
          <w:szCs w:val="16"/>
          <w:color w:val="auto"/>
        </w:rPr>
        <w:t>The Company does not believe that any proceedings which may result from the Ohio EPA's referral of these matters to the Ohio Attorney General will be material to the business or financial condition of the Company but is unable, at this early stage, to predict the outcome of these issues.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 Submission of Matters to a Vote of Security Holders</w:t>
      </w:r>
    </w:p>
    <w:p>
      <w:pPr>
        <w:spacing w:after="0" w:line="186" w:lineRule="exact"/>
        <w:rPr>
          <w:sz w:val="20"/>
          <w:szCs w:val="20"/>
          <w:color w:val="auto"/>
        </w:rPr>
      </w:pPr>
    </w:p>
    <w:p>
      <w:pPr>
        <w:ind w:left="840" w:right="3499"/>
        <w:spacing w:after="0" w:line="267" w:lineRule="auto"/>
        <w:rPr>
          <w:sz w:val="20"/>
          <w:szCs w:val="20"/>
          <w:color w:val="auto"/>
        </w:rPr>
      </w:pPr>
      <w:r>
        <w:rPr>
          <w:rFonts w:ascii="Courier New" w:cs="Courier New" w:eastAsia="Courier New" w:hAnsi="Courier New"/>
          <w:sz w:val="15"/>
          <w:szCs w:val="15"/>
          <w:color w:val="auto"/>
        </w:rPr>
        <w:t>The Annual Meeting of Shareholders of the Company (the "Annual Meeting") was held in Columbus, Ohio on March 12, 1997.</w:t>
      </w:r>
    </w:p>
    <w:p>
      <w:pPr>
        <w:spacing w:after="0" w:line="168" w:lineRule="exact"/>
        <w:rPr>
          <w:sz w:val="20"/>
          <w:szCs w:val="20"/>
          <w:color w:val="auto"/>
        </w:rPr>
      </w:pPr>
    </w:p>
    <w:p>
      <w:pPr>
        <w:jc w:val="both"/>
        <w:ind w:left="840" w:right="3119"/>
        <w:spacing w:after="0" w:line="267" w:lineRule="auto"/>
        <w:rPr>
          <w:sz w:val="20"/>
          <w:szCs w:val="20"/>
          <w:color w:val="auto"/>
        </w:rPr>
      </w:pPr>
      <w:r>
        <w:rPr>
          <w:rFonts w:ascii="Courier New" w:cs="Courier New" w:eastAsia="Courier New" w:hAnsi="Courier New"/>
          <w:sz w:val="15"/>
          <w:szCs w:val="15"/>
          <w:color w:val="auto"/>
        </w:rPr>
        <w:t>The result of the vote of the shareholders for each of the matters submitted to the shareholders at the Annual Meeting is as follows:</w:t>
      </w:r>
    </w:p>
    <w:p>
      <w:pPr>
        <w:spacing w:after="0" w:line="168" w:lineRule="exact"/>
        <w:rPr>
          <w:sz w:val="20"/>
          <w:szCs w:val="20"/>
          <w:color w:val="auto"/>
        </w:rPr>
      </w:pPr>
    </w:p>
    <w:p>
      <w:pPr>
        <w:ind w:left="1700" w:right="2759" w:hanging="852"/>
        <w:spacing w:after="0" w:line="237"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proposal to elect four directors for terms of three years each:</w:t>
      </w:r>
    </w:p>
    <w:p>
      <w:pPr>
        <w:spacing w:after="0" w:line="200" w:lineRule="exact"/>
        <w:rPr>
          <w:sz w:val="20"/>
          <w:szCs w:val="20"/>
          <w:color w:val="auto"/>
        </w:rPr>
      </w:pPr>
    </w:p>
    <w:p>
      <w:pPr>
        <w:spacing w:after="0" w:line="347" w:lineRule="exact"/>
        <w:rPr>
          <w:sz w:val="20"/>
          <w:szCs w:val="20"/>
          <w:color w:val="auto"/>
        </w:rPr>
      </w:pPr>
    </w:p>
    <w:tbl>
      <w:tblPr>
        <w:tblLayout w:type="fixed"/>
        <w:tblInd w:w="1600" w:type="dxa"/>
        <w:tblCellMar>
          <w:top w:w="0" w:type="dxa"/>
          <w:left w:w="0" w:type="dxa"/>
          <w:bottom w:w="0" w:type="dxa"/>
          <w:right w:w="0" w:type="dxa"/>
        </w:tblCellMar>
      </w:tblPr>
      <w:tr>
        <w:trPr>
          <w:trHeight w:val="181"/>
        </w:trPr>
        <w:tc>
          <w:tcPr>
            <w:tcW w:w="110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NOMINEE</w:t>
            </w:r>
          </w:p>
        </w:tc>
        <w:tc>
          <w:tcPr>
            <w:tcW w:w="2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VOTES FOR</w:t>
            </w: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rPr>
              <w:t>WITHHELD</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NOT VOTED</w:t>
            </w:r>
          </w:p>
        </w:tc>
      </w:tr>
      <w:tr>
        <w:trPr>
          <w:trHeight w:val="182"/>
        </w:trPr>
        <w:tc>
          <w:tcPr>
            <w:tcW w:w="110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3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James B Beard</w:t>
            </w:r>
          </w:p>
        </w:tc>
        <w:tc>
          <w:tcPr>
            <w:tcW w:w="2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25,855,642</w:t>
            </w:r>
          </w:p>
        </w:tc>
        <w:tc>
          <w:tcPr>
            <w:tcW w:w="17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227,565</w:t>
            </w:r>
          </w:p>
        </w:tc>
      </w:tr>
      <w:tr>
        <w:trPr>
          <w:trHeight w:val="182"/>
        </w:trPr>
        <w:tc>
          <w:tcPr>
            <w:tcW w:w="1100" w:type="dxa"/>
            <w:vAlign w:val="bottom"/>
          </w:tcPr>
          <w:p>
            <w:pPr>
              <w:spacing w:after="0"/>
              <w:rPr>
                <w:sz w:val="20"/>
                <w:szCs w:val="20"/>
                <w:color w:val="auto"/>
              </w:rPr>
            </w:pPr>
            <w:r>
              <w:rPr>
                <w:rFonts w:ascii="Courier New" w:cs="Courier New" w:eastAsia="Courier New" w:hAnsi="Courier New"/>
                <w:sz w:val="16"/>
                <w:szCs w:val="16"/>
                <w:color w:val="auto"/>
              </w:rPr>
              <w:t>John Kenlon</w:t>
            </w:r>
          </w:p>
        </w:tc>
        <w:tc>
          <w:tcPr>
            <w:tcW w:w="1600" w:type="dxa"/>
            <w:vAlign w:val="bottom"/>
          </w:tcPr>
          <w:p>
            <w:pPr>
              <w:spacing w:after="0"/>
              <w:rPr>
                <w:sz w:val="15"/>
                <w:szCs w:val="15"/>
                <w:color w:val="auto"/>
              </w:rPr>
            </w:pPr>
          </w:p>
        </w:tc>
        <w:tc>
          <w:tcPr>
            <w:tcW w:w="2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25,854,492</w:t>
            </w:r>
          </w:p>
        </w:tc>
        <w:tc>
          <w:tcPr>
            <w:tcW w:w="17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228,715</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John M. Sullivan</w:t>
            </w:r>
          </w:p>
        </w:tc>
        <w:tc>
          <w:tcPr>
            <w:tcW w:w="2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25,852,492</w:t>
            </w:r>
          </w:p>
        </w:tc>
        <w:tc>
          <w:tcPr>
            <w:tcW w:w="17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230,715</w:t>
            </w:r>
          </w:p>
        </w:tc>
      </w:tr>
      <w:tr>
        <w:trPr>
          <w:trHeight w:val="182"/>
        </w:trPr>
        <w:tc>
          <w:tcPr>
            <w:tcW w:w="1100" w:type="dxa"/>
            <w:vAlign w:val="bottom"/>
          </w:tcPr>
          <w:p>
            <w:pPr>
              <w:spacing w:after="0"/>
              <w:rPr>
                <w:sz w:val="20"/>
                <w:szCs w:val="20"/>
                <w:color w:val="auto"/>
              </w:rPr>
            </w:pPr>
            <w:r>
              <w:rPr>
                <w:rFonts w:ascii="Courier New" w:cs="Courier New" w:eastAsia="Courier New" w:hAnsi="Courier New"/>
                <w:sz w:val="16"/>
                <w:szCs w:val="16"/>
                <w:color w:val="auto"/>
              </w:rPr>
              <w:t>L. Jack Van</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Fossen</w:t>
            </w:r>
          </w:p>
        </w:tc>
        <w:tc>
          <w:tcPr>
            <w:tcW w:w="2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25,833,084</w:t>
            </w:r>
          </w:p>
        </w:tc>
        <w:tc>
          <w:tcPr>
            <w:tcW w:w="17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250,123</w:t>
            </w:r>
          </w:p>
        </w:tc>
      </w:tr>
    </w:tbl>
    <w:p>
      <w:pPr>
        <w:spacing w:after="0" w:line="368" w:lineRule="exact"/>
        <w:rPr>
          <w:sz w:val="20"/>
          <w:szCs w:val="20"/>
          <w:color w:val="auto"/>
        </w:rPr>
      </w:pPr>
    </w:p>
    <w:p>
      <w:pPr>
        <w:ind w:left="840" w:right="2659"/>
        <w:spacing w:after="0" w:line="239" w:lineRule="auto"/>
        <w:rPr>
          <w:sz w:val="20"/>
          <w:szCs w:val="20"/>
          <w:color w:val="auto"/>
        </w:rPr>
      </w:pPr>
      <w:r>
        <w:rPr>
          <w:rFonts w:ascii="Courier New" w:cs="Courier New" w:eastAsia="Courier New" w:hAnsi="Courier New"/>
          <w:sz w:val="16"/>
          <w:szCs w:val="16"/>
          <w:color w:val="auto"/>
        </w:rPr>
        <w:t>Each of the nominees was elected. The other Directors whose terms of office continue after the Annual Meeting are John S. Chamberlin, Joseph P. Flannery, Horace Hagedorn, Donald A. Sherman, Charles M. Berger, James Hagedorn, Karen G. Mills, and Tadd C. Seitz.</w:t>
      </w:r>
    </w:p>
    <w:p>
      <w:pPr>
        <w:spacing w:after="0" w:line="187" w:lineRule="exact"/>
        <w:rPr>
          <w:sz w:val="20"/>
          <w:szCs w:val="20"/>
          <w:color w:val="auto"/>
        </w:rPr>
      </w:pPr>
    </w:p>
    <w:p>
      <w:pPr>
        <w:ind w:left="1700" w:right="2659" w:hanging="852"/>
        <w:spacing w:after="0" w:line="238" w:lineRule="auto"/>
        <w:tabs>
          <w:tab w:leader="none" w:pos="1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proposal to increase the number of common shares available under The Scotts Company 1996 Stock Option Plan to 3,000,000 common shares:</w:t>
      </w:r>
    </w:p>
    <w:p>
      <w:pPr>
        <w:spacing w:after="0" w:line="200" w:lineRule="exact"/>
        <w:rPr>
          <w:sz w:val="20"/>
          <w:szCs w:val="20"/>
          <w:color w:val="auto"/>
        </w:rPr>
      </w:pPr>
    </w:p>
    <w:p>
      <w:pPr>
        <w:spacing w:after="0" w:line="348" w:lineRule="exact"/>
        <w:rPr>
          <w:sz w:val="20"/>
          <w:szCs w:val="20"/>
          <w:color w:val="auto"/>
        </w:rPr>
      </w:pPr>
    </w:p>
    <w:tbl>
      <w:tblPr>
        <w:tblLayout w:type="fixed"/>
        <w:tblInd w:w="1800" w:type="dxa"/>
        <w:tblCellMar>
          <w:top w:w="0" w:type="dxa"/>
          <w:left w:w="0" w:type="dxa"/>
          <w:bottom w:w="0" w:type="dxa"/>
          <w:right w:w="0" w:type="dxa"/>
        </w:tblCellMar>
      </w:tblPr>
      <w:tr>
        <w:trPr>
          <w:trHeight w:val="181"/>
        </w:trPr>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FOR</w:t>
            </w:r>
          </w:p>
        </w:tc>
        <w:tc>
          <w:tcPr>
            <w:tcW w:w="2220" w:type="dxa"/>
            <w:vAlign w:val="bottom"/>
          </w:tcPr>
          <w:p>
            <w:pPr>
              <w:ind w:left="660"/>
              <w:spacing w:after="0"/>
              <w:rPr>
                <w:sz w:val="20"/>
                <w:szCs w:val="20"/>
                <w:color w:val="auto"/>
              </w:rPr>
            </w:pPr>
            <w:r>
              <w:rPr>
                <w:rFonts w:ascii="Courier New" w:cs="Courier New" w:eastAsia="Courier New" w:hAnsi="Courier New"/>
                <w:sz w:val="16"/>
                <w:szCs w:val="16"/>
                <w:color w:val="auto"/>
              </w:rPr>
              <w:t>AGAINST</w:t>
            </w:r>
          </w:p>
        </w:tc>
        <w:tc>
          <w:tcPr>
            <w:tcW w:w="2140" w:type="dxa"/>
            <w:vAlign w:val="bottom"/>
          </w:tcPr>
          <w:p>
            <w:pPr>
              <w:ind w:left="820"/>
              <w:spacing w:after="0"/>
              <w:rPr>
                <w:sz w:val="20"/>
                <w:szCs w:val="20"/>
                <w:color w:val="auto"/>
              </w:rPr>
            </w:pPr>
            <w:r>
              <w:rPr>
                <w:rFonts w:ascii="Courier New" w:cs="Courier New" w:eastAsia="Courier New" w:hAnsi="Courier New"/>
                <w:sz w:val="16"/>
                <w:szCs w:val="16"/>
                <w:color w:val="auto"/>
              </w:rPr>
              <w:t>ABSTAIN</w:t>
            </w:r>
          </w:p>
        </w:tc>
        <w:tc>
          <w:tcPr>
            <w:tcW w:w="2180" w:type="dxa"/>
            <w:vAlign w:val="bottom"/>
          </w:tcPr>
          <w:p>
            <w:pPr>
              <w:ind w:left="660"/>
              <w:spacing w:after="0"/>
              <w:rPr>
                <w:sz w:val="20"/>
                <w:szCs w:val="20"/>
                <w:color w:val="auto"/>
              </w:rPr>
            </w:pPr>
            <w:r>
              <w:rPr>
                <w:rFonts w:ascii="Courier New" w:cs="Courier New" w:eastAsia="Courier New" w:hAnsi="Courier New"/>
                <w:sz w:val="16"/>
                <w:szCs w:val="16"/>
                <w:color w:val="auto"/>
                <w:w w:val="97"/>
              </w:rPr>
              <w:t>BROKER NON VOTES</w:t>
            </w:r>
          </w:p>
        </w:tc>
      </w:tr>
      <w:tr>
        <w:trPr>
          <w:trHeight w:val="182"/>
        </w:trPr>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801"/>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ind w:left="820"/>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ind w:left="66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21,446,166</w:t>
            </w:r>
          </w:p>
        </w:tc>
        <w:tc>
          <w:tcPr>
            <w:tcW w:w="222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1,554,806</w:t>
            </w:r>
          </w:p>
        </w:tc>
        <w:tc>
          <w:tcPr>
            <w:tcW w:w="2140" w:type="dxa"/>
            <w:vAlign w:val="bottom"/>
          </w:tcPr>
          <w:p>
            <w:pPr>
              <w:ind w:left="820"/>
              <w:spacing w:after="0"/>
              <w:rPr>
                <w:sz w:val="20"/>
                <w:szCs w:val="20"/>
                <w:color w:val="auto"/>
              </w:rPr>
            </w:pPr>
            <w:r>
              <w:rPr>
                <w:rFonts w:ascii="Courier New" w:cs="Courier New" w:eastAsia="Courier New" w:hAnsi="Courier New"/>
                <w:sz w:val="16"/>
                <w:szCs w:val="16"/>
                <w:color w:val="auto"/>
              </w:rPr>
              <w:t>279,126</w:t>
            </w:r>
          </w:p>
        </w:tc>
        <w:tc>
          <w:tcPr>
            <w:tcW w:w="2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2,803,109</w:t>
            </w:r>
          </w:p>
        </w:tc>
      </w:tr>
    </w:tbl>
    <w:p>
      <w:pPr>
        <w:spacing w:after="0" w:line="36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proposal was approved.</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1320" w:right="2839" w:hanging="472"/>
        <w:spacing w:after="0" w:line="237" w:lineRule="auto"/>
        <w:tabs>
          <w:tab w:leader="none" w:pos="13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23 for a list of the exhibits included herewith.</w:t>
      </w:r>
    </w:p>
    <w:p>
      <w:pPr>
        <w:sectPr>
          <w:pgSz w:w="11900" w:h="16838" w:orient="portrait"/>
          <w:cols w:equalWidth="0" w:num="1">
            <w:col w:w="10219"/>
          </w:cols>
          <w:pgMar w:left="240" w:top="295" w:right="1440" w:bottom="0" w:gutter="0" w:footer="0" w:header="0"/>
        </w:sectPr>
      </w:pPr>
    </w:p>
    <w:bookmarkStart w:id="22" w:name="page23"/>
    <w:bookmarkEnd w:id="22"/>
    <w:p>
      <w:pPr>
        <w:ind w:left="472" w:right="2659" w:hanging="472"/>
        <w:spacing w:after="0" w:line="260" w:lineRule="auto"/>
        <w:tabs>
          <w:tab w:leader="none" w:pos="47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28, 1997, Scotts filed a Form 8-K to report under "Item 5 Other Events" the acquisition of the approximately two-thirds interest in Miracle Holdings Limited which the Company did not already own. No financial statements were required to be filed.</w:t>
      </w:r>
    </w:p>
    <w:p>
      <w:pPr>
        <w:spacing w:after="0" w:line="351" w:lineRule="exact"/>
        <w:rPr>
          <w:sz w:val="20"/>
          <w:szCs w:val="20"/>
          <w:color w:val="auto"/>
        </w:rPr>
      </w:pPr>
    </w:p>
    <w:p>
      <w:pPr>
        <w:ind w:left="2652"/>
        <w:spacing w:after="0"/>
        <w:rPr>
          <w:sz w:val="20"/>
          <w:szCs w:val="20"/>
          <w:color w:val="auto"/>
        </w:rPr>
      </w:pPr>
      <w:r>
        <w:rPr>
          <w:rFonts w:ascii="Courier New" w:cs="Courier New" w:eastAsia="Courier New" w:hAnsi="Courier New"/>
          <w:sz w:val="16"/>
          <w:szCs w:val="16"/>
          <w:color w:val="auto"/>
        </w:rPr>
        <w:t>Page 21</w:t>
      </w:r>
    </w:p>
    <w:p>
      <w:pPr>
        <w:sectPr>
          <w:pgSz w:w="11900" w:h="16838" w:orient="portrait"/>
          <w:cols w:equalWidth="0" w:num="1">
            <w:col w:w="9371"/>
          </w:cols>
          <w:pgMar w:left="1088" w:top="142"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341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/S/JEAN H. MORDO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2">
            <w:col w:w="3440" w:space="720"/>
            <w:col w:w="6059"/>
          </w:cols>
          <w:pgMar w:left="240" w:top="2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19"/>
          </w:cols>
          <w:pgMar w:left="240" w:top="295" w:right="1440" w:bottom="1440" w:gutter="0" w:footer="0" w:header="0"/>
          <w:type w:val="continuous"/>
        </w:sectPr>
      </w:pPr>
    </w:p>
    <w:bookmarkStart w:id="24" w:name="page25"/>
    <w:bookmarkEnd w:id="24"/>
    <w:p>
      <w:pPr>
        <w:ind w:left="100"/>
        <w:spacing w:after="0"/>
        <w:rPr>
          <w:sz w:val="20"/>
          <w:szCs w:val="20"/>
          <w:color w:val="auto"/>
        </w:rPr>
      </w:pPr>
      <w:r>
        <w:rPr>
          <w:rFonts w:ascii="Courier New" w:cs="Courier New" w:eastAsia="Courier New" w:hAnsi="Courier New"/>
          <w:sz w:val="16"/>
          <w:szCs w:val="16"/>
          <w:color w:val="auto"/>
        </w:rPr>
        <w:t>23</w:t>
      </w:r>
    </w:p>
    <w:p>
      <w:pPr>
        <w:spacing w:after="0" w:line="36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6"/>
          <w:szCs w:val="16"/>
          <w:color w:val="auto"/>
        </w:rPr>
        <w:t>QUARTERLY REPORT ON FORM 10-Q FOR</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5"/>
          <w:szCs w:val="15"/>
          <w:color w:val="auto"/>
        </w:rPr>
        <w:t>FISCAL QUARTER ENDED March 29, 1997</w:t>
      </w:r>
    </w:p>
    <w:p>
      <w:pPr>
        <w:spacing w:after="0" w:line="37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039"/>
          </w:cols>
          <w:pgMar w:left="420"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w:t>
      </w:r>
    </w:p>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NUMBER</w:t>
      </w:r>
    </w:p>
    <w:p>
      <w:pPr>
        <w:spacing w:after="0" w:line="1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3">
            <w:col w:w="2320" w:space="720"/>
            <w:col w:w="2780" w:space="720"/>
            <w:col w:w="3499"/>
          </w:cols>
          <w:pgMar w:left="420" w:top="295"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10(a)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Scotts Company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amended through March 12,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24-32</w:t>
      </w:r>
    </w:p>
    <w:p>
      <w:pPr>
        <w:spacing w:after="0" w:line="557" w:lineRule="exact"/>
        <w:rPr>
          <w:sz w:val="20"/>
          <w:szCs w:val="20"/>
          <w:color w:val="auto"/>
        </w:rPr>
      </w:pPr>
    </w:p>
    <w:p>
      <w:pPr>
        <w:sectPr>
          <w:pgSz w:w="11900" w:h="16838" w:orient="portrait"/>
          <w:cols w:equalWidth="0" w:num="3">
            <w:col w:w="580" w:space="560"/>
            <w:col w:w="4760" w:space="720"/>
            <w:col w:w="3419"/>
          </w:cols>
          <w:pgMar w:left="420" w:top="295" w:right="1440" w:bottom="1440" w:gutter="0" w:footer="0" w:header="0"/>
          <w:type w:val="continuous"/>
        </w:sectPr>
      </w:pPr>
    </w:p>
    <w:p>
      <w:pPr>
        <w:ind w:left="20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Letter regarding change in accounting principles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33</w:t>
      </w:r>
    </w:p>
    <w:p>
      <w:pPr>
        <w:spacing w:after="0" w:line="194" w:lineRule="exact"/>
        <w:rPr>
          <w:sz w:val="20"/>
          <w:szCs w:val="20"/>
          <w:color w:val="auto"/>
        </w:rPr>
      </w:pPr>
    </w:p>
    <w:p>
      <w:pPr>
        <w:sectPr>
          <w:pgSz w:w="11900" w:h="16838" w:orient="portrait"/>
          <w:cols w:equalWidth="0" w:num="3">
            <w:col w:w="420" w:space="720"/>
            <w:col w:w="5060" w:space="720"/>
            <w:col w:w="3119"/>
          </w:cols>
          <w:pgMar w:left="420" w:top="295" w:right="1440" w:bottom="1440" w:gutter="0" w:footer="0" w:header="0"/>
          <w:type w:val="continuous"/>
        </w:sectPr>
      </w:pPr>
    </w:p>
    <w:p>
      <w:pPr>
        <w:ind w:left="20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ectPr>
          <w:pgSz w:w="11900" w:h="16838" w:orient="portrait"/>
          <w:cols w:equalWidth="0" w:num="3">
            <w:col w:w="420" w:space="720"/>
            <w:col w:w="5060" w:space="720"/>
            <w:col w:w="3119"/>
          </w:cols>
          <w:pgMar w:left="420" w:top="295" w:right="1440" w:bottom="1440" w:gutter="0" w:footer="0" w:header="0"/>
          <w:type w:val="continuous"/>
        </w:sectPr>
      </w:pPr>
    </w:p>
    <w:p>
      <w:pPr>
        <w:spacing w:after="0" w:line="35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Page 23</w:t>
      </w:r>
    </w:p>
    <w:p>
      <w:pPr>
        <w:sectPr>
          <w:pgSz w:w="11900" w:h="16838" w:orient="portrait"/>
          <w:cols w:equalWidth="0" w:num="1">
            <w:col w:w="10039"/>
          </w:cols>
          <w:pgMar w:left="420" w:top="295" w:right="1440" w:bottom="1440"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1996 STOCK OPTION PLAN</w:t>
      </w:r>
    </w:p>
    <w:p>
      <w:pPr>
        <w:spacing w:after="0" w:line="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(REFLECTS AMENDMENTS THROUGH MARCH 12,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Page 24</w:t>
      </w:r>
    </w:p>
    <w:p>
      <w:pPr>
        <w:sectPr>
          <w:pgSz w:w="11900" w:h="16838" w:orient="portrait"/>
          <w:cols w:equalWidth="0" w:num="1">
            <w:col w:w="9939"/>
          </w:cols>
          <w:pgMar w:left="520" w:top="138" w:right="1440" w:bottom="1440" w:gutter="0" w:footer="0" w:header="0"/>
        </w:sectPr>
      </w:pPr>
    </w:p>
    <w:bookmarkStart w:id="26" w:name="page27"/>
    <w:bookmarkEnd w:id="26"/>
    <w:p>
      <w:pPr>
        <w:ind w:left="283"/>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46"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1996 STOCK OPTION PLAN</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(REFLECTS AMENDMENTS THROUGH MARCH 12, 1997)</w:t>
      </w:r>
    </w:p>
    <w:p>
      <w:pPr>
        <w:spacing w:after="0" w:line="364"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SECTION l.</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PURPOSE</w:t>
      </w:r>
    </w:p>
    <w:p>
      <w:pPr>
        <w:spacing w:after="0" w:line="186" w:lineRule="exact"/>
        <w:rPr>
          <w:sz w:val="20"/>
          <w:szCs w:val="20"/>
          <w:color w:val="auto"/>
        </w:rPr>
      </w:pPr>
    </w:p>
    <w:p>
      <w:pPr>
        <w:ind w:left="3" w:right="2939" w:firstLine="851"/>
        <w:spacing w:after="0" w:line="256" w:lineRule="auto"/>
        <w:rPr>
          <w:sz w:val="20"/>
          <w:szCs w:val="20"/>
          <w:color w:val="auto"/>
        </w:rPr>
      </w:pPr>
      <w:r>
        <w:rPr>
          <w:rFonts w:ascii="Courier New" w:cs="Courier New" w:eastAsia="Courier New" w:hAnsi="Courier New"/>
          <w:sz w:val="15"/>
          <w:szCs w:val="15"/>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left="3" w:right="2659" w:hanging="3"/>
        <w:spacing w:after="0" w:line="239" w:lineRule="auto"/>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185"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SECTION 2.</w:t>
      </w:r>
    </w:p>
    <w:p>
      <w:pPr>
        <w:spacing w:after="0" w:line="183"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DEFINITIONS</w:t>
      </w:r>
    </w:p>
    <w:p>
      <w:pPr>
        <w:spacing w:after="0" w:line="186" w:lineRule="exact"/>
        <w:rPr>
          <w:sz w:val="20"/>
          <w:szCs w:val="20"/>
          <w:color w:val="auto"/>
        </w:rPr>
      </w:pPr>
    </w:p>
    <w:p>
      <w:pPr>
        <w:ind w:left="3" w:right="2839" w:firstLine="851"/>
        <w:spacing w:after="0" w:line="237" w:lineRule="auto"/>
        <w:rPr>
          <w:sz w:val="20"/>
          <w:szCs w:val="20"/>
          <w:color w:val="auto"/>
        </w:rPr>
      </w:pPr>
      <w:r>
        <w:rPr>
          <w:rFonts w:ascii="Courier New" w:cs="Courier New" w:eastAsia="Courier New" w:hAnsi="Courier New"/>
          <w:sz w:val="16"/>
          <w:szCs w:val="16"/>
          <w:color w:val="auto"/>
        </w:rPr>
        <w:t>2.1 DEFINITIONS. Whenever used herein, the following terms shall have the respective meanings set forth below:</w:t>
      </w:r>
    </w:p>
    <w:p>
      <w:pPr>
        <w:spacing w:after="0" w:line="184" w:lineRule="exact"/>
        <w:rPr>
          <w:sz w:val="20"/>
          <w:szCs w:val="20"/>
          <w:color w:val="auto"/>
        </w:rPr>
      </w:pPr>
    </w:p>
    <w:p>
      <w:pPr>
        <w:ind w:left="1703" w:hanging="852"/>
        <w:spacing w:after="0"/>
        <w:tabs>
          <w:tab w:leader="none" w:pos="170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means the Securities Exchange Act of 1934, as amended.</w:t>
      </w:r>
    </w:p>
    <w:p>
      <w:pPr>
        <w:spacing w:after="0" w:line="182" w:lineRule="exact"/>
        <w:rPr>
          <w:rFonts w:ascii="Courier New" w:cs="Courier New" w:eastAsia="Courier New" w:hAnsi="Courier New"/>
          <w:sz w:val="16"/>
          <w:szCs w:val="16"/>
          <w:color w:val="auto"/>
        </w:rPr>
      </w:pPr>
    </w:p>
    <w:p>
      <w:pPr>
        <w:ind w:left="1703" w:hanging="852"/>
        <w:spacing w:after="0"/>
        <w:tabs>
          <w:tab w:leader="none" w:pos="170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any Option.</w:t>
      </w:r>
    </w:p>
    <w:p>
      <w:pPr>
        <w:spacing w:after="0" w:line="182" w:lineRule="exact"/>
        <w:rPr>
          <w:rFonts w:ascii="Courier New" w:cs="Courier New" w:eastAsia="Courier New" w:hAnsi="Courier New"/>
          <w:sz w:val="16"/>
          <w:szCs w:val="16"/>
          <w:color w:val="auto"/>
        </w:rPr>
      </w:pPr>
    </w:p>
    <w:p>
      <w:pPr>
        <w:ind w:left="1703" w:hanging="852"/>
        <w:spacing w:after="0"/>
        <w:tabs>
          <w:tab w:leader="none" w:pos="170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86" w:lineRule="exact"/>
        <w:rPr>
          <w:rFonts w:ascii="Courier New" w:cs="Courier New" w:eastAsia="Courier New" w:hAnsi="Courier New"/>
          <w:sz w:val="16"/>
          <w:szCs w:val="16"/>
          <w:color w:val="auto"/>
        </w:rPr>
      </w:pPr>
    </w:p>
    <w:p>
      <w:pPr>
        <w:ind w:left="3" w:right="2759" w:firstLine="848"/>
        <w:spacing w:after="0"/>
        <w:tabs>
          <w:tab w:leader="none" w:pos="170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184" w:lineRule="exact"/>
        <w:rPr>
          <w:rFonts w:ascii="Courier New" w:cs="Courier New" w:eastAsia="Courier New" w:hAnsi="Courier New"/>
          <w:sz w:val="16"/>
          <w:szCs w:val="16"/>
          <w:color w:val="auto"/>
        </w:rPr>
      </w:pPr>
    </w:p>
    <w:p>
      <w:pPr>
        <w:ind w:left="1703" w:hanging="852"/>
        <w:spacing w:after="0"/>
        <w:tabs>
          <w:tab w:leader="none" w:pos="170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occurrence of any of the</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events:</w:t>
      </w:r>
    </w:p>
    <w:p>
      <w:pPr>
        <w:spacing w:after="0" w:line="186" w:lineRule="exact"/>
        <w:rPr>
          <w:rFonts w:ascii="Courier New" w:cs="Courier New" w:eastAsia="Courier New" w:hAnsi="Courier New"/>
          <w:sz w:val="16"/>
          <w:szCs w:val="16"/>
          <w:color w:val="auto"/>
        </w:rPr>
      </w:pPr>
    </w:p>
    <w:p>
      <w:pPr>
        <w:ind w:left="843" w:right="2659" w:firstLine="859"/>
        <w:spacing w:after="0"/>
        <w:tabs>
          <w:tab w:leader="none" w:pos="207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187" w:lineRule="exact"/>
        <w:rPr>
          <w:rFonts w:ascii="Courier New" w:cs="Courier New" w:eastAsia="Courier New" w:hAnsi="Courier New"/>
          <w:sz w:val="16"/>
          <w:szCs w:val="16"/>
          <w:color w:val="auto"/>
        </w:rPr>
      </w:pPr>
    </w:p>
    <w:p>
      <w:pPr>
        <w:ind w:left="843" w:right="2659" w:firstLine="859"/>
        <w:spacing w:after="0" w:line="258" w:lineRule="auto"/>
        <w:tabs>
          <w:tab w:leader="none" w:pos="216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Sections 13(d) and 14(d)(2) of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49% of the combined voting power of the Company's then outstanding securities; or</w:t>
      </w:r>
    </w:p>
    <w:p>
      <w:pPr>
        <w:spacing w:after="0" w:line="176" w:lineRule="exact"/>
        <w:rPr>
          <w:rFonts w:ascii="Courier New" w:cs="Courier New" w:eastAsia="Courier New" w:hAnsi="Courier New"/>
          <w:sz w:val="15"/>
          <w:szCs w:val="15"/>
          <w:color w:val="auto"/>
        </w:rPr>
      </w:pPr>
    </w:p>
    <w:p>
      <w:pPr>
        <w:ind w:left="843" w:right="2839" w:firstLine="859"/>
        <w:spacing w:after="0" w:line="239" w:lineRule="auto"/>
        <w:tabs>
          <w:tab w:leader="none" w:pos="226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Company shall approve a definitive agreement (1) for the merger or other business combination of the Company with or into another corporation, a majority of the directors</w:t>
      </w:r>
    </w:p>
    <w:p>
      <w:pPr>
        <w:sectPr>
          <w:pgSz w:w="11900" w:h="16838" w:orient="portrait"/>
          <w:cols w:equalWidth="0" w:num="1">
            <w:col w:w="10222"/>
          </w:cols>
          <w:pgMar w:left="237" w:top="295" w:right="1440" w:bottom="1440" w:gutter="0" w:footer="0" w:header="0"/>
        </w:sectPr>
      </w:pPr>
    </w:p>
    <w:p>
      <w:pPr>
        <w:spacing w:after="0" w:line="369" w:lineRule="exact"/>
        <w:rPr>
          <w:sz w:val="20"/>
          <w:szCs w:val="20"/>
          <w:color w:val="auto"/>
        </w:rPr>
      </w:pPr>
    </w:p>
    <w:p>
      <w:pPr>
        <w:ind w:left="3403"/>
        <w:spacing w:after="0"/>
        <w:rPr>
          <w:sz w:val="20"/>
          <w:szCs w:val="20"/>
          <w:color w:val="auto"/>
        </w:rPr>
      </w:pPr>
      <w:r>
        <w:rPr>
          <w:rFonts w:ascii="Courier New" w:cs="Courier New" w:eastAsia="Courier New" w:hAnsi="Courier New"/>
          <w:sz w:val="15"/>
          <w:szCs w:val="15"/>
          <w:color w:val="auto"/>
        </w:rPr>
        <w:t>Page 25</w:t>
      </w:r>
    </w:p>
    <w:p>
      <w:pPr>
        <w:sectPr>
          <w:pgSz w:w="11900" w:h="16838" w:orient="portrait"/>
          <w:cols w:equalWidth="0" w:num="1">
            <w:col w:w="10222"/>
          </w:cols>
          <w:pgMar w:left="237" w:top="295"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ind w:left="560" w:right="2759"/>
        <w:spacing w:after="0" w:line="259" w:lineRule="auto"/>
        <w:rPr>
          <w:sz w:val="20"/>
          <w:szCs w:val="20"/>
          <w:color w:val="auto"/>
        </w:rPr>
      </w:pPr>
      <w:r>
        <w:rPr>
          <w:rFonts w:ascii="Courier New" w:cs="Courier New" w:eastAsia="Courier New" w:hAnsi="Courier New"/>
          <w:sz w:val="15"/>
          <w:szCs w:val="15"/>
          <w:color w:val="auto"/>
        </w:rPr>
        <w:t>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174" w:lineRule="exact"/>
        <w:rPr>
          <w:sz w:val="20"/>
          <w:szCs w:val="20"/>
          <w:color w:val="auto"/>
        </w:rPr>
      </w:pPr>
    </w:p>
    <w:p>
      <w:pPr>
        <w:ind w:left="560" w:right="2659" w:firstLine="859"/>
        <w:spacing w:after="0" w:line="259" w:lineRule="auto"/>
        <w:tabs>
          <w:tab w:leader="none" w:pos="188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Stock pursuant to any tender or exchange offer made by any "person," including a "group" (as such terms are used in Sections 13(d) and 14(d)(2) of the Act), other than the Company, any of its Subsidiaries, or an employee benefit plan of the Company or of any of its Subsidiaries, for more than 49% of the Stock of the Company.</w:t>
      </w:r>
    </w:p>
    <w:p>
      <w:pPr>
        <w:spacing w:after="0" w:line="174" w:lineRule="exact"/>
        <w:rPr>
          <w:rFonts w:ascii="Courier New" w:cs="Courier New" w:eastAsia="Courier New" w:hAnsi="Courier New"/>
          <w:sz w:val="15"/>
          <w:szCs w:val="15"/>
          <w:color w:val="auto"/>
        </w:rPr>
      </w:pPr>
    </w:p>
    <w:p>
      <w:pPr>
        <w:ind w:left="-280" w:right="2659" w:firstLine="848"/>
        <w:spacing w:after="0" w:line="239" w:lineRule="auto"/>
        <w:tabs>
          <w:tab w:leader="none" w:pos="142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187" w:lineRule="exact"/>
        <w:rPr>
          <w:rFonts w:ascii="Courier New" w:cs="Courier New" w:eastAsia="Courier New" w:hAnsi="Courier New"/>
          <w:sz w:val="16"/>
          <w:szCs w:val="16"/>
          <w:color w:val="auto"/>
        </w:rPr>
      </w:pPr>
    </w:p>
    <w:p>
      <w:pPr>
        <w:ind w:left="1420" w:hanging="852"/>
        <w:spacing w:after="0"/>
        <w:tabs>
          <w:tab w:leader="none" w:pos="1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86" w:lineRule="exact"/>
        <w:rPr>
          <w:rFonts w:ascii="Courier New" w:cs="Courier New" w:eastAsia="Courier New" w:hAnsi="Courier New"/>
          <w:sz w:val="16"/>
          <w:szCs w:val="16"/>
          <w:color w:val="auto"/>
        </w:rPr>
      </w:pPr>
    </w:p>
    <w:p>
      <w:pPr>
        <w:ind w:left="-280" w:right="2659" w:firstLine="848"/>
        <w:spacing w:after="0"/>
        <w:tabs>
          <w:tab w:leader="none" w:pos="142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188" w:lineRule="exact"/>
        <w:rPr>
          <w:rFonts w:ascii="Courier New" w:cs="Courier New" w:eastAsia="Courier New" w:hAnsi="Courier New"/>
          <w:sz w:val="16"/>
          <w:szCs w:val="16"/>
          <w:color w:val="auto"/>
        </w:rPr>
      </w:pPr>
    </w:p>
    <w:p>
      <w:pPr>
        <w:ind w:left="-280" w:right="2839" w:firstLine="848"/>
        <w:spacing w:after="0" w:line="237" w:lineRule="auto"/>
        <w:tabs>
          <w:tab w:leader="none" w:pos="142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Scotts Company, an Ohio corporation, and any successor thereto.</w:t>
      </w:r>
    </w:p>
    <w:p>
      <w:pPr>
        <w:spacing w:after="0" w:line="187" w:lineRule="exact"/>
        <w:rPr>
          <w:rFonts w:ascii="Courier New" w:cs="Courier New" w:eastAsia="Courier New" w:hAnsi="Courier New"/>
          <w:sz w:val="16"/>
          <w:szCs w:val="16"/>
          <w:color w:val="auto"/>
        </w:rPr>
      </w:pPr>
    </w:p>
    <w:p>
      <w:pPr>
        <w:ind w:left="-280" w:right="2939" w:firstLine="848"/>
        <w:spacing w:after="0" w:line="238" w:lineRule="auto"/>
        <w:tabs>
          <w:tab w:leader="none" w:pos="142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Option" means a Nonstatutory Stock Option granted to each Eligible Director pursuant to Section 6.7 without any action by the Board or the Committee.</w:t>
      </w:r>
    </w:p>
    <w:p>
      <w:pPr>
        <w:spacing w:after="0" w:line="188" w:lineRule="exact"/>
        <w:rPr>
          <w:rFonts w:ascii="Courier New" w:cs="Courier New" w:eastAsia="Courier New" w:hAnsi="Courier New"/>
          <w:sz w:val="16"/>
          <w:szCs w:val="16"/>
          <w:color w:val="auto"/>
        </w:rPr>
      </w:pPr>
    </w:p>
    <w:p>
      <w:pPr>
        <w:ind w:left="-280" w:right="2659" w:firstLine="848"/>
        <w:spacing w:after="0" w:line="239" w:lineRule="auto"/>
        <w:tabs>
          <w:tab w:leader="none" w:pos="142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188" w:lineRule="exact"/>
        <w:rPr>
          <w:rFonts w:ascii="Courier New" w:cs="Courier New" w:eastAsia="Courier New" w:hAnsi="Courier New"/>
          <w:sz w:val="16"/>
          <w:szCs w:val="16"/>
          <w:color w:val="auto"/>
        </w:rPr>
      </w:pPr>
    </w:p>
    <w:p>
      <w:pPr>
        <w:ind w:left="-280" w:right="2839" w:firstLine="848"/>
        <w:spacing w:after="0" w:line="237" w:lineRule="auto"/>
        <w:tabs>
          <w:tab w:leader="none" w:pos="142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Director" means, on any date, a person who is serving as a member of the Board and who is not an Employee.</w:t>
      </w:r>
    </w:p>
    <w:p>
      <w:pPr>
        <w:spacing w:after="0" w:line="187" w:lineRule="exact"/>
        <w:rPr>
          <w:rFonts w:ascii="Courier New" w:cs="Courier New" w:eastAsia="Courier New" w:hAnsi="Courier New"/>
          <w:sz w:val="16"/>
          <w:szCs w:val="16"/>
          <w:color w:val="auto"/>
        </w:rPr>
      </w:pPr>
    </w:p>
    <w:p>
      <w:pPr>
        <w:ind w:left="-280" w:right="3119" w:firstLine="848"/>
        <w:spacing w:after="0" w:line="237" w:lineRule="auto"/>
        <w:tabs>
          <w:tab w:leader="none" w:pos="142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officer or other key executive and management employee of the Company or of any of its Subsidiaries.</w:t>
      </w:r>
    </w:p>
    <w:p>
      <w:pPr>
        <w:spacing w:after="0" w:line="187" w:lineRule="exact"/>
        <w:rPr>
          <w:rFonts w:ascii="Courier New" w:cs="Courier New" w:eastAsia="Courier New" w:hAnsi="Courier New"/>
          <w:sz w:val="16"/>
          <w:szCs w:val="16"/>
          <w:color w:val="auto"/>
        </w:rPr>
      </w:pPr>
    </w:p>
    <w:p>
      <w:pPr>
        <w:ind w:left="-280" w:right="2659" w:firstLine="848"/>
        <w:spacing w:after="0" w:line="258" w:lineRule="auto"/>
        <w:tabs>
          <w:tab w:leader="none" w:pos="142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176" w:lineRule="exact"/>
        <w:rPr>
          <w:rFonts w:ascii="Courier New" w:cs="Courier New" w:eastAsia="Courier New" w:hAnsi="Courier New"/>
          <w:sz w:val="15"/>
          <w:szCs w:val="15"/>
          <w:color w:val="auto"/>
        </w:rPr>
      </w:pPr>
    </w:p>
    <w:p>
      <w:pPr>
        <w:ind w:left="-280" w:right="2839" w:firstLine="848"/>
        <w:spacing w:after="0" w:line="239" w:lineRule="auto"/>
        <w:tabs>
          <w:tab w:leader="none" w:pos="142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the right to purchase Stock at a stated price for a specified period of time. For purposes of the Plan, an Option may be either (i) an "Incentive Stock Option" (ISO) within the meaning of Section 422 of the Code or (ii) a "Nonstatutory Stock Option" (NSO) which does not qualify for treatment as an "Incentive Stock Option."</w:t>
      </w:r>
    </w:p>
    <w:p>
      <w:pPr>
        <w:spacing w:after="0" w:line="188" w:lineRule="exact"/>
        <w:rPr>
          <w:rFonts w:ascii="Courier New" w:cs="Courier New" w:eastAsia="Courier New" w:hAnsi="Courier New"/>
          <w:sz w:val="16"/>
          <w:szCs w:val="16"/>
          <w:color w:val="auto"/>
        </w:rPr>
      </w:pPr>
    </w:p>
    <w:p>
      <w:pPr>
        <w:ind w:left="-280" w:right="2839" w:firstLine="848"/>
        <w:spacing w:after="0" w:line="237" w:lineRule="auto"/>
        <w:tabs>
          <w:tab w:leader="none" w:pos="142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any Employee designated by the Committee to participate in the Plan.</w:t>
      </w:r>
    </w:p>
    <w:p>
      <w:pPr>
        <w:sectPr>
          <w:pgSz w:w="11900" w:h="16838" w:orient="portrait"/>
          <w:cols w:equalWidth="0" w:num="1">
            <w:col w:w="9939"/>
          </w:cols>
          <w:pgMar w:left="520" w:top="295" w:right="1440" w:bottom="1440" w:gutter="0" w:footer="0" w:header="0"/>
        </w:sectPr>
      </w:pPr>
    </w:p>
    <w:p>
      <w:pPr>
        <w:spacing w:after="0" w:line="37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9939"/>
          </w:cols>
          <w:pgMar w:left="520" w:top="295"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right="2759" w:firstLine="848"/>
        <w:spacing w:after="0" w:line="237" w:lineRule="auto"/>
        <w:tabs>
          <w:tab w:leader="none" w:pos="170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Scotts Company 1996 Stock Option Plan, as in effect from time to time.</w:t>
      </w:r>
    </w:p>
    <w:p>
      <w:pPr>
        <w:spacing w:after="0" w:line="187" w:lineRule="exact"/>
        <w:rPr>
          <w:rFonts w:ascii="Courier New" w:cs="Courier New" w:eastAsia="Courier New" w:hAnsi="Courier New"/>
          <w:sz w:val="16"/>
          <w:szCs w:val="16"/>
          <w:color w:val="auto"/>
        </w:rPr>
      </w:pPr>
    </w:p>
    <w:p>
      <w:pPr>
        <w:ind w:right="2659" w:firstLine="848"/>
        <w:spacing w:after="0" w:line="260" w:lineRule="auto"/>
        <w:tabs>
          <w:tab w:leader="none" w:pos="170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169" w:lineRule="exact"/>
        <w:rPr>
          <w:rFonts w:ascii="Courier New" w:cs="Courier New" w:eastAsia="Courier New" w:hAnsi="Courier New"/>
          <w:sz w:val="15"/>
          <w:szCs w:val="15"/>
          <w:color w:val="auto"/>
        </w:rPr>
      </w:pPr>
    </w:p>
    <w:p>
      <w:pPr>
        <w:ind w:left="1700" w:hanging="852"/>
        <w:spacing w:after="0"/>
        <w:tabs>
          <w:tab w:leader="none" w:pos="17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means the Common Shares, without par value, of the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86" w:lineRule="exact"/>
        <w:rPr>
          <w:rFonts w:ascii="Courier New" w:cs="Courier New" w:eastAsia="Courier New" w:hAnsi="Courier New"/>
          <w:sz w:val="16"/>
          <w:szCs w:val="16"/>
          <w:color w:val="auto"/>
        </w:rPr>
      </w:pPr>
    </w:p>
    <w:p>
      <w:pPr>
        <w:ind w:right="2659" w:firstLine="848"/>
        <w:spacing w:after="0" w:line="239" w:lineRule="auto"/>
        <w:tabs>
          <w:tab w:leader="none" w:pos="170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187" w:lineRule="exact"/>
        <w:rPr>
          <w:sz w:val="20"/>
          <w:szCs w:val="20"/>
          <w:color w:val="auto"/>
        </w:rPr>
      </w:pPr>
    </w:p>
    <w:p>
      <w:pPr>
        <w:ind w:right="3039" w:firstLine="851"/>
        <w:spacing w:after="0" w:line="239" w:lineRule="auto"/>
        <w:rPr>
          <w:sz w:val="20"/>
          <w:szCs w:val="20"/>
          <w:color w:val="auto"/>
        </w:rPr>
      </w:pPr>
      <w:r>
        <w:rPr>
          <w:rFonts w:ascii="Courier New" w:cs="Courier New" w:eastAsia="Courier New" w:hAnsi="Courier New"/>
          <w:sz w:val="16"/>
          <w:szCs w:val="16"/>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SECTION 3.</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ELIGIBILITY AND PARTICIPATION</w:t>
      </w:r>
    </w:p>
    <w:p>
      <w:pPr>
        <w:spacing w:after="0" w:line="186"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Except as otherwise provided in Section 6.7, the only persons eligible to participate in the Plan shall be those Employees selected by the Committee as Participants.</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4.</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POWERS OF THE COMMITTEE</w:t>
      </w:r>
    </w:p>
    <w:p>
      <w:pPr>
        <w:spacing w:after="0" w:line="18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192"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170"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5.</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STOCK SUBJECT TO PLAN</w:t>
      </w:r>
    </w:p>
    <w:p>
      <w:pPr>
        <w:spacing w:after="0" w:line="186" w:lineRule="exact"/>
        <w:rPr>
          <w:sz w:val="20"/>
          <w:szCs w:val="20"/>
          <w:color w:val="auto"/>
        </w:rPr>
      </w:pPr>
    </w:p>
    <w:p>
      <w:pPr>
        <w:ind w:right="2659" w:firstLine="851"/>
        <w:spacing w:after="0" w:line="256" w:lineRule="auto"/>
        <w:rPr>
          <w:sz w:val="20"/>
          <w:szCs w:val="20"/>
          <w:color w:val="auto"/>
        </w:rPr>
      </w:pPr>
      <w:r>
        <w:rPr>
          <w:rFonts w:ascii="Courier New" w:cs="Courier New" w:eastAsia="Courier New" w:hAnsi="Courier New"/>
          <w:sz w:val="15"/>
          <w:szCs w:val="15"/>
          <w:color w:val="auto"/>
        </w:rPr>
        <w:t>5.1 NUMBER. Subject to the provisions of Section 5.3, the number of shares of Stock subject to Awards under the Plan may not exceed 3,000,000 shares of Stock. Subject to the provisions of Section 5.3, no Employee shall receive Awards for more than 150,000 shares of Stock over any one-year period. For this purpose, to the extent that any Award is cancelled (as described in Section</w:t>
      </w:r>
    </w:p>
    <w:p>
      <w:pPr>
        <w:spacing w:after="0" w:line="3"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368"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Page 27</w:t>
      </w:r>
    </w:p>
    <w:p>
      <w:pPr>
        <w:sectPr>
          <w:pgSz w:w="11900" w:h="16838" w:orient="portrait"/>
          <w:cols w:equalWidth="0" w:num="1">
            <w:col w:w="10219"/>
          </w:cols>
          <w:pgMar w:left="240" w:top="295"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187"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6.7.</w:t>
      </w:r>
    </w:p>
    <w:p>
      <w:pPr>
        <w:spacing w:after="0" w:line="17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6.</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OPTIONS</w:t>
      </w:r>
    </w:p>
    <w:p>
      <w:pPr>
        <w:spacing w:after="0" w:line="186"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6.1 GRANT OF OPTIONS. Options may be granted to Participants at such time or times as shall be determined by the Committee. Options granted under the Plan may be of two types: (i) Incentive Stock Options and (ii) Nonstatutory Stock Options.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81"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6.2 OPTION PRICE. Nonstatutory Stock Options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175"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in three approximately equal installments on each of the first three anniversaries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192"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 him, valued at its Fair Market Value on the date of exercise, as partial or full payment of the exercise price. As soon</w:t>
      </w:r>
    </w:p>
    <w:p>
      <w:pPr>
        <w:spacing w:after="0" w:line="36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Page 28</w:t>
      </w:r>
    </w:p>
    <w:p>
      <w:pPr>
        <w:sectPr>
          <w:pgSz w:w="11900" w:h="16838" w:orient="portrait"/>
          <w:cols w:equalWidth="0" w:num="1">
            <w:col w:w="10219"/>
          </w:cols>
          <w:pgMar w:left="240" w:top="295"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as practicable after receipt of a written exercise notice and full payment of the exercise price, the Company shall deliver to the Participant a certificate or certificates representing the acquired shares of Stock.</w:t>
      </w:r>
    </w:p>
    <w:p>
      <w:pPr>
        <w:spacing w:after="0" w:line="188"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189"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6.6 DIRECTOR OPTIONS. Notwithstanding anything else contained herein to the contrary, on the first business day following the date of each annual meeting of shareholders during the term of the Plan, each Eligible Director shall receive a Director Option to purchase 5,000 shares of Stock at an exercise price per share equal to the Fair Market Value of the Stock on the date of grant.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6.4.</w:t>
      </w:r>
    </w:p>
    <w:p>
      <w:pPr>
        <w:spacing w:after="0" w:line="17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7.</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TERMINATION OF EMPLOYMENT</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190"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192"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7.3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w:t>
      </w:r>
    </w:p>
    <w:p>
      <w:pPr>
        <w:spacing w:after="0" w:line="36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Page 29</w:t>
      </w:r>
    </w:p>
    <w:p>
      <w:pPr>
        <w:sectPr>
          <w:pgSz w:w="11900" w:h="16838" w:orient="portrait"/>
          <w:cols w:equalWidth="0" w:num="1">
            <w:col w:w="10219"/>
          </w:cols>
          <w:pgMar w:left="240" w:top="295"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shall remain exercisable until the earlier to occur of (i) the expiration of the term of such Options or (ii) the thirtieth day following the Participant's termination of employment, whichever period is shorter.</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8.</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CHANGE IN CONTROL</w:t>
      </w:r>
    </w:p>
    <w:p>
      <w:pPr>
        <w:spacing w:after="0" w:line="18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8.l ACCELERATED VESTING AND PAYMENT. Subject to the provisions of Section 8.2 below, in the event of a Change in Control, each Option (excluding any Director Option) shall be cancelled in exchange for a payment in cash of an amount equal to the excess of the Change in Control Price over the exercise price for such Option.</w:t>
      </w:r>
    </w:p>
    <w:p>
      <w:pPr>
        <w:spacing w:after="0" w:line="189"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176" w:lineRule="exact"/>
        <w:rPr>
          <w:sz w:val="20"/>
          <w:szCs w:val="20"/>
          <w:color w:val="auto"/>
        </w:rPr>
      </w:pPr>
    </w:p>
    <w:p>
      <w:pPr>
        <w:jc w:val="both"/>
        <w:ind w:right="3119" w:firstLine="848"/>
        <w:spacing w:after="0" w:line="267" w:lineRule="auto"/>
        <w:tabs>
          <w:tab w:leader="none" w:pos="122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based on stock which is traded on an established securities market, or which will be so traded within 60 days of the Change in Control;</w:t>
      </w:r>
    </w:p>
    <w:p>
      <w:pPr>
        <w:spacing w:after="0" w:line="167" w:lineRule="exact"/>
        <w:rPr>
          <w:rFonts w:ascii="Courier New" w:cs="Courier New" w:eastAsia="Courier New" w:hAnsi="Courier New"/>
          <w:sz w:val="15"/>
          <w:szCs w:val="15"/>
          <w:color w:val="auto"/>
        </w:rPr>
      </w:pPr>
    </w:p>
    <w:p>
      <w:pPr>
        <w:ind w:right="2659" w:firstLine="848"/>
        <w:spacing w:after="0" w:line="239" w:lineRule="auto"/>
        <w:tabs>
          <w:tab w:leader="none" w:pos="132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88" w:lineRule="exact"/>
        <w:rPr>
          <w:rFonts w:ascii="Courier New" w:cs="Courier New" w:eastAsia="Courier New" w:hAnsi="Courier New"/>
          <w:sz w:val="16"/>
          <w:szCs w:val="16"/>
          <w:color w:val="auto"/>
        </w:rPr>
      </w:pPr>
    </w:p>
    <w:p>
      <w:pPr>
        <w:ind w:right="3319" w:firstLine="848"/>
        <w:spacing w:after="0" w:line="237" w:lineRule="auto"/>
        <w:tabs>
          <w:tab w:leader="none" w:pos="141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substantially equivalent economic value to such Award (determined at the time of the Change in Control); and</w:t>
      </w:r>
    </w:p>
    <w:p>
      <w:pPr>
        <w:spacing w:after="0" w:line="187" w:lineRule="exact"/>
        <w:rPr>
          <w:rFonts w:ascii="Courier New" w:cs="Courier New" w:eastAsia="Courier New" w:hAnsi="Courier New"/>
          <w:sz w:val="16"/>
          <w:szCs w:val="16"/>
          <w:color w:val="auto"/>
        </w:rPr>
      </w:pPr>
    </w:p>
    <w:p>
      <w:pPr>
        <w:ind w:right="2659" w:firstLine="848"/>
        <w:spacing w:after="0" w:line="239" w:lineRule="auto"/>
        <w:tabs>
          <w:tab w:leader="none" w:pos="132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89" w:lineRule="exact"/>
        <w:rPr>
          <w:sz w:val="20"/>
          <w:szCs w:val="20"/>
          <w:color w:val="auto"/>
        </w:rPr>
      </w:pPr>
    </w:p>
    <w:p>
      <w:pPr>
        <w:ind w:right="2759" w:firstLine="851"/>
        <w:spacing w:after="0" w:line="259" w:lineRule="auto"/>
        <w:rPr>
          <w:sz w:val="20"/>
          <w:szCs w:val="20"/>
          <w:color w:val="auto"/>
        </w:rPr>
      </w:pPr>
      <w:r>
        <w:rPr>
          <w:rFonts w:ascii="Courier New" w:cs="Courier New" w:eastAsia="Courier New" w:hAnsi="Courier New"/>
          <w:sz w:val="15"/>
          <w:szCs w:val="15"/>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174"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177" w:lineRule="exact"/>
        <w:rPr>
          <w:sz w:val="20"/>
          <w:szCs w:val="20"/>
          <w:color w:val="auto"/>
        </w:rPr>
      </w:pPr>
    </w:p>
    <w:p>
      <w:pPr>
        <w:ind w:right="2759" w:firstLine="851"/>
        <w:spacing w:after="0" w:line="258" w:lineRule="auto"/>
        <w:rPr>
          <w:sz w:val="20"/>
          <w:szCs w:val="20"/>
          <w:color w:val="auto"/>
        </w:rPr>
      </w:pPr>
      <w:r>
        <w:rPr>
          <w:rFonts w:ascii="Courier New" w:cs="Courier New" w:eastAsia="Courier New" w:hAnsi="Courier New"/>
          <w:sz w:val="15"/>
          <w:szCs w:val="15"/>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 occur unless and until, in the opinion of the Company's counsel, such cash out could</w:t>
      </w:r>
    </w:p>
    <w:p>
      <w:pPr>
        <w:spacing w:after="0" w:line="35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Page 30</w:t>
      </w:r>
    </w:p>
    <w:p>
      <w:pPr>
        <w:sectPr>
          <w:pgSz w:w="11900" w:h="16838" w:orient="portrait"/>
          <w:cols w:equalWidth="0" w:num="1">
            <w:col w:w="10219"/>
          </w:cols>
          <w:pgMar w:left="240" w:top="295"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8</w:t>
      </w:r>
    </w:p>
    <w:p>
      <w:pPr>
        <w:spacing w:after="0" w:line="18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occur without such reporting person being potentially subject to liability under Section 16(b) of the Act by reason of such cash out.</w:t>
      </w:r>
    </w:p>
    <w:p>
      <w:pPr>
        <w:spacing w:after="0" w:line="18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SECTION 9.</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AMENDMENT, MODIFICATION, AND TERMINATION OF PLAN</w:t>
      </w:r>
    </w:p>
    <w:p>
      <w:pPr>
        <w:spacing w:after="0" w:line="186"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therefore granted under the Plan, without the consent of the Participant.</w:t>
      </w:r>
    </w:p>
    <w:p>
      <w:pPr>
        <w:spacing w:after="0" w:line="35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SECTION 10</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MISCELLANEOUS PROVISIONS</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10.1 NONTRANSFERABILITY OF AWARDS. No Awards granted under the Plan may be sold, transferred, pledged, assigned, or otherwise alienated or hypothecated, other than by will or by the laws of descent and distribution. All rights with respect to Awards granted to a Participant under the Plan shall be exercisable during his lifetime only by such Participant and all rights with respect to any Director Options granted to an Eligible Director shall be exercisable during his lifetime only by such Eligible Director.</w:t>
      </w:r>
    </w:p>
    <w:p>
      <w:pPr>
        <w:spacing w:after="0" w:line="192"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189"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87"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ectPr>
          <w:pgSz w:w="11900" w:h="16838" w:orient="portrait"/>
          <w:cols w:equalWidth="0" w:num="1">
            <w:col w:w="10219"/>
          </w:cols>
          <w:pgMar w:left="240" w:top="295" w:right="1440" w:bottom="1440" w:gutter="0" w:footer="0" w:header="0"/>
        </w:sectPr>
      </w:pPr>
    </w:p>
    <w:p>
      <w:pPr>
        <w:spacing w:after="0" w:line="37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Page 31</w:t>
      </w:r>
    </w:p>
    <w:p>
      <w:pPr>
        <w:sectPr>
          <w:pgSz w:w="11900" w:h="16838" w:orient="portrait"/>
          <w:cols w:equalWidth="0" w:num="1">
            <w:col w:w="10219"/>
          </w:cols>
          <w:pgMar w:left="240" w:top="295"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191" w:lineRule="exact"/>
        <w:rPr>
          <w:sz w:val="20"/>
          <w:szCs w:val="20"/>
          <w:color w:val="auto"/>
        </w:rPr>
      </w:pPr>
    </w:p>
    <w:p>
      <w:pPr>
        <w:ind w:right="2839" w:firstLine="851"/>
        <w:spacing w:after="0" w:line="239" w:lineRule="auto"/>
        <w:rPr>
          <w:sz w:val="20"/>
          <w:szCs w:val="20"/>
          <w:color w:val="auto"/>
        </w:rPr>
      </w:pPr>
      <w:r>
        <w:rPr>
          <w:rFonts w:ascii="Courier New" w:cs="Courier New" w:eastAsia="Courier New" w:hAnsi="Courier New"/>
          <w:sz w:val="16"/>
          <w:szCs w:val="16"/>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187"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10.7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190"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10.8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177" w:lineRule="exact"/>
        <w:rPr>
          <w:sz w:val="20"/>
          <w:szCs w:val="20"/>
          <w:color w:val="auto"/>
        </w:rPr>
      </w:pPr>
    </w:p>
    <w:p>
      <w:pPr>
        <w:ind w:right="2939" w:firstLine="851"/>
        <w:spacing w:after="0" w:line="267" w:lineRule="auto"/>
        <w:rPr>
          <w:sz w:val="20"/>
          <w:szCs w:val="20"/>
          <w:color w:val="auto"/>
        </w:rPr>
      </w:pPr>
      <w:r>
        <w:rPr>
          <w:rFonts w:ascii="Courier New" w:cs="Courier New" w:eastAsia="Courier New" w:hAnsi="Courier New"/>
          <w:sz w:val="15"/>
          <w:szCs w:val="15"/>
          <w:color w:val="auto"/>
        </w:rPr>
        <w:t>10.9 GOVERNING LAW. The Plan, and all agreements hereunder, shall be construed in accordance with and governed by the laws of the State of Ohio.</w:t>
      </w:r>
    </w:p>
    <w:p>
      <w:pPr>
        <w:spacing w:after="0" w:line="168" w:lineRule="exact"/>
        <w:rPr>
          <w:sz w:val="20"/>
          <w:szCs w:val="20"/>
          <w:color w:val="auto"/>
        </w:rPr>
      </w:pPr>
    </w:p>
    <w:p>
      <w:pPr>
        <w:ind w:right="2939" w:firstLine="851"/>
        <w:spacing w:after="0" w:line="267" w:lineRule="auto"/>
        <w:rPr>
          <w:sz w:val="20"/>
          <w:szCs w:val="20"/>
          <w:color w:val="auto"/>
        </w:rPr>
      </w:pPr>
      <w:r>
        <w:rPr>
          <w:rFonts w:ascii="Courier New" w:cs="Courier New" w:eastAsia="Courier New" w:hAnsi="Courier New"/>
          <w:sz w:val="15"/>
          <w:szCs w:val="15"/>
          <w:color w:val="auto"/>
        </w:rPr>
        <w:t>10.10 NO IMPACT ON BENEFITS. Plan Awards are not compensation for purposes of calculating an Employee's rights under any employee benefit plan.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Page 32</w:t>
      </w:r>
    </w:p>
    <w:p>
      <w:pPr>
        <w:sectPr>
          <w:pgSz w:w="11900" w:h="16838" w:orient="portrait"/>
          <w:cols w:equalWidth="0" w:num="1">
            <w:col w:w="10219"/>
          </w:cols>
          <w:pgMar w:left="240" w:top="295"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0"/>
          <w:szCs w:val="20"/>
          <w:color w:val="auto"/>
        </w:rPr>
      </w:pPr>
    </w:p>
    <w:p>
      <w:pPr>
        <w:ind w:left="6340"/>
        <w:spacing w:after="0"/>
        <w:rPr>
          <w:sz w:val="20"/>
          <w:szCs w:val="20"/>
          <w:color w:val="auto"/>
        </w:rPr>
      </w:pPr>
      <w:r>
        <w:rPr>
          <w:rFonts w:ascii="Courier New" w:cs="Courier New" w:eastAsia="Courier New" w:hAnsi="Courier New"/>
          <w:sz w:val="16"/>
          <w:szCs w:val="16"/>
          <w:color w:val="auto"/>
        </w:rPr>
        <w:t>Exhibit 18</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12, 1997</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Jean H. Mordo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Financial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14111 Scottslawn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Marysville, Ohio 43041</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Mr. Mordo:</w:t>
      </w:r>
    </w:p>
    <w:p>
      <w:pPr>
        <w:spacing w:after="0" w:line="18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6"/>
          <w:szCs w:val="16"/>
          <w:color w:val="auto"/>
        </w:rPr>
        <w:t>We are providing this letter to you for inclusion as an exhibit to your Form 10-Q filing pursuant to Item 601 of Regulation S-K.</w:t>
      </w:r>
    </w:p>
    <w:p>
      <w:pPr>
        <w:spacing w:after="0" w:line="188"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We have read management's justification for the changes in accounting from the method of expensing advertising costs as incurred to the method of assigning anticipated advertising costs to interim periods as a percentage of sales throughout the fiscal year based on projected sales of advertised product categories contained in the Company's Form 10-Q for the quarter ended March 29, 1997. Based on our reading of the data and discussions with Company officials of the business judgment and business planning factors relating to the change, we believe management's justification to be reasonable. Accordingly, in reliance on management's determination as regards elements of business judgment and business planning, we concur that the newly adopted accounting principle described above is preferable in the Company's circumstances to the method previously applied.</w:t>
      </w:r>
    </w:p>
    <w:p>
      <w:pPr>
        <w:spacing w:after="0" w:line="181"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We have not audited any financial statements of The Scotts Company, as of any date or for any period subsequent to September 30, 1996, nor have we audited the application of the change in accounting principle disclosed in Form 10-Q of The Scotts Company for the periods ended March 29, 1997; accordingly, our comments are subject to revision on completion of an audit of the financial statements that include the accounting change.</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Coopers &amp; Lybrand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Page 33</w:t>
      </w:r>
    </w:p>
    <w:p>
      <w:pPr>
        <w:sectPr>
          <w:pgSz w:w="11900" w:h="16838" w:orient="portrait"/>
          <w:cols w:equalWidth="0" w:num="1">
            <w:col w:w="10219"/>
          </w:cols>
          <w:pgMar w:left="240" w:top="138" w:right="1440" w:bottom="1440" w:gutter="0" w:footer="0" w:header="0"/>
        </w:sectPr>
      </w:pPr>
    </w:p>
    <w:bookmarkStart w:id="35" w:name="page36"/>
    <w:bookmarkEnd w:id="35"/>
    <w:p>
      <w:pPr>
        <w:ind w:left="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2919"/>
        <w:spacing w:after="0" w:line="239"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AND CONSOLIDATED STATEMENT OF OPERATIONS OF THE SCOTTS COMPANY AND IS QUALIFIED IN ITS ENTIRETY BY REFERENCE TO THE FORM 10-Q FOR THE QUARTER ENDED MARCH 30, 1997.</w:t>
      </w:r>
    </w:p>
    <w:p>
      <w:pPr>
        <w:spacing w:after="0" w:line="36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1,000,000</w:t>
      </w:r>
    </w:p>
    <w:p>
      <w:pPr>
        <w:spacing w:after="0" w:line="36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6-MOS</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SEP-30-1997</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OCT-01-1996</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MAR-29-1997</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12</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356</w:t>
      </w:r>
    </w:p>
    <w:p>
      <w:pPr>
        <w:spacing w:after="0" w:line="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6</w:t>
      </w:r>
    </w:p>
    <w:p>
      <w:pPr>
        <w:spacing w:after="0" w:line="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188</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572</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235</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101</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1,064</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328</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177</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201</w:t>
      </w:r>
    </w:p>
    <w:p>
      <w:pPr>
        <w:spacing w:after="0" w:line="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1,064</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446</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448</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275</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398</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4</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14</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39</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17</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22</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22</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w:t>
      </w:r>
    </w:p>
    <w:sectPr>
      <w:pgSz w:w="11900" w:h="16838" w:orient="portrait"/>
      <w:cols w:equalWidth="0" w:num="1">
        <w:col w:w="10199"/>
      </w:cols>
      <w:pgMar w:left="26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5"/>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8"/>
    </w:lvl>
  </w:abstractNum>
  <w:abstractNum w:abstractNumId="7">
    <w:nsid w:val="109CF92E"/>
    <w:multiLevelType w:val="hybridMultilevel"/>
    <w:lvl w:ilvl="0">
      <w:lvlJc w:val="left"/>
      <w:lvlText w:val="%1."/>
      <w:numFmt w:val="decimal"/>
      <w:start w:val="9"/>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upperLetter"/>
      <w:start w:val="1"/>
    </w:lvl>
  </w:abstractNum>
  <w:abstractNum w:abstractNumId="10">
    <w:nsid w:val="1BEFD79F"/>
    <w:multiLevelType w:val="hybridMultilevel"/>
    <w:lvl w:ilvl="0">
      <w:lvlJc w:val="left"/>
      <w:lvlText w:val="%1."/>
      <w:numFmt w:val="upperLetter"/>
      <w:start w:val="2"/>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lvl w:ilvl="1">
      <w:lvlJc w:val="left"/>
      <w:lvlText w:val="(%2)"/>
      <w:numFmt w:val="lowerRoman"/>
      <w:start w:val="1"/>
    </w:lvl>
  </w:abstractNum>
  <w:abstractNum w:abstractNumId="15">
    <w:nsid w:val="519B500D"/>
    <w:multiLevelType w:val="hybridMultilevel"/>
    <w:lvl w:ilvl="0">
      <w:lvlJc w:val="left"/>
      <w:lvlText w:val="%1"/>
      <w:numFmt w:val="lowerLetter"/>
      <w:start w:val="1"/>
    </w:lvl>
    <w:lvl w:ilvl="1">
      <w:lvlJc w:val="left"/>
      <w:lvlText w:val="(%2)"/>
      <w:numFmt w:val="lowerRoman"/>
      <w:start w:val="4"/>
    </w:lvl>
  </w:abstractNum>
  <w:abstractNum w:abstractNumId="16">
    <w:nsid w:val="431BD7B7"/>
    <w:multiLevelType w:val="hybridMultilevel"/>
    <w:lvl w:ilvl="0">
      <w:lvlJc w:val="left"/>
      <w:lvlText w:val="(%1)"/>
      <w:numFmt w:val="lowerLetter"/>
      <w:start w:val="6"/>
    </w:lvl>
    <w:lvl w:ilvl="1">
      <w:lvlJc w:val="left"/>
      <w:lvlText w:val="%2"/>
      <w:numFmt w:val="lowerRoman"/>
      <w:start w:val="1"/>
    </w:lvl>
  </w:abstractNum>
  <w:abstractNum w:abstractNumId="17">
    <w:nsid w:val="3F2DBA31"/>
    <w:multiLevelType w:val="hybridMultilevel"/>
    <w:lvl w:ilvl="0">
      <w:lvlJc w:val="left"/>
      <w:lvlText w:val="(%1)"/>
      <w:numFmt w:val="lowerLetter"/>
      <w:start w:val="17"/>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2019-12-20T06:43:55Z</dcterms:created>
  <dcterms:modified xsi:type="dcterms:W3CDTF">2019-12-20T06:43:55Z</dcterms:modified>
</cp:coreProperties>
</file>