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quarterly period ended April 2, 2022</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15"/>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44"/>
        </w:trPr>
        <w:tc>
          <w:tcPr>
            <w:tcW w:w="4600" w:type="dxa"/>
            <w:vAlign w:val="bottom"/>
          </w:tcPr>
          <w:p>
            <w:pPr>
              <w:jc w:val="center"/>
              <w:ind w:right="2644"/>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9" w:lineRule="exact"/>
        <w:rPr>
          <w:sz w:val="24"/>
          <w:szCs w:val="24"/>
          <w:color w:val="auto"/>
        </w:rPr>
      </w:pPr>
    </w:p>
    <w:p>
      <w:pPr>
        <w:ind w:left="1060"/>
        <w:spacing w:after="0"/>
        <w:tabs>
          <w:tab w:leader="none" w:pos="4800" w:val="left"/>
          <w:tab w:leader="none" w:pos="79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28" w:lineRule="exact"/>
        <w:rPr>
          <w:sz w:val="24"/>
          <w:szCs w:val="24"/>
          <w:color w:val="auto"/>
        </w:rPr>
      </w:pPr>
    </w:p>
    <w:p>
      <w:pPr>
        <w:ind w:left="400"/>
        <w:spacing w:after="0"/>
        <w:tabs>
          <w:tab w:leader="none" w:pos="5220" w:val="left"/>
          <w:tab w:leader="none" w:pos="9180" w:val="left"/>
        </w:tabs>
        <w:rPr>
          <w:sz w:val="20"/>
          <w:szCs w:val="20"/>
          <w:color w:val="auto"/>
        </w:rPr>
      </w:pPr>
      <w:r>
        <w:rPr>
          <w:rFonts w:ascii="Arial" w:cs="Arial" w:eastAsia="Arial" w:hAnsi="Arial"/>
          <w:sz w:val="17"/>
          <w:szCs w:val="17"/>
          <w:color w:val="auto"/>
        </w:rPr>
        <w:t>Common Shares, $0.01 stated value</w:t>
      </w:r>
      <w:r>
        <w:rPr>
          <w:sz w:val="20"/>
          <w:szCs w:val="20"/>
          <w:color w:val="auto"/>
        </w:rPr>
        <w:tab/>
      </w:r>
      <w:r>
        <w:rPr>
          <w:rFonts w:ascii="Arial" w:cs="Arial" w:eastAsia="Arial" w:hAnsi="Arial"/>
          <w:sz w:val="18"/>
          <w:szCs w:val="18"/>
          <w:color w:val="auto"/>
        </w:rPr>
        <w:t>SMG</w:t>
      </w:r>
      <w:r>
        <w:rPr>
          <w:sz w:val="20"/>
          <w:szCs w:val="20"/>
          <w:color w:val="auto"/>
        </w:rPr>
        <w:tab/>
      </w:r>
      <w:r>
        <w:rPr>
          <w:rFonts w:ascii="Arial" w:cs="Arial" w:eastAsia="Arial" w:hAnsi="Arial"/>
          <w:sz w:val="16"/>
          <w:szCs w:val="16"/>
          <w:color w:val="auto"/>
        </w:rPr>
        <w:t>NYSE</w:t>
      </w:r>
    </w:p>
    <w:p>
      <w:pPr>
        <w:spacing w:after="0" w:line="18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96" w:right="339" w:bottom="1440" w:gutter="0" w:footer="0" w:header="0"/>
        </w:sectPr>
      </w:pPr>
    </w:p>
    <w:p>
      <w:pPr>
        <w:spacing w:after="0" w:line="41"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Large accelerated filer</w:t>
      </w:r>
    </w:p>
    <w:p>
      <w:pPr>
        <w:spacing w:after="0" w:line="34"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Non-accelerated filer</w:t>
      </w:r>
    </w:p>
    <w:p>
      <w:pPr>
        <w:spacing w:after="0" w:line="2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77"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96" w:lineRule="exact"/>
        <w:tabs>
          <w:tab w:leader="none" w:pos="720" w:val="left"/>
          <w:tab w:leader="none" w:pos="43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360" w:space="720"/>
            <w:col w:w="6160"/>
          </w:cols>
          <w:pgMar w:left="320" w:top="796" w:right="339" w:bottom="1440" w:gutter="0" w:footer="0" w:header="0"/>
          <w:type w:val="continuous"/>
        </w:sectPr>
      </w:pPr>
    </w:p>
    <w:p>
      <w:pPr>
        <w:spacing w:after="0" w:line="14" w:lineRule="exact"/>
        <w:rPr>
          <w:sz w:val="24"/>
          <w:szCs w:val="24"/>
          <w:color w:val="auto"/>
        </w:rPr>
      </w:pPr>
    </w:p>
    <w:p>
      <w:pPr>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080"/>
        <w:spacing w:after="0" w:line="31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35"/>
          <w:szCs w:val="35"/>
          <w:color w:val="auto"/>
          <w:vertAlign w:val="superscript"/>
        </w:rPr>
        <w:t>Yes</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w:t>
      </w:r>
      <w:r>
        <w:rPr>
          <w:rFonts w:ascii="Arial" w:cs="Arial" w:eastAsia="Arial" w:hAnsi="Arial"/>
          <w:sz w:val="35"/>
          <w:szCs w:val="35"/>
          <w:color w:val="auto"/>
          <w:vertAlign w:val="superscript"/>
        </w:rPr>
        <w:t>No</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As of May 6, 2022, there were 55,392,409 Common Shares outstanding.</w:t>
      </w:r>
    </w:p>
    <w:p>
      <w:pPr>
        <w:sectPr>
          <w:pgSz w:w="11900" w:h="16838" w:orient="portrait"/>
          <w:cols w:equalWidth="0" w:num="1">
            <w:col w:w="11240"/>
          </w:cols>
          <w:pgMar w:left="320" w:top="796" w:right="339" w:bottom="1440" w:gutter="0" w:footer="0" w:header="0"/>
          <w:type w:val="continuous"/>
        </w:sectPr>
      </w:pP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jc w:val="center"/>
        <w:ind w:right="-19"/>
        <w:spacing w:after="0"/>
        <w:rPr>
          <w:sz w:val="20"/>
          <w:szCs w:val="20"/>
          <w:color w:val="auto"/>
        </w:rPr>
      </w:pPr>
      <w:r>
        <w:rPr>
          <w:rFonts w:ascii="Arial" w:cs="Arial" w:eastAsia="Arial" w:hAnsi="Arial"/>
          <w:sz w:val="18"/>
          <w:szCs w:val="18"/>
          <w:color w:val="auto"/>
        </w:rPr>
        <w:t>INDEX</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 xml:space="preserve">Condensed Consolidated Statements of Operations — Three and six months ended April </w:t>
              </w:r>
            </w:hyperlink>
            <w:r>
              <w:rPr>
                <w:rFonts w:ascii="Arial" w:cs="Arial" w:eastAsia="Arial" w:hAnsi="Arial"/>
                <w:sz w:val="18"/>
                <w:szCs w:val="18"/>
                <w:color w:val="0000FF"/>
                <w:w w:val="90"/>
              </w:rPr>
              <w:t xml:space="preserve">2, </w:t>
            </w:r>
            <w:hyperlink w:anchor="page3">
              <w:r>
                <w:rPr>
                  <w:rFonts w:ascii="Arial" w:cs="Arial" w:eastAsia="Arial" w:hAnsi="Arial"/>
                  <w:sz w:val="18"/>
                  <w:szCs w:val="18"/>
                  <w:color w:val="0000FF"/>
                  <w:w w:val="90"/>
                </w:rPr>
                <w:t xml:space="preserve">2022 and April </w:t>
              </w:r>
            </w:hyperlink>
            <w:r>
              <w:rPr>
                <w:rFonts w:ascii="Arial" w:cs="Arial" w:eastAsia="Arial" w:hAnsi="Arial"/>
                <w:sz w:val="18"/>
                <w:szCs w:val="18"/>
                <w:color w:val="0000FF"/>
                <w:w w:val="90"/>
              </w:rPr>
              <w:t xml:space="preserve">3, </w:t>
            </w:r>
            <w:hyperlink w:anchor="page3">
              <w:r>
                <w:rPr>
                  <w:rFonts w:ascii="Arial" w:cs="Arial" w:eastAsia="Arial" w:hAnsi="Arial"/>
                  <w:sz w:val="18"/>
                  <w:szCs w:val="18"/>
                  <w:color w:val="0000FF"/>
                  <w:w w:val="90"/>
                </w:rPr>
                <w:t>2021</w:t>
              </w:r>
            </w:hyperlink>
          </w:p>
        </w:tc>
        <w:tc>
          <w:tcPr>
            <w:tcW w:w="560" w:type="dxa"/>
            <w:vAlign w:val="bottom"/>
            <w:gridSpan w:val="2"/>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4"/>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 xml:space="preserve">Condensed Consolidated Statements of Comprehensive Income (Loss) — Three and six months ended April </w:t>
              </w:r>
            </w:hyperlink>
            <w:r>
              <w:rPr>
                <w:rFonts w:ascii="Arial" w:cs="Arial" w:eastAsia="Arial" w:hAnsi="Arial"/>
                <w:sz w:val="18"/>
                <w:szCs w:val="18"/>
                <w:color w:val="0000FF"/>
                <w:w w:val="91"/>
              </w:rPr>
              <w:t xml:space="preserve">2, </w:t>
            </w:r>
            <w:hyperlink w:anchor="page3">
              <w:r>
                <w:rPr>
                  <w:rFonts w:ascii="Arial" w:cs="Arial" w:eastAsia="Arial" w:hAnsi="Arial"/>
                  <w:sz w:val="18"/>
                  <w:szCs w:val="18"/>
                  <w:color w:val="0000FF"/>
                  <w:w w:val="91"/>
                </w:rPr>
                <w:t>2022 and</w:t>
              </w:r>
            </w:hyperlink>
          </w:p>
        </w:tc>
        <w:tc>
          <w:tcPr>
            <w:tcW w:w="1080" w:type="dxa"/>
            <w:vAlign w:val="bottom"/>
            <w:gridSpan w:val="4"/>
            <w:vMerge w:val="restart"/>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April 3, 2021</w:t>
              </w:r>
            </w:hyperlink>
          </w:p>
        </w:tc>
        <w:tc>
          <w:tcPr>
            <w:tcW w:w="7740" w:type="dxa"/>
            <w:vAlign w:val="bottom"/>
            <w:tcBorders>
              <w:top w:val="single" w:sz="8" w:color="0000FF"/>
            </w:tcBorders>
            <w:gridSpan w:val="10"/>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0" w:type="dxa"/>
            <w:vAlign w:val="bottom"/>
            <w:gridSpan w:val="11"/>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 xml:space="preserve">Condensed Consolidated Statements of Cash Flows — Six months ended April </w:t>
              </w:r>
            </w:hyperlink>
            <w:r>
              <w:rPr>
                <w:rFonts w:ascii="Arial" w:cs="Arial" w:eastAsia="Arial" w:hAnsi="Arial"/>
                <w:sz w:val="18"/>
                <w:szCs w:val="18"/>
                <w:color w:val="0000FF"/>
                <w:w w:val="90"/>
              </w:rPr>
              <w:t xml:space="preserve">2, </w:t>
            </w:r>
            <w:hyperlink w:anchor="page4">
              <w:r>
                <w:rPr>
                  <w:rFonts w:ascii="Arial" w:cs="Arial" w:eastAsia="Arial" w:hAnsi="Arial"/>
                  <w:sz w:val="18"/>
                  <w:szCs w:val="18"/>
                  <w:color w:val="0000FF"/>
                  <w:w w:val="90"/>
                </w:rPr>
                <w:t xml:space="preserve">2022 and April </w:t>
              </w:r>
            </w:hyperlink>
            <w:r>
              <w:rPr>
                <w:rFonts w:ascii="Arial" w:cs="Arial" w:eastAsia="Arial" w:hAnsi="Arial"/>
                <w:sz w:val="18"/>
                <w:szCs w:val="18"/>
                <w:color w:val="0000FF"/>
                <w:w w:val="90"/>
              </w:rPr>
              <w:t xml:space="preserve">3, </w:t>
            </w:r>
            <w:hyperlink w:anchor="page4">
              <w:r>
                <w:rPr>
                  <w:rFonts w:ascii="Arial" w:cs="Arial" w:eastAsia="Arial" w:hAnsi="Arial"/>
                  <w:sz w:val="18"/>
                  <w:szCs w:val="18"/>
                  <w:color w:val="0000FF"/>
                  <w:w w:val="90"/>
                </w:rPr>
                <w:t>2021</w:t>
              </w:r>
            </w:hyperlink>
          </w:p>
        </w:tc>
        <w:tc>
          <w:tcPr>
            <w:tcW w:w="124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20" w:type="dxa"/>
            <w:vAlign w:val="bottom"/>
            <w:gridSpan w:val="10"/>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 xml:space="preserve">Condensed Consolidated Balance Sheets — </w:t>
              </w:r>
            </w:hyperlink>
            <w:hyperlink w:anchor="page3">
              <w:r>
                <w:rPr>
                  <w:rFonts w:ascii="Arial" w:cs="Arial" w:eastAsia="Arial" w:hAnsi="Arial"/>
                  <w:sz w:val="18"/>
                  <w:szCs w:val="18"/>
                  <w:color w:val="0000FF"/>
                  <w:w w:val="90"/>
                </w:rPr>
                <w:t xml:space="preserve">April </w:t>
              </w:r>
            </w:hyperlink>
            <w:r>
              <w:rPr>
                <w:rFonts w:ascii="Arial" w:cs="Arial" w:eastAsia="Arial" w:hAnsi="Arial"/>
                <w:sz w:val="18"/>
                <w:szCs w:val="18"/>
                <w:color w:val="0000FF"/>
                <w:w w:val="90"/>
              </w:rPr>
              <w:t xml:space="preserve">2, </w:t>
            </w:r>
            <w:hyperlink w:anchor="page3">
              <w:r>
                <w:rPr>
                  <w:rFonts w:ascii="Arial" w:cs="Arial" w:eastAsia="Arial" w:hAnsi="Arial"/>
                  <w:sz w:val="18"/>
                  <w:szCs w:val="18"/>
                  <w:color w:val="0000FF"/>
                  <w:w w:val="90"/>
                </w:rPr>
                <w:t xml:space="preserve">2022, April </w:t>
              </w:r>
            </w:hyperlink>
            <w:r>
              <w:rPr>
                <w:rFonts w:ascii="Arial" w:cs="Arial" w:eastAsia="Arial" w:hAnsi="Arial"/>
                <w:sz w:val="18"/>
                <w:szCs w:val="18"/>
                <w:color w:val="0000FF"/>
                <w:w w:val="90"/>
              </w:rPr>
              <w:t xml:space="preserve">3, </w:t>
            </w:r>
            <w:hyperlink w:anchor="page3">
              <w:r>
                <w:rPr>
                  <w:rFonts w:ascii="Arial" w:cs="Arial" w:eastAsia="Arial" w:hAnsi="Arial"/>
                  <w:sz w:val="18"/>
                  <w:szCs w:val="18"/>
                  <w:color w:val="0000FF"/>
                  <w:w w:val="90"/>
                </w:rPr>
                <w:t xml:space="preserve">2021 </w:t>
              </w:r>
            </w:hyperlink>
            <w:hyperlink w:anchor="page5">
              <w:r>
                <w:rPr>
                  <w:rFonts w:ascii="Arial" w:cs="Arial" w:eastAsia="Arial" w:hAnsi="Arial"/>
                  <w:sz w:val="18"/>
                  <w:szCs w:val="18"/>
                  <w:color w:val="0000FF"/>
                  <w:w w:val="90"/>
                </w:rPr>
                <w:t>and September 30, 2021</w:t>
              </w:r>
            </w:hyperlink>
          </w:p>
        </w:tc>
        <w:tc>
          <w:tcPr>
            <w:tcW w:w="58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2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20" w:type="dxa"/>
            <w:vAlign w:val="bottom"/>
            <w:gridSpan w:val="4"/>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916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4300" w:type="dxa"/>
            <w:vAlign w:val="bottom"/>
            <w:gridSpan w:val="10"/>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Quantitative and Qualitative Disclosures about Market Risk</w:t>
              </w:r>
            </w:hyperlink>
          </w:p>
        </w:tc>
        <w:tc>
          <w:tcPr>
            <w:tcW w:w="2140" w:type="dxa"/>
            <w:vAlign w:val="bottom"/>
          </w:tcPr>
          <w:p>
            <w:pPr>
              <w:spacing w:after="0"/>
              <w:rPr>
                <w:sz w:val="18"/>
                <w:szCs w:val="18"/>
                <w:color w:val="auto"/>
              </w:rPr>
            </w:pPr>
          </w:p>
        </w:tc>
        <w:tc>
          <w:tcPr>
            <w:tcW w:w="272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1760" w:type="dxa"/>
            <w:vAlign w:val="bottom"/>
            <w:gridSpan w:val="7"/>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Controls and Procedures</w:t>
              </w:r>
            </w:hyperlink>
          </w:p>
        </w:tc>
        <w:tc>
          <w:tcPr>
            <w:tcW w:w="2540" w:type="dxa"/>
            <w:vAlign w:val="bottom"/>
            <w:gridSpan w:val="3"/>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PART II. OTHER INFORMATION:</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w:t>
              </w:r>
            </w:hyperlink>
          </w:p>
        </w:tc>
        <w:tc>
          <w:tcPr>
            <w:tcW w:w="916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900" w:type="dxa"/>
            <w:vAlign w:val="bottom"/>
            <w:gridSpan w:val="4"/>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00" w:type="dxa"/>
            <w:vAlign w:val="bottom"/>
            <w:gridSpan w:val="2"/>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4300" w:type="dxa"/>
            <w:vAlign w:val="bottom"/>
            <w:gridSpan w:val="10"/>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Unregistered Sales of Equity Securities and Use of Proceeds</w:t>
              </w:r>
            </w:hyperlink>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2320" w:type="dxa"/>
            <w:vAlign w:val="bottom"/>
            <w:gridSpan w:val="8"/>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Defaults Upon Senior Securities</w:t>
              </w:r>
            </w:hyperlink>
          </w:p>
        </w:tc>
        <w:tc>
          <w:tcPr>
            <w:tcW w:w="198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1760" w:type="dxa"/>
            <w:vAlign w:val="bottom"/>
            <w:gridSpan w:val="7"/>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Mine Safety Disclosures</w:t>
              </w:r>
            </w:hyperlink>
          </w:p>
        </w:tc>
        <w:tc>
          <w:tcPr>
            <w:tcW w:w="560" w:type="dxa"/>
            <w:vAlign w:val="bottom"/>
          </w:tcPr>
          <w:p>
            <w:pPr>
              <w:spacing w:after="0"/>
              <w:rPr>
                <w:sz w:val="18"/>
                <w:szCs w:val="18"/>
                <w:color w:val="auto"/>
              </w:rPr>
            </w:pPr>
          </w:p>
        </w:tc>
        <w:tc>
          <w:tcPr>
            <w:tcW w:w="6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5.</w:t>
              </w:r>
            </w:hyperlink>
          </w:p>
        </w:tc>
        <w:tc>
          <w:tcPr>
            <w:tcW w:w="1760" w:type="dxa"/>
            <w:vAlign w:val="bottom"/>
            <w:gridSpan w:val="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740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6.</w:t>
              </w:r>
            </w:hyperlink>
          </w:p>
        </w:tc>
        <w:tc>
          <w:tcPr>
            <w:tcW w:w="600" w:type="dxa"/>
            <w:vAlign w:val="bottom"/>
            <w:gridSpan w:val="3"/>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Exhibits</w:t>
              </w:r>
            </w:hyperlink>
          </w:p>
        </w:tc>
        <w:tc>
          <w:tcPr>
            <w:tcW w:w="700" w:type="dxa"/>
            <w:vAlign w:val="bottom"/>
            <w:gridSpan w:val="3"/>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Index to Exhibits</w:t>
              </w:r>
            </w:hyperlink>
          </w:p>
        </w:tc>
        <w:tc>
          <w:tcPr>
            <w:tcW w:w="8860" w:type="dxa"/>
            <w:vAlign w:val="bottom"/>
            <w:gridSpan w:val="1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Signatures</w:t>
              </w:r>
            </w:hyperlink>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51"/>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1"/>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6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9"/>
        </w:trPr>
        <w:tc>
          <w:tcPr>
            <w:tcW w:w="638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common shares outstanding during the period plus dilutive potential</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3"/>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3"/>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gains on derivative instruments, net of tax</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75"/>
        </w:trPr>
        <w:tc>
          <w:tcPr>
            <w:tcW w:w="64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Reclassification of net unrealized (gains) losses on derivative instruments to net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net of tax</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Arial" w:cs="Arial" w:eastAsia="Arial" w:hAnsi="Arial"/>
                <w:sz w:val="18"/>
                <w:szCs w:val="18"/>
                <w:color w:val="auto"/>
              </w:rPr>
              <w:t>Net unrealized gains on securities, net of tax</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134"/>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1"/>
                <w:szCs w:val="11"/>
                <w:color w:val="auto"/>
              </w:rPr>
            </w:pPr>
          </w:p>
        </w:tc>
        <w:tc>
          <w:tcPr>
            <w:tcW w:w="980" w:type="dxa"/>
            <w:vAlign w:val="bottom"/>
          </w:tcPr>
          <w:p>
            <w:pPr>
              <w:jc w:val="right"/>
              <w:ind w:right="431"/>
              <w:spacing w:after="0" w:line="135" w:lineRule="exact"/>
              <w:rPr>
                <w:sz w:val="20"/>
                <w:szCs w:val="20"/>
                <w:color w:val="auto"/>
              </w:rPr>
            </w:pPr>
            <w:r>
              <w:rPr>
                <w:rFonts w:ascii="Arial" w:cs="Arial" w:eastAsia="Arial" w:hAnsi="Arial"/>
                <w:sz w:val="14"/>
                <w:szCs w:val="14"/>
                <w:b w:val="1"/>
                <w:bCs w:val="1"/>
                <w:color w:val="auto"/>
                <w:w w:val="92"/>
              </w:rPr>
              <w:t>April 3,</w:t>
            </w:r>
          </w:p>
        </w:tc>
      </w:tr>
      <w:tr>
        <w:trPr>
          <w:trHeight w:val="188"/>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loss of unconsolidated affiliates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assets and liabilities, net of acquired businesses: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(908.1)</w:t>
            </w:r>
          </w:p>
        </w:tc>
      </w:tr>
      <w:tr>
        <w:trPr>
          <w:trHeight w:val="230"/>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Prepaid and other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non-current items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1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37"/>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Proceeds from sale of long-lived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property, plant and equipment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Investments in unconsolidated affiliates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acquisitions, net of cash acquired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81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36"/>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1,113.7</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Proceeds from issuance of 4.000% Senior Notes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and issuance fees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Common Shares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Cash received from exercise of stock options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noncontrolling interests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$16.5, $12.4 and $16.8, respectively</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$764.9, $713.3 and</w:t>
            </w:r>
          </w:p>
        </w:tc>
        <w:tc>
          <w:tcPr>
            <w:tcW w:w="3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$737.4, respectively</w:t>
            </w:r>
          </w:p>
        </w:tc>
        <w:tc>
          <w:tcPr>
            <w:tcW w:w="3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3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55.4, 55.7 and 55.6, respectively</w:t>
            </w:r>
          </w:p>
        </w:tc>
        <w:tc>
          <w:tcPr>
            <w:tcW w:w="3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12.8, 12.4 and 12.6 shares, respectively</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Company’s unaudited condensed consolidated financial statements for the three and six months ended April 2, 2022 and April 3, 2021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Condensed Consolidated Balance Sheets, and the other shareholders’ portion of net earnings and other comprehensive income was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2021 (the “2021 Annual Report”), which includes a complete set of footnote disclosures, including the Company’s significant accounting policies.</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2021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$13.0 and $7.9 during the six months ended April 2, 2022 and April 3, 2021, respectively, representing unpaid liabilities to acquire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Six Months Ended</w:t>
            </w:r>
          </w:p>
        </w:tc>
        <w:tc>
          <w:tcPr>
            <w:tcW w:w="1000" w:type="dxa"/>
            <w:vAlign w:val="bottom"/>
            <w:tcBorders>
              <w:bottom w:val="single" w:sz="8" w:color="auto"/>
            </w:tcBorders>
          </w:tcPr>
          <w:p>
            <w:pPr>
              <w:spacing w:after="0"/>
              <w:rPr>
                <w:sz w:val="16"/>
                <w:szCs w:val="16"/>
                <w:color w:val="auto"/>
              </w:rPr>
            </w:pPr>
          </w:p>
        </w:tc>
      </w:tr>
      <w:tr>
        <w:trPr>
          <w:trHeight w:val="134"/>
        </w:trPr>
        <w:tc>
          <w:tcPr>
            <w:tcW w:w="8100" w:type="dxa"/>
            <w:vAlign w:val="bottom"/>
          </w:tcPr>
          <w:p>
            <w:pPr>
              <w:spacing w:after="0"/>
              <w:rPr>
                <w:sz w:val="11"/>
                <w:szCs w:val="11"/>
                <w:color w:val="auto"/>
              </w:rPr>
            </w:pPr>
          </w:p>
        </w:tc>
        <w:tc>
          <w:tcPr>
            <w:tcW w:w="1000" w:type="dxa"/>
            <w:vAlign w:val="bottom"/>
          </w:tcPr>
          <w:p>
            <w:pPr>
              <w:jc w:val="center"/>
              <w:ind w:left="442"/>
              <w:spacing w:after="0" w:line="135" w:lineRule="exact"/>
              <w:rPr>
                <w:sz w:val="20"/>
                <w:szCs w:val="20"/>
                <w:color w:val="auto"/>
              </w:rPr>
            </w:pPr>
            <w:r>
              <w:rPr>
                <w:rFonts w:ascii="Arial" w:cs="Arial" w:eastAsia="Arial" w:hAnsi="Arial"/>
                <w:sz w:val="14"/>
                <w:szCs w:val="14"/>
                <w:b w:val="1"/>
                <w:bCs w:val="1"/>
                <w:color w:val="auto"/>
              </w:rPr>
              <w:t>April 2,</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w w:val="96"/>
              </w:rPr>
              <w:t>April 3,</w:t>
            </w:r>
          </w:p>
        </w:tc>
      </w:tr>
      <w:tr>
        <w:trPr>
          <w:trHeight w:val="188"/>
        </w:trPr>
        <w:tc>
          <w:tcPr>
            <w:tcW w:w="8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 (refunds) payments</w:t>
            </w:r>
          </w:p>
        </w:tc>
        <w:tc>
          <w:tcPr>
            <w:tcW w:w="1000" w:type="dxa"/>
            <w:vAlign w:val="bottom"/>
          </w:tcPr>
          <w:p>
            <w:pPr>
              <w:spacing w:after="0"/>
              <w:rPr>
                <w:sz w:val="20"/>
                <w:szCs w:val="20"/>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w w:val="91"/>
              </w:rPr>
              <w:t>(7.0)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Adopted Accounting Pronouncements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2019, the Financial Accounting Standards Board issued Accounting Standards Update No. 2019-12, “Income taxes (Topic 740): Simplifying the Accounting for Income Taxes,” which simplifies the accounting for income taxes by removing certain exceptions to the general principles in Accounting Standards Codification 740 and also clarifies and amends existing guidance to improve consistent application. The Company adopted this guidance on October 1, 2021. The adoption of this guidance did not have a material impact on the Company’s consolidated financial position,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transaction included contingent consideration with a maximum payout of $23.8 and an initial fair value of $18.2, the payment of which depended on the achievement of certain performance criteria by the International Business following the closing of the transaction through fiscal 2020. During the third quarter of fiscal 2021, the Company agreed to accept a contingent consideration payout of $6.0 and recorded a pre-tax charge of $12.2 in the “Income (loss) from discontinued operations, net of tax” line in the Condensed Consolidated Statements of Operations during the third quarter of fiscal 2021 to write down the contingent consideration receivable to the agreed upon payout amount. During the three months ended April 2, 2022, the Company received the contingent consideration payment and this amount was classified as a financing activity in the “Other financing, net” line in the Condensed Consolidated Statements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Cyco</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April 28, 2022, the Company’s Hawthorne segment completed the acquisition of substantially all of the assets of S.J. Enterprises PTY LTD, d.b.a. Cyco, an Australia-based provider of premium nutrients, additives and growing media products for indoor growing, for a purchase price of $34.4 plus contingent consideration with a maximum payout of $10.0 based on the achievement of certain performance metrics through December 31, 2024. Prior to the transaction, the Company served as the exclusive distributor of Cyco’s products 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Luxx Lighting</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December 30, 2021, the Company’s Hawthorne segment completed the acquisition of substantially all of the assets of Luxx Lighting, Inc., a leading provider of lighting products for indoor growing. The purchase price was $213.2, a portion of which was paid by the issuance of 0.1 million of the common shares of Scotts Miracle-Gro (“Common Shares”), a non-cash investing and financing activity, with a fair value of $21.0 based on the share price at the time of payment. During the three months ended April 2, 2022, the Company identified quality issues with certain products sold prior to the closing of the acquisition and recorded an accrual for product return refund liabilities and warranty claims of $8.0, and an offsetting increase to goodwill. At April 2, 2022, the preliminary valuation of the acquired assets included (i) $36.4 of inventory and accounts receivable, (ii) $6.3 of current assets, (iii) $20.3 of current liabilities, (iv) $106.9 of finite-lived identifiable intangible assets and (v) $83.9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Certain estimated values for the acquisition, including goodwill, intangible assets and accruals for refund liabilities and warranty claims, are not yet finalized and are subject to revision as additional information becomes available and more detailed analysis is completed.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True Liberty Bags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w:t>
      </w:r>
    </w:p>
    <w:p>
      <w:pPr>
        <w:jc w:val="both"/>
        <w:ind w:firstLine="8"/>
        <w:spacing w:after="0" w:line="253"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$5.8 of finite-lived identifiable intangible assets and (iii) $3.2 of tax-deductible goodwill. Identifiable intangible assets included tradenames and customer relationships with useful lives ranging between 15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Hydro-Logic</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August 27, 2021, the Company’s Hawthorne segment completed the acquisition of substantially all of the assets of Hydro-Logic Purification Systems, Inc., a leading provider of products, accessories and systems for water filtration and purification, for $65.3. The valuation of the acquired assets included (i) $4.9 of inventory and accounts receivable, (ii) $1.6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noncurrent assets, (iii) $2.4 of other liabilities, (iv) $23.1 of finite-lived identifiable intangible assets and (v) $38.1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Hawthorne Collective</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August 24, 2021, the Company’s newly formed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accrues interest at 2 percent annually for the first two years and provides additional follow-on investment rights. Accrued interest will be payable to THC at maturity or will be included in the conversion value of the note at the time of conversion. The conversion feature, which is based upon the RIV Capital closing stock price on August 9, 2021, would provide the Company with approximately 42 percent ownership of RIV Capital if it exercises the conversion feature. In connection with the Company’s investment, RIV Capital increased the size of its board of directors from four to seven members and added three nominees of the Company to the board of directors.</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22, 2022, pursuant to its follow-on investment rights, the Company made an additional investment in RIV Capital in the form of a $25.0 convertible note. The note accrues interest at 2 percent annually for the first two years and matures on August 24, 2027. Accrued interest will be payable to THC at maturity or will be included in the conversion value of the note at the time of conversion. The conversion feature is based upon the RIV Capital closing stock price on March 29, 2022. Additionally, RIV Capital is expected to increase the size of its board of directors during fiscal 2022 from seven to nine members, which is expected to include four nominees of the Company.</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will not have control of or an active day-to-day role in RIV Capital or any of the companies in which RIV Capital invests. RIV Capital has agreed to use the funds it receives from the Company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fourth quarter of fiscal 2021, THC made additional minority non-equity investments of $43.1 in other entities focused on branded cannabis and high quality genetics. These additional investments also include conversion features that would provide the Company with minority ownership interests if it exercises the conversion features, as well as restrictions that the funds will not be used in connection with or for any cannabis or cannabis-related operations in the U.S. unless and until such operations comply with all applicable U.S. federal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Rhizoflora</w:t>
      </w:r>
    </w:p>
    <w:p>
      <w:pPr>
        <w:spacing w:after="0" w:line="17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On August 13, 2021, the Company’s Hawthorne segment completed the acquisition of substantially all of the assets of Rhizoflora, Inc., the manufacturer of terpene enhancing nutrient products Terpinator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Purpinator</w:t>
      </w:r>
      <w:r>
        <w:rPr>
          <w:rFonts w:ascii="Arial" w:cs="Arial" w:eastAsia="Arial" w:hAnsi="Arial"/>
          <w:sz w:val="22"/>
          <w:szCs w:val="22"/>
          <w:color w:val="auto"/>
          <w:vertAlign w:val="superscript"/>
        </w:rPr>
        <w:t>®</w:t>
      </w:r>
      <w:r>
        <w:rPr>
          <w:rFonts w:ascii="Arial" w:cs="Arial" w:eastAsia="Arial" w:hAnsi="Arial"/>
          <w:sz w:val="17"/>
          <w:szCs w:val="17"/>
          <w:color w:val="auto"/>
        </w:rPr>
        <w:t>, for $33.7. The valuation of the acquired assets included (i) $0.6 of inventory, (ii) $10.9 of finite-lived identifiable intangible assets and (iii) $22.2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AeroGrow</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11, 2020, the Company entered into an agreement and plan of merger to acquire the remaining outstanding shares of AeroGrow for cash consideration of $3.00 per share, or approximately $20.1. The merger closed on February 26, 2021. SMG Growing Media, Inc., a wholly-owned subsidiary of Scotts Miracle-Gro, was the holder of 80.5% of the outstanding shares of AeroGrow prior to the closing and now holds 100%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 in the Condensed Consolidated Balance Sheets.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IN UNCONSOLIDATED AFFILIATES</w:t>
      </w:r>
    </w:p>
    <w:p>
      <w:pPr>
        <w:spacing w:after="0" w:line="16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Alabama Farmers Cooperative, Inc. (“AFC”), the Company acquired a 50% equity interest in the Bonnie Plants business of planting, growing, developing, distributing, marketing and selling live plants through a newly formed joint venture with AFC (“Bonnie Plants, LLC”) in exchange for a cash payment of $100.7, as well as non-cash investing activities that included forgiveness of the Company’s outstanding loan receivable with AFC and surrender of the Company’s options to increase its economic interest in the Bonnie Plants business. The Company’s loan receivable with AFC, which was previously recognized in the “Other assets” line in the Condensed Consolidated Balance Sheets, had a carrying value of $66.4 on December 31, 2020 and the Company recognized a gain of $12.5 during the three months ended January 2, 2021 to write-up the value of the loan to its closing date fair value of $78.9 in the “Other non-operating income, net” line in the Condensed Consolidated Statements of Operations. The Company’s options to increase its economic interest in the Bonnie Plants business were previously recognized in the “Other assets” line in the Condensed Consolidated Balance Sheets and had an estimated fair value of $23.3 on December 31, 2020. The Company’s interest in Bonnie Plants, LLC had an initial fair value of $202.9 and is recorded in the “Investment in unconsolidated affiliates” line in the Condensed Consolidated Balance Sheets. The Company’s interest is accounted for using the equity method of accounting, with the Company’s proportionate share of Bonnie Plants, LLC earnings subsequent to December 31, 2020 reflected in the Condensed Consolidated Statements of Operations. During the three and six months ended April 2, 2022, the Company recorded equity in loss of unconsolidated affiliates associated with Bonnie Plants, LLC of $6.5 and $13.8, respectively, as compared to $1.5 during both the three and six months ended April 3, 2021.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44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480" w:type="dxa"/>
            <w:vAlign w:val="bottom"/>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4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800" w:type="dxa"/>
            <w:vAlign w:val="bottom"/>
          </w:tcPr>
          <w:p>
            <w:pPr>
              <w:jc w:val="right"/>
              <w:ind w:right="60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8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800" w:type="dxa"/>
            <w:vAlign w:val="bottom"/>
            <w:tcBorders>
              <w:bottom w:val="single" w:sz="8" w:color="auto"/>
            </w:tcBorders>
          </w:tcPr>
          <w:p>
            <w:pPr>
              <w:jc w:val="right"/>
              <w:ind w:right="60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6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activity related to liabilities associated with restructuring and other during the six months ended April 2,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September 30, 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1.9</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62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2.6</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7"/>
              </w:rPr>
              <w:t>(2.7)</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for restructuring and other at April 2, 2022</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7"/>
              </w:rPr>
              <w:t>1.8</w:t>
            </w:r>
          </w:p>
        </w:tc>
      </w:tr>
      <w:tr>
        <w:trPr>
          <w:trHeight w:val="20"/>
        </w:trPr>
        <w:tc>
          <w:tcPr>
            <w:tcW w:w="9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Included in restructuring accruals, as of April 2, 2022, is $0.4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During the second quarter of fiscal 2022, the Company announced plans to consolidate U.S. lighting manufacturing for its Hawthorne segment into a single location and to close another recently acquired assembly facility and move those operations to its Santa Rosa, California facility. During the three and six months ended April 2, 2022, the Company’s Hawthorne segment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incurred costs of $5.3 in the “Cost of sales—impairment, restructuring and other” line in the Condensed Consolidated Statements of Operations and $0.1 in the “Impairment, restructuring and other” line in the Condensed Consolidated Statements of Operations in connection with this restructuring initiative related to employee termination benefits and impairment of property, plant and equipment.</w:t>
      </w:r>
    </w:p>
    <w:p>
      <w:pPr>
        <w:spacing w:after="0" w:line="10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the Company’s business and industry. The Company has actively addressed the pandemic’s ongoing impact on its employees, operations, customers, consumers, and communities, by, among other things, implementing contingency plans, making operational adjustments where necessary, and providing assistance to organizations that support front-line workers. The first priority of the Company’s pandemic response has been and remains the health, safety and well-being of its employees. In addition to implementing measures to help ensure the health and safety of its employees, the Company implemented an interim premium pay allowance for certain associates in its field sales force and its manufacturing and distribution centers. Costs incurred during the three and six months ended April 2, 2022 related to COVID-19 were immaterial. During the three and six months ended April 3, 2021, the Company incurred costs of $14.9 and $24.2, respectively, associated with the COVID-19 pandemic primarily related to premium pay. The Company incurred costs of $10.7 and $19.0 in its U.S. Consumer segment, $1.5 and $1.9 in its Hawthorne segment and $0.1 in its Other segment in the “Cost of sales—impairment, restructuring and other” line in the Condensed Consolidated Statements of Operations during the three and six months ended April 3, 2021, respectively. The Company incurred costs of $2.6 and $3.2 in its U.S. Consumer segment in the “Impairment, restructuring and other” line in the Condensed Consolidated Statements of Operations during the three and six months ended April 3, 2021,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Adjustments to reflect inventories at net realizable values were $16.4 at April 2, 2022, $21.4 at April 3, 2021 and $22.5 at September 30,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48"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6"/>
          <w:szCs w:val="16"/>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Amended and Restated Exclusive Agency and Marketing Agreement (the “Third Restated Agreement”) which amended, among other things, the provisions of the Second Amended and Restated Exclusive Agency and Marketing Agreement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w:t>
      </w:r>
    </w:p>
    <w:p>
      <w:pPr>
        <w:spacing w:after="0" w:line="11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1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terminate the Third Restated Agreement upon the insolvency or bankruptcy of Monsanto;</w:t>
      </w:r>
    </w:p>
    <w:p>
      <w:pPr>
        <w:spacing w:after="0" w:line="144"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elements of the net commission and reimbursements earned under the Third Restated Agreement and included in the “Net sales” line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8"/>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302"/>
              <w:spacing w:after="0" w:line="135"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12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1220" w:type="dxa"/>
            <w:vAlign w:val="bottom"/>
            <w:gridSpan w:val="4"/>
          </w:tcPr>
          <w:p>
            <w:pPr>
              <w:ind w:left="380"/>
              <w:spacing w:after="0" w:line="135"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6"/>
              </w:rPr>
              <w:t>50.2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(4.5)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7"/>
              </w:rPr>
              <w:t>(9.0)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6"/>
              </w:rPr>
              <w:t>41.2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6"/>
              </w:rPr>
              <w:t>40.6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6"/>
              </w:rPr>
              <w:t>81.8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00" w:type="dxa"/>
            <w:vAlign w:val="bottom"/>
          </w:tcPr>
          <w:p>
            <w:pPr>
              <w:ind w:left="420"/>
              <w:spacing w:after="0"/>
              <w:rPr>
                <w:sz w:val="20"/>
                <w:szCs w:val="20"/>
                <w:color w:val="auto"/>
              </w:rPr>
            </w:pPr>
            <w:r>
              <w:rPr>
                <w:rFonts w:ascii="Arial" w:cs="Arial" w:eastAsia="Arial" w:hAnsi="Arial"/>
                <w:sz w:val="18"/>
                <w:szCs w:val="18"/>
                <w:color w:val="auto"/>
              </w:rPr>
              <w:t>The components of debt are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April 2,</w:t>
            </w:r>
          </w:p>
        </w:tc>
        <w:tc>
          <w:tcPr>
            <w:tcW w:w="520" w:type="dxa"/>
            <w:vAlign w:val="bottom"/>
          </w:tcPr>
          <w:p>
            <w:pPr>
              <w:spacing w:after="0"/>
              <w:rPr>
                <w:sz w:val="24"/>
                <w:szCs w:val="24"/>
                <w:color w:val="auto"/>
              </w:rPr>
            </w:pPr>
          </w:p>
        </w:tc>
        <w:tc>
          <w:tcPr>
            <w:tcW w:w="920" w:type="dxa"/>
            <w:vAlign w:val="bottom"/>
            <w:gridSpan w:val="2"/>
          </w:tcPr>
          <w:p>
            <w:pPr>
              <w:jc w:val="right"/>
              <w:ind w:right="357"/>
              <w:spacing w:after="0"/>
              <w:rPr>
                <w:sz w:val="20"/>
                <w:szCs w:val="20"/>
                <w:color w:val="auto"/>
              </w:rPr>
            </w:pPr>
            <w:r>
              <w:rPr>
                <w:rFonts w:ascii="Arial" w:cs="Arial" w:eastAsia="Arial" w:hAnsi="Arial"/>
                <w:sz w:val="14"/>
                <w:szCs w:val="14"/>
                <w:b w:val="1"/>
                <w:bCs w:val="1"/>
                <w:color w:val="auto"/>
                <w:w w:val="96"/>
              </w:rPr>
              <w:t>April 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40" w:type="dxa"/>
            <w:vAlign w:val="bottom"/>
          </w:tcPr>
          <w:p>
            <w:pPr>
              <w:spacing w:after="0"/>
              <w:rPr>
                <w:sz w:val="19"/>
                <w:szCs w:val="19"/>
                <w:color w:val="auto"/>
              </w:rPr>
            </w:pPr>
          </w:p>
        </w:tc>
        <w:tc>
          <w:tcPr>
            <w:tcW w:w="98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1,135.0</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460.2</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2031 – 4.000%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2032 – 4.375%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Senior Notes due 2029 – 4.500%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 – 5.250%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3,829.1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3,350.0</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5, 2018, the Company entered into a fifth amended and restated credit agreement (the “Fifth A&amp;R Credit Agreement”), which provided the Company and certain of its subsidiaries with five-year senior secured loan facilities in the aggregate principal amount of $2,300.0, comprised of a revolving credit facility of $1,500.0 and a term loan in the original principal amount of $800.0 (the “Fifth A&amp;R Credit Facilities”). Under the Fifth A&amp;R Credit Facilities, the Company had the ability to obtain letters of credit up to $75.0.</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2, 2022, the Company had letters of credit outstanding in the aggregate principal amount of $19.9 and had $345.2 of borrowing availability under the Fifth A&amp;R Credit Agreement. The weighted average interest rates on average borrowings under the Fifth A&amp;R Credit Agreement were 1.8% and 1.9% for the six months ended April 2, 2022 and April 3, 2021, respectively.</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also provides the Company with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right to seek additional committed credit under the agreement in an aggregate amount of up to $500.0 plus an unlimited additional amount, subject to certain specified financial and other conditions. The Sixth A&amp;R Credit Agreement replaces the Fifth A&amp;R Credit Agreement and will terminate on April 8, 2027. The Sixth A&amp;R Credit Facilities will be available for issuance of letters of credit up to $100.0. The terms of the Sixth A&amp;R Credit Agreement include customary representations and warranties, affirmative and negative covenants, financial covenants, and events of default. The Fifth A&amp;R Credit Agreement would have terminated on July 5, 2023, if it had not been amended and restated pursuant to the Sixth A&amp;R Credit Agreement.</w:t>
      </w:r>
    </w:p>
    <w:p>
      <w:pPr>
        <w:spacing w:after="0" w:line="9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shall bear interest at the applicable Swingline Rate set forth in the Sixth A&amp;R Credit Agreement. Further,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the Company’s intellectual property.</w:t>
      </w:r>
    </w:p>
    <w:p>
      <w:pPr>
        <w:spacing w:after="0" w:line="1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Sixth A&amp;R Credit Agreement contains, among other obligations, an affirmative covenant regarding the Company’s leverage ratio determined as of the end of each of its fiscal quarters ending on and after April 2, 2022 calculated as average total indebtedness, divided by the Company’s earnings before interest, taxes, depreciation and amortization (“EBITDA”), as adjusted pursuant to the terms of the Sixth A&amp;R Credit Agreement (“Adjusted EBITDA”). The maximum permitted leverage ratio is 4.50, which is unchanged from the Fifth A&amp;R Credit Agreement. The Company’s leverage ratio was 3.81 at April 2, 2022. The Sixth A&amp;R Credit Agreement also contains an affirmative covenant regarding the Company’s interest coverage ratio determined as of the end of each of its fiscal quarters ending on and after April 2, 2022.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The Company’s interest coverage ratio was 7.81 for the twelve months ended April 2, 2022.</w:t>
      </w:r>
    </w:p>
    <w:p>
      <w:pPr>
        <w:spacing w:after="0" w:line="1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Sixth A&amp;R Credit Agreement allows the Company to make unlimited restricted payments (as defined in the Sixth A&amp;R Credit Agreement), including dividend payments on, and repurchases of, Common Shares, as long as the leverage ratio resulting from the making of such restricted payments is 4.00 or less. Otherwise, the Company may make further restricted payments in an aggregate amount for each fiscal year not to exceed $225.0.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5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All of Scotts Miracle-Gro’s domestic subsidiaries that serve as guarantors of the 5.250% Senior Notes also serve as guarantors of the 4.000% Senior Notes.</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All of Scotts Miracle-Gro’s domestic subsidiaries that serve as guarantors of the 5.250% Senior Notes also serve as guarantors of the 4.375% Senior Notes.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25, 2022 and ending on June 17, 2022 is $160.0. The Receivables Facility expires on August 19, 2022.</w:t>
      </w:r>
    </w:p>
    <w:p>
      <w:pPr>
        <w:spacing w:after="0" w:line="1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April 2, 2022 and April 3, 2021, there were $400.0 and $160.0, respectively, in borrowings on receivables pledged as collateral under the Receivables Facility, and the carrying value of the receivables pledged as collateral was $444.5 and $177.8,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April 2, 2022, April 3, 2021 and September 30, 2021 had a maximum total U.S. dollar equivalent notional amount of $800.0, $900.0 and $600.0, respectively. The notional amount, effective date, expiration date and rate of each of the swap agreements outstanding at April 2, 2022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88"/>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4"/>
        </w:trPr>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29"/>
        </w:trPr>
        <w:tc>
          <w:tcPr>
            <w:tcW w:w="24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29"/>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3.4% and 3.5% for the six months ended April 2, 2022 and April 3, 2021,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162"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tables provide a summary of the changes in total equity, equity attributable to controlling interest, and equity attributable to noncontrolling interests for each of the periods indicated:</w:t>
      </w:r>
    </w:p>
    <w:tbl>
      <w:tblPr>
        <w:tblLayout w:type="fixed"/>
        <w:tblInd w:w="0" w:type="dxa"/>
        <w:tblCellMar>
          <w:top w:w="0" w:type="dxa"/>
          <w:left w:w="0" w:type="dxa"/>
          <w:bottom w:w="0" w:type="dxa"/>
          <w:right w:w="0" w:type="dxa"/>
        </w:tblCellMar>
      </w:tblPr>
      <w:tr>
        <w:trPr>
          <w:trHeight w:val="127"/>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40"/>
              <w:spacing w:after="0" w:line="128" w:lineRule="exact"/>
              <w:rPr>
                <w:sz w:val="20"/>
                <w:szCs w:val="20"/>
                <w:color w:val="auto"/>
              </w:rPr>
            </w:pPr>
            <w:r>
              <w:rPr>
                <w:rFonts w:ascii="Arial" w:cs="Arial" w:eastAsia="Arial" w:hAnsi="Arial"/>
                <w:sz w:val="13"/>
                <w:szCs w:val="13"/>
                <w:b w:val="1"/>
                <w:bCs w:val="1"/>
                <w:color w:val="auto"/>
                <w:w w:val="87"/>
              </w:rPr>
              <w:t>Common Shares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Accumulated 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 Equity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2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Controlling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2021</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($0.66 per share)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line="155" w:lineRule="exact"/>
              <w:rPr>
                <w:sz w:val="20"/>
                <w:szCs w:val="20"/>
                <w:color w:val="auto"/>
              </w:rPr>
            </w:pPr>
            <w:r>
              <w:rPr>
                <w:rFonts w:ascii="Arial" w:cs="Arial" w:eastAsia="Arial" w:hAnsi="Arial"/>
                <w:sz w:val="14"/>
                <w:szCs w:val="14"/>
                <w:color w:val="auto"/>
              </w:rPr>
              <w:t>Balance at January 1, 2022</w:t>
            </w: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831.6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($0.66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2, 2022</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40" w:type="dxa"/>
            <w:vAlign w:val="bottom"/>
            <w:gridSpan w:val="6"/>
          </w:tcPr>
          <w:p>
            <w:pPr>
              <w:spacing w:after="0"/>
              <w:rPr>
                <w:sz w:val="20"/>
                <w:szCs w:val="20"/>
                <w:color w:val="auto"/>
              </w:rPr>
            </w:pPr>
            <w:r>
              <w:rPr>
                <w:rFonts w:ascii="Arial" w:cs="Arial" w:eastAsia="Arial" w:hAnsi="Arial"/>
                <w:sz w:val="14"/>
                <w:szCs w:val="14"/>
                <w:color w:val="auto"/>
              </w:rPr>
              <w:t>The sum of the components may not equal due to rounding.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00"/>
              <w:spacing w:after="0" w:line="147" w:lineRule="exact"/>
              <w:rPr>
                <w:sz w:val="20"/>
                <w:szCs w:val="20"/>
                <w:color w:val="auto"/>
              </w:rPr>
            </w:pPr>
            <w:r>
              <w:rPr>
                <w:rFonts w:ascii="Arial" w:cs="Arial" w:eastAsia="Arial" w:hAnsi="Arial"/>
                <w:sz w:val="13"/>
                <w:szCs w:val="13"/>
                <w:b w:val="1"/>
                <w:bCs w:val="1"/>
                <w:color w:val="auto"/>
                <w:w w:val="87"/>
              </w:rPr>
              <w:t>Common Shares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1"/>
              </w:rPr>
              <w:t>and Capital in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0"/>
                <w:szCs w:val="10"/>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8"/>
              </w:rPr>
              <w:t>Accumulated 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2"/>
              </w:rPr>
              <w:t>Total Equity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Excess of Stated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2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Controlling 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1,235.6</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($0.62 per share)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Balance at January 2, 2021</w:t>
            </w: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490.5</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(958.8)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Dividends declared ($0.62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Balance at April 3, 2021</w:t>
            </w: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4800" w:type="dxa"/>
            <w:vAlign w:val="bottom"/>
            <w:gridSpan w:val="11"/>
          </w:tcPr>
          <w:p>
            <w:pPr>
              <w:jc w:val="center"/>
              <w:ind w:right="960"/>
              <w:spacing w:after="0"/>
              <w:rPr>
                <w:sz w:val="20"/>
                <w:szCs w:val="20"/>
                <w:color w:val="auto"/>
              </w:rPr>
            </w:pPr>
            <w:r>
              <w:rPr>
                <w:rFonts w:ascii="Arial" w:cs="Arial" w:eastAsia="Arial" w:hAnsi="Arial"/>
                <w:sz w:val="18"/>
                <w:szCs w:val="18"/>
                <w:b w:val="1"/>
                <w:bCs w:val="1"/>
                <w:color w:val="auto"/>
              </w:rPr>
              <w:t>THE SCOTTS MIRACLE-GRO COMPANY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920" w:type="dxa"/>
            <w:vAlign w:val="bottom"/>
            <w:gridSpan w:val="16"/>
          </w:tcPr>
          <w:p>
            <w:pPr>
              <w:jc w:val="center"/>
              <w:ind w:left="1231"/>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Accumulated Other Comprehensive Loss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6"/>
          </w:tcPr>
          <w:p>
            <w:pPr>
              <w:ind w:left="420"/>
              <w:spacing w:after="0"/>
              <w:rPr>
                <w:sz w:val="20"/>
                <w:szCs w:val="20"/>
                <w:color w:val="auto"/>
              </w:rPr>
            </w:pPr>
            <w:r>
              <w:rPr>
                <w:rFonts w:ascii="Arial" w:cs="Arial" w:eastAsia="Arial" w:hAnsi="Arial"/>
                <w:sz w:val="18"/>
                <w:szCs w:val="18"/>
                <w:color w:val="auto"/>
                <w:w w:val="94"/>
              </w:rPr>
              <w:t>Changes in accumulated other comprehensive loss (“AOCL”) by component were as follows for each of the periods indicated: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1"/>
                <w:szCs w:val="11"/>
                <w:color w:val="auto"/>
              </w:rPr>
            </w:pPr>
          </w:p>
        </w:tc>
        <w:tc>
          <w:tcPr>
            <w:tcW w:w="118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 Securities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 Adjustments</w:t>
            </w:r>
          </w:p>
        </w:tc>
        <w:tc>
          <w:tcPr>
            <w:tcW w:w="140" w:type="dxa"/>
            <w:vAlign w:val="bottom"/>
          </w:tcPr>
          <w:p>
            <w:pPr>
              <w:spacing w:after="0"/>
              <w:rPr>
                <w:sz w:val="16"/>
                <w:szCs w:val="16"/>
                <w:color w:val="auto"/>
              </w:rPr>
            </w:pPr>
          </w:p>
        </w:tc>
        <w:tc>
          <w:tcPr>
            <w:tcW w:w="11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April 2, 2022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January 2, 2021</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w w:val="99"/>
              </w:rPr>
              <w:t>The sum of the components may not equal due to rounding.</w:t>
            </w: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0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Gains (Losses)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1"/>
                <w:szCs w:val="11"/>
                <w:color w:val="auto"/>
              </w:rPr>
            </w:pPr>
          </w:p>
        </w:tc>
        <w:tc>
          <w:tcPr>
            <w:tcW w:w="118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 Securities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 Adjustments</w:t>
            </w:r>
          </w:p>
        </w:tc>
        <w:tc>
          <w:tcPr>
            <w:tcW w:w="140" w:type="dxa"/>
            <w:vAlign w:val="bottom"/>
          </w:tcPr>
          <w:p>
            <w:pPr>
              <w:spacing w:after="0"/>
              <w:rPr>
                <w:sz w:val="16"/>
                <w:szCs w:val="16"/>
                <w:color w:val="auto"/>
              </w:rPr>
            </w:pPr>
          </w:p>
        </w:tc>
        <w:tc>
          <w:tcPr>
            <w:tcW w:w="118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April 2, 2022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income (loss) before</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2"/>
          </w:tcPr>
          <w:p>
            <w:pPr>
              <w:ind w:left="240"/>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July 27, 2020, the Scotts Miracle-Gro Board of Directors approved an increase in the Company’s quarterly cash dividend from $0.58 to $0.62 per Common Share, which was first paid in the fourth quarter of fiscal 2020. On July 30, 2021, the Scotts Miracle-Gro Board of Directors approved an increase in the Company’s quarterly cash dividend from $0.62 to $0.66 per Common Share, which was first paid in the fourth quarter of fiscal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During the three and six months ended April 2, 2022, Scotts Miracle-Gro repurchased approximately 0.4 million and 1.1 million Common Shares under this share repurchase authorization for $50.0 and $175.0, respectively. During the three and six months ended April 3, 2021, Scotts Miracle-Gro repurchased approximately 0.1 million and 0.3 million Common Shares under this share repurchase authorization for $12.5 and $50.5, respectively. Treasury share purchases also include cash paid to tax authorities to satisfy statutory income tax withholding obligations related to share-based compensation of $78.1 and $82.6 for the three and six months ended April 2, 2022, respectively, and $11.3 and $11.7 for the three and six months ended April 3,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135"/>
        </w:trPr>
        <w:tc>
          <w:tcPr>
            <w:tcW w:w="6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4"/>
          </w:tcPr>
          <w:p>
            <w:pPr>
              <w:jc w:val="right"/>
              <w:ind w:right="401"/>
              <w:spacing w:after="0" w:line="135" w:lineRule="exact"/>
              <w:rPr>
                <w:sz w:val="20"/>
                <w:szCs w:val="20"/>
                <w:color w:val="auto"/>
              </w:rPr>
            </w:pPr>
            <w:r>
              <w:rPr>
                <w:rFonts w:ascii="Arial" w:cs="Arial" w:eastAsia="Arial" w:hAnsi="Arial"/>
                <w:sz w:val="14"/>
                <w:szCs w:val="14"/>
                <w:b w:val="1"/>
                <w:bCs w:val="1"/>
                <w:color w:val="auto"/>
              </w:rPr>
              <w:t>April 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436"/>
              <w:spacing w:after="0" w:line="135" w:lineRule="exact"/>
              <w:rPr>
                <w:sz w:val="20"/>
                <w:szCs w:val="20"/>
                <w:color w:val="auto"/>
              </w:rPr>
            </w:pPr>
            <w:r>
              <w:rPr>
                <w:rFonts w:ascii="Arial" w:cs="Arial" w:eastAsia="Arial" w:hAnsi="Arial"/>
                <w:sz w:val="14"/>
                <w:szCs w:val="14"/>
                <w:b w:val="1"/>
                <w:bCs w:val="1"/>
                <w:color w:val="auto"/>
                <w:w w:val="92"/>
              </w:rPr>
              <w:t>April 3,</w:t>
            </w:r>
          </w:p>
        </w:tc>
      </w:tr>
      <w:tr>
        <w:trPr>
          <w:trHeight w:val="188"/>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183,553</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135,892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61,749</w:t>
            </w: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Performance units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105,275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and deferred stock units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16,942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258,109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at grant dates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445"/>
        </w:trPr>
        <w:tc>
          <w:tcPr>
            <w:tcW w:w="6440" w:type="dxa"/>
            <w:vAlign w:val="bottom"/>
          </w:tcPr>
          <w:p>
            <w:pPr>
              <w:ind w:left="420"/>
              <w:spacing w:after="0"/>
              <w:rPr>
                <w:sz w:val="20"/>
                <w:szCs w:val="20"/>
                <w:color w:val="auto"/>
              </w:rPr>
            </w:pPr>
            <w:r>
              <w:rPr>
                <w:rFonts w:ascii="Arial" w:cs="Arial" w:eastAsia="Arial" w:hAnsi="Arial"/>
                <w:sz w:val="18"/>
                <w:szCs w:val="18"/>
                <w:color w:val="auto"/>
                <w:w w:val="92"/>
              </w:rPr>
              <w:t>Total share-based compensation was as follows for each of the periods indicated: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6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bottom w:val="single" w:sz="8" w:color="auto"/>
            </w:tcBorders>
            <w:gridSpan w:val="7"/>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840" w:type="dxa"/>
            <w:vAlign w:val="bottom"/>
            <w:gridSpan w:val="2"/>
          </w:tcPr>
          <w:p>
            <w:pPr>
              <w:jc w:val="right"/>
              <w:ind w:right="188"/>
              <w:spacing w:after="0" w:line="135"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320"/>
              <w:spacing w:after="0" w:line="135" w:lineRule="exact"/>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11"/>
                <w:szCs w:val="11"/>
                <w:color w:val="auto"/>
              </w:rPr>
            </w:pPr>
          </w:p>
        </w:tc>
        <w:tc>
          <w:tcPr>
            <w:tcW w:w="980" w:type="dxa"/>
            <w:vAlign w:val="bottom"/>
          </w:tcPr>
          <w:p>
            <w:pPr>
              <w:jc w:val="right"/>
              <w:ind w:right="236"/>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23.2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Related tax benefit recognized</w:t>
            </w:r>
          </w:p>
        </w:tc>
        <w:tc>
          <w:tcPr>
            <w:tcW w:w="22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863"/>
        </w:trPr>
        <w:tc>
          <w:tcPr>
            <w:tcW w:w="6440" w:type="dxa"/>
            <w:vAlign w:val="bottom"/>
          </w:tcPr>
          <w:p>
            <w:pPr>
              <w:ind w:left="55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Restricted share-based award activity (including restricted stock units and deferred stock units) during the six months ended April 2, 2022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Arial" w:cs="Arial" w:eastAsia="Arial" w:hAnsi="Arial"/>
                <w:sz w:val="14"/>
                <w:szCs w:val="14"/>
                <w:b w:val="1"/>
                <w:bCs w:val="1"/>
                <w:color w:val="auto"/>
                <w:w w:val="95"/>
              </w:rPr>
              <w:t>No.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Wtd. Avg. Grant Date</w:t>
            </w:r>
          </w:p>
        </w:tc>
      </w:tr>
      <w:tr>
        <w:trPr>
          <w:trHeight w:val="188"/>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2021</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152,834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134.00</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166.87</w:t>
            </w:r>
          </w:p>
        </w:tc>
      </w:tr>
      <w:tr>
        <w:trPr>
          <w:trHeight w:val="24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April 2,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2, 2022, the total pre-tax compensation cost, net of estimated forfeitures, related to nonvested restricted stock units not yet recognized was $16.6, which is expected to be recognized over a weighted-average period of 2.1 years. The total fair value of restricted stock units and deferred stock units vested was $24.9 for the six months ended April 2,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Performance-based award activity during the six months ended April 2, 2022 was as follows (based on target award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Arial" w:cs="Arial" w:eastAsia="Arial" w:hAnsi="Arial"/>
                <w:sz w:val="14"/>
                <w:szCs w:val="14"/>
                <w:b w:val="1"/>
                <w:bCs w:val="1"/>
                <w:color w:val="auto"/>
                <w:w w:val="95"/>
              </w:rPr>
              <w:t>No.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Wtd. Avg. Grant Date</w:t>
            </w:r>
          </w:p>
        </w:tc>
      </w:tr>
      <w:tr>
        <w:trPr>
          <w:trHeight w:val="188"/>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2021</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r>
      <w:tr>
        <w:trPr>
          <w:trHeight w:val="229"/>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105,275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132.87</w:t>
            </w:r>
          </w:p>
        </w:tc>
      </w:tr>
      <w:tr>
        <w:trPr>
          <w:trHeight w:val="230"/>
        </w:trPr>
        <w:tc>
          <w:tcPr>
            <w:tcW w:w="8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(533,441)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110.50</w:t>
            </w:r>
          </w:p>
        </w:tc>
      </w:tr>
      <w:tr>
        <w:trPr>
          <w:trHeight w:val="24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April 2,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Vested at an average of 228 percent of the target performance share units granted.</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2, 2022, the total pre-tax compensation cost, net of estimated forfeitures, related to nonvested performance-based units not yet recognized was $6.8, which is expected to be recognized over a weighted-average period of 2.3 years. The total fair value of performance-based units vested was $182.5 for the six months ended April 2, 2022.</w:t>
      </w:r>
    </w:p>
    <w:p>
      <w:pPr>
        <w:spacing w:after="0" w:line="10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January 30, 2017, the Company issued 0.5 million upfront performance-based award units, covering a five-year performance period, with an estimated fair value of $43.3 on the date of grant to certain senior executives as part of its Project Focus initiative. These awards provided for a five-year vesting period based on achievement of specific performance goals aligned with the strategic objectives of the Company’s Project Focus initiatives. Based on the extent to which the targets were achieved, vested shares may range from 50 to 250 percent of the target award amount. The Company’s actual performance far exceeded the pre-defined performance goals of this award. As a result, the participants earned the maximum payout equal to 250% of the target shares granted (for a total payout of 1.1 million shares). As of December 1, 2021, the award payout was both fully earned and fully vested and the vested shares were delivered to the recipients on January 30, 2022. Dividend equivalents equal to the cash dividends earned on share-based award units during the vesting period of $19.3 and $20.1 were also paid out during the three and six months ended April 2, 2022, respectively.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COMMON SHARE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necessary to calculate basic and diluted income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4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5.58</w:t>
            </w:r>
          </w:p>
        </w:tc>
        <w:tc>
          <w:tcPr>
            <w:tcW w:w="1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(loss) per common share: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6"/>
        </w:trPr>
        <w:tc>
          <w:tcPr>
            <w:tcW w:w="6440" w:type="dxa"/>
            <w:vAlign w:val="bottom"/>
          </w:tcPr>
          <w:p>
            <w:pPr>
              <w:ind w:left="360"/>
              <w:spacing w:after="0" w:line="156" w:lineRule="exact"/>
              <w:rPr>
                <w:sz w:val="20"/>
                <w:szCs w:val="20"/>
                <w:color w:val="auto"/>
              </w:rPr>
            </w:pPr>
            <w:r>
              <w:rPr>
                <w:rFonts w:ascii="Arial" w:cs="Arial" w:eastAsia="Arial" w:hAnsi="Arial"/>
                <w:sz w:val="18"/>
                <w:szCs w:val="18"/>
                <w:color w:val="auto"/>
                <w:w w:val="98"/>
              </w:rPr>
              <w:t>Weighted-average common shares outstanding during the period plus dilutive</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3"/>
        </w:trPr>
        <w:tc>
          <w:tcPr>
            <w:tcW w:w="6440" w:type="dxa"/>
            <w:vAlign w:val="bottom"/>
          </w:tcPr>
          <w:p>
            <w:pPr>
              <w:ind w:left="360"/>
              <w:spacing w:after="0" w:line="202" w:lineRule="exact"/>
              <w:rPr>
                <w:sz w:val="20"/>
                <w:szCs w:val="20"/>
                <w:color w:val="auto"/>
              </w:rPr>
            </w:pPr>
            <w:r>
              <w:rPr>
                <w:rFonts w:ascii="Arial" w:cs="Arial" w:eastAsia="Arial" w:hAnsi="Arial"/>
                <w:sz w:val="18"/>
                <w:szCs w:val="18"/>
                <w:color w:val="auto"/>
              </w:rPr>
              <w:t>potential common shares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the three and six months ended April 2, 2022, the average number of out-of-the-money options was 0.2 million. For the three and six months ended April 3, 2021, the average number of out-of-the-money options was 0.1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rates related to continuing operations for the six months ended April 2, 2022 and April 3, 2021 were 22.0% and 23.1%,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w:t>
      </w:r>
    </w:p>
    <w:p>
      <w:pPr>
        <w:spacing w:after="0" w:line="6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2018. There are currently no ongoing audits with respect to the U.S. federal jurisdiction. With respect to the foreign jurisdictions, a German audit covering fiscal years 2014 through 2017 is in process with no known material impact to the financial statements. The Company is currently under examination by certain U.S. state and local tax authorities covering various periods from fiscal years 2017 through 2020.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6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April 2, 2022, $2.9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$184.9, $168.0 and $180.3 at April 2, 2022, April 3, 2021 and September 30, 2021, respectively. Contracts outstanding at April 2, 2022 will mature over the next fiscal quarter.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hedging interest payments as of April 2, 2022, April 3, 2021 and September 30, 2021 had a maximum total U.S. dollar equivalent notional amount of $800.0, $900.0 and $600.0, respectively. Refer to “NOTE 8. DEBT” for the terms of the swap agreements outstanding at April 2, 2022. Included in the AOCL balance at April 2, 2022 was a gain of $2.0 related to interest rate swap agreements that is expected to be reclassified to earnings during the next twelve months, consistent with the timing of the underlying hedged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April 2, 2022 was a gain of $18.3 related to commodity hedges that is expected to be reclassified to earnings during the next twelve months, consistent with the timing of the underlying hedged transactions.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740"/>
              <w:spacing w:after="0"/>
              <w:rPr>
                <w:sz w:val="20"/>
                <w:szCs w:val="20"/>
                <w:color w:val="auto"/>
              </w:rPr>
            </w:pPr>
            <w:r>
              <w:rPr>
                <w:rFonts w:ascii="Arial" w:cs="Arial" w:eastAsia="Arial" w:hAnsi="Arial"/>
                <w:sz w:val="14"/>
                <w:szCs w:val="14"/>
                <w:b w:val="1"/>
                <w:bCs w:val="1"/>
                <w:color w:val="auto"/>
              </w:rPr>
              <w:t>April 2,</w:t>
            </w:r>
          </w:p>
        </w:tc>
        <w:tc>
          <w:tcPr>
            <w:tcW w:w="2100" w:type="dxa"/>
            <w:vAlign w:val="bottom"/>
            <w:gridSpan w:val="2"/>
          </w:tcPr>
          <w:p>
            <w:pPr>
              <w:ind w:left="760"/>
              <w:spacing w:after="0"/>
              <w:rPr>
                <w:sz w:val="20"/>
                <w:szCs w:val="20"/>
                <w:color w:val="auto"/>
              </w:rPr>
            </w:pPr>
            <w:r>
              <w:rPr>
                <w:rFonts w:ascii="Arial" w:cs="Arial" w:eastAsia="Arial" w:hAnsi="Arial"/>
                <w:sz w:val="14"/>
                <w:szCs w:val="14"/>
                <w:b w:val="1"/>
                <w:bCs w:val="1"/>
                <w:color w:val="auto"/>
              </w:rPr>
              <w:t>April 3,</w:t>
            </w:r>
          </w:p>
        </w:tc>
        <w:tc>
          <w:tcPr>
            <w:tcW w:w="1980" w:type="dxa"/>
            <w:vAlign w:val="bottom"/>
          </w:tcPr>
          <w:p>
            <w:pPr>
              <w:jc w:val="right"/>
              <w:ind w:right="4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980" w:type="dxa"/>
            <w:vAlign w:val="bottom"/>
          </w:tcPr>
          <w:p>
            <w:pPr>
              <w:jc w:val="right"/>
              <w:ind w:right="7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 tons</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4,452,000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4,368,000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5,880,000 gallons</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2,268,000 gallons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April 3,</w:t>
            </w:r>
          </w:p>
        </w:tc>
        <w:tc>
          <w:tcPr>
            <w:tcW w:w="200" w:type="dxa"/>
            <w:vAlign w:val="bottom"/>
          </w:tcPr>
          <w:p>
            <w:pPr>
              <w:spacing w:after="0"/>
              <w:rPr>
                <w:sz w:val="11"/>
                <w:szCs w:val="11"/>
                <w:color w:val="auto"/>
              </w:rPr>
            </w:pPr>
          </w:p>
        </w:tc>
        <w:tc>
          <w:tcPr>
            <w:tcW w:w="128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6560" w:type="dxa"/>
            <w:vAlign w:val="bottom"/>
            <w:gridSpan w:val="4"/>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w w:val="93"/>
              </w:rPr>
              <w:t>Amount of Gain / (Loss) Recognized in AOCL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April 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5"/>
                <w:szCs w:val="15"/>
                <w:color w:val="auto"/>
              </w:rPr>
            </w:pPr>
          </w:p>
        </w:tc>
        <w:tc>
          <w:tcPr>
            <w:tcW w:w="960" w:type="dxa"/>
            <w:vAlign w:val="bottom"/>
          </w:tcPr>
          <w:p>
            <w:pPr>
              <w:jc w:val="right"/>
              <w:ind w:right="277"/>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426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760" w:type="dxa"/>
            <w:vAlign w:val="bottom"/>
            <w:gridSpan w:val="3"/>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100" w:type="dxa"/>
            <w:vAlign w:val="bottom"/>
          </w:tcPr>
          <w:p>
            <w:pPr>
              <w:spacing w:after="0"/>
              <w:rPr>
                <w:sz w:val="20"/>
                <w:szCs w:val="20"/>
                <w:color w:val="auto"/>
              </w:rPr>
            </w:pPr>
          </w:p>
        </w:tc>
        <w:tc>
          <w:tcPr>
            <w:tcW w:w="3620" w:type="dxa"/>
            <w:vAlign w:val="bottom"/>
            <w:gridSpan w:val="8"/>
          </w:tcPr>
          <w:p>
            <w:pPr>
              <w:ind w:left="20"/>
              <w:spacing w:after="0"/>
              <w:rPr>
                <w:sz w:val="20"/>
                <w:szCs w:val="20"/>
                <w:color w:val="auto"/>
              </w:rPr>
            </w:pPr>
            <w:r>
              <w:rPr>
                <w:rFonts w:ascii="Arial" w:cs="Arial" w:eastAsia="Arial" w:hAnsi="Arial"/>
                <w:sz w:val="18"/>
                <w:szCs w:val="18"/>
                <w:b w:val="1"/>
                <w:bCs w:val="1"/>
                <w:color w:val="auto"/>
              </w:rPr>
              <w:t>THE SCOTTS MIRACLE-GRO COMPANY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60" w:type="dxa"/>
            <w:vAlign w:val="bottom"/>
            <w:gridSpan w:val="22"/>
          </w:tcPr>
          <w:p>
            <w:pPr>
              <w:jc w:val="center"/>
              <w:ind w:left="1095"/>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Reclassified from</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April 2,</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6"/>
              </w:rPr>
              <w:t>April 2,</w:t>
            </w:r>
          </w:p>
        </w:tc>
        <w:tc>
          <w:tcPr>
            <w:tcW w:w="220" w:type="dxa"/>
            <w:vAlign w:val="bottom"/>
          </w:tcPr>
          <w:p>
            <w:pPr>
              <w:spacing w:after="0"/>
              <w:rPr>
                <w:sz w:val="3"/>
                <w:szCs w:val="3"/>
                <w:color w:val="auto"/>
              </w:rPr>
            </w:pPr>
          </w:p>
        </w:tc>
        <w:tc>
          <w:tcPr>
            <w:tcW w:w="9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6"/>
              </w:rPr>
              <w:t>April 3,</w:t>
            </w:r>
          </w:p>
        </w:tc>
        <w:tc>
          <w:tcPr>
            <w:tcW w:w="0" w:type="dxa"/>
            <w:vAlign w:val="bottom"/>
          </w:tcPr>
          <w:p>
            <w:pPr>
              <w:spacing w:after="0"/>
              <w:rPr>
                <w:sz w:val="1"/>
                <w:szCs w:val="1"/>
                <w:color w:val="auto"/>
              </w:rPr>
            </w:pPr>
          </w:p>
        </w:tc>
      </w:tr>
      <w:tr>
        <w:trPr>
          <w:trHeight w:val="135"/>
        </w:trPr>
        <w:tc>
          <w:tcPr>
            <w:tcW w:w="3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1"/>
                <w:szCs w:val="11"/>
                <w:color w:val="auto"/>
              </w:rPr>
            </w:pPr>
          </w:p>
        </w:tc>
        <w:tc>
          <w:tcPr>
            <w:tcW w:w="23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AOCL into</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24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7"/>
              </w:rPr>
              <w:t>(3.9)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tcPr>
          <w:p>
            <w:pPr>
              <w:spacing w:after="0"/>
              <w:rPr>
                <w:sz w:val="15"/>
                <w:szCs w:val="15"/>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April 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5"/>
                <w:szCs w:val="15"/>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April 3,</w:t>
            </w:r>
          </w:p>
        </w:tc>
        <w:tc>
          <w:tcPr>
            <w:tcW w:w="0" w:type="dxa"/>
            <w:vAlign w:val="bottom"/>
          </w:tcPr>
          <w:p>
            <w:pPr>
              <w:spacing w:after="0"/>
              <w:rPr>
                <w:sz w:val="1"/>
                <w:szCs w:val="1"/>
                <w:color w:val="auto"/>
              </w:rPr>
            </w:pPr>
          </w:p>
        </w:tc>
      </w:tr>
      <w:tr>
        <w:trPr>
          <w:trHeight w:val="188"/>
        </w:trPr>
        <w:tc>
          <w:tcPr>
            <w:tcW w:w="3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Statement of Operations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Other income / expense, net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Commodity hedging instruments</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97"/>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7"/>
              </w:rPr>
              <w:t>(5.0)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6"/>
              </w:rPr>
              <w:t>April 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April 3,</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0"/>
              <w:spacing w:after="0" w:line="118" w:lineRule="exact"/>
              <w:rPr>
                <w:sz w:val="20"/>
                <w:szCs w:val="20"/>
                <w:color w:val="auto"/>
              </w:rPr>
            </w:pPr>
            <w:r>
              <w:rPr>
                <w:rFonts w:ascii="Arial" w:cs="Arial" w:eastAsia="Arial" w:hAnsi="Arial"/>
                <w:sz w:val="13"/>
                <w:szCs w:val="13"/>
                <w:b w:val="1"/>
                <w:bCs w:val="1"/>
                <w:color w:val="auto"/>
              </w:rPr>
              <w:t>Fair</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Value</w:t>
            </w:r>
          </w:p>
        </w:tc>
        <w:tc>
          <w:tcPr>
            <w:tcW w:w="54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1"/>
                <w:szCs w:val="11"/>
                <w:color w:val="auto"/>
              </w:rPr>
            </w:pPr>
          </w:p>
        </w:tc>
        <w:tc>
          <w:tcPr>
            <w:tcW w:w="12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1"/>
                <w:szCs w:val="11"/>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Hierarchy</w:t>
            </w:r>
          </w:p>
        </w:tc>
        <w:tc>
          <w:tcPr>
            <w:tcW w:w="5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w:t>
            </w:r>
          </w:p>
        </w:tc>
        <w:tc>
          <w:tcPr>
            <w:tcW w:w="128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1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40"/>
              <w:spacing w:after="0"/>
              <w:rPr>
                <w:sz w:val="20"/>
                <w:szCs w:val="20"/>
                <w:color w:val="auto"/>
              </w:rPr>
            </w:pPr>
            <w:r>
              <w:rPr>
                <w:rFonts w:ascii="Arial" w:cs="Arial" w:eastAsia="Arial" w:hAnsi="Arial"/>
                <w:sz w:val="18"/>
                <w:szCs w:val="18"/>
                <w:color w:val="auto"/>
                <w:w w:val="99"/>
              </w:rPr>
              <w:t>Cash equivalents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securities in non-</w:t>
            </w:r>
          </w:p>
        </w:tc>
        <w:tc>
          <w:tcPr>
            <w:tcW w:w="120" w:type="dxa"/>
            <w:vAlign w:val="bottom"/>
          </w:tcPr>
          <w:p>
            <w:pPr>
              <w:spacing w:after="0"/>
              <w:rPr>
                <w:sz w:val="15"/>
                <w:szCs w:val="15"/>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qualified retirement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1</w:t>
            </w:r>
          </w:p>
        </w:tc>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plan assets</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Convertible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investments</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440"/>
              <w:spacing w:after="0"/>
              <w:rPr>
                <w:sz w:val="20"/>
                <w:szCs w:val="20"/>
                <w:color w:val="auto"/>
              </w:rPr>
            </w:pPr>
            <w:r>
              <w:rPr>
                <w:rFonts w:ascii="Arial" w:cs="Arial" w:eastAsia="Arial" w:hAnsi="Arial"/>
                <w:sz w:val="18"/>
                <w:szCs w:val="18"/>
                <w:color w:val="auto"/>
              </w:rPr>
              <w:t>Debt instruments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Credit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facilities – revolving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vMerge w:val="continue"/>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Credit</w:t>
            </w:r>
          </w:p>
        </w:tc>
        <w:tc>
          <w:tcPr>
            <w:tcW w:w="120" w:type="dxa"/>
            <w:vAlign w:val="bottom"/>
          </w:tcPr>
          <w:p>
            <w:pPr>
              <w:spacing w:after="0"/>
              <w:rPr>
                <w:sz w:val="15"/>
                <w:szCs w:val="15"/>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20"/>
              <w:spacing w:after="0" w:line="176" w:lineRule="exact"/>
              <w:rPr>
                <w:sz w:val="20"/>
                <w:szCs w:val="20"/>
                <w:color w:val="auto"/>
              </w:rPr>
            </w:pPr>
            <w:r>
              <w:rPr>
                <w:rFonts w:ascii="Arial" w:cs="Arial" w:eastAsia="Arial" w:hAnsi="Arial"/>
                <w:sz w:val="18"/>
                <w:szCs w:val="18"/>
                <w:color w:val="auto"/>
              </w:rPr>
              <w:t>facilities – term</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loans</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2031 – 4.000%</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29"/>
        </w:trPr>
        <w:tc>
          <w:tcPr>
            <w:tcW w:w="1840" w:type="dxa"/>
            <w:vAlign w:val="bottom"/>
          </w:tcPr>
          <w:p>
            <w:pPr>
              <w:ind w:left="220"/>
              <w:spacing w:after="0"/>
              <w:rPr>
                <w:sz w:val="20"/>
                <w:szCs w:val="20"/>
                <w:color w:val="auto"/>
              </w:rPr>
            </w:pPr>
            <w:r>
              <w:rPr>
                <w:rFonts w:ascii="Arial" w:cs="Arial" w:eastAsia="Arial" w:hAnsi="Arial"/>
                <w:sz w:val="18"/>
                <w:szCs w:val="18"/>
                <w:color w:val="auto"/>
              </w:rPr>
              <w:t>due 2032 – 4.375%</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2029 – 4.500%</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640"/>
              <w:spacing w:after="0" w:line="176" w:lineRule="exact"/>
              <w:rPr>
                <w:sz w:val="20"/>
                <w:szCs w:val="20"/>
                <w:color w:val="auto"/>
              </w:rPr>
            </w:pPr>
            <w:r>
              <w:rPr>
                <w:rFonts w:ascii="Arial" w:cs="Arial" w:eastAsia="Arial" w:hAnsi="Arial"/>
                <w:sz w:val="18"/>
                <w:szCs w:val="18"/>
                <w:color w:val="auto"/>
              </w:rPr>
              <w:t>Senior Notes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30"/>
        </w:trPr>
        <w:tc>
          <w:tcPr>
            <w:tcW w:w="1840" w:type="dxa"/>
            <w:vAlign w:val="bottom"/>
          </w:tcPr>
          <w:p>
            <w:pPr>
              <w:ind w:left="220"/>
              <w:spacing w:after="0"/>
              <w:rPr>
                <w:sz w:val="20"/>
                <w:szCs w:val="20"/>
                <w:color w:val="auto"/>
              </w:rPr>
            </w:pPr>
            <w:r>
              <w:rPr>
                <w:rFonts w:ascii="Arial" w:cs="Arial" w:eastAsia="Arial" w:hAnsi="Arial"/>
                <w:sz w:val="18"/>
                <w:szCs w:val="18"/>
                <w:color w:val="auto"/>
              </w:rPr>
              <w:t>due 2026 – 5.250%</w:t>
            </w:r>
          </w:p>
        </w:tc>
        <w:tc>
          <w:tcPr>
            <w:tcW w:w="1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Receivables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Level</w:t>
            </w:r>
          </w:p>
        </w:tc>
        <w:tc>
          <w:tcPr>
            <w:tcW w:w="5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w:t>
            </w:r>
          </w:p>
        </w:tc>
        <w:tc>
          <w:tcPr>
            <w:tcW w:w="120" w:type="dxa"/>
            <w:vAlign w:val="bottom"/>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640"/>
              <w:spacing w:after="0"/>
              <w:rPr>
                <w:sz w:val="20"/>
                <w:szCs w:val="20"/>
                <w:color w:val="auto"/>
              </w:rPr>
            </w:pPr>
            <w:r>
              <w:rPr>
                <w:rFonts w:ascii="Arial" w:cs="Arial" w:eastAsia="Arial" w:hAnsi="Arial"/>
                <w:sz w:val="18"/>
                <w:szCs w:val="18"/>
                <w:color w:val="auto"/>
              </w:rPr>
              <w:t>Other debt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Level</w:t>
            </w:r>
          </w:p>
        </w:tc>
        <w:tc>
          <w:tcPr>
            <w:tcW w:w="5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cost basis of convertible debt investments was $193.1 at April 2, 2022 and September 30, 2021. There were no purchases of convertible debt investments during the three and six months ended April 2, 2022. During the three and six months ended April 2, 2022, the Company recorded unrealized gains of $0.1 and $0.4 in AOCL, respectively, and investment income of $0.9 and $1.7, respectively, associated with its Level 3 convertible debt investments. The amortized cost basis of convertible debt investments was $195.1 and $193.4 at April 2, 2022 and September 30, 2021,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April 2, 2022, the Company had entered into operating leases that were yet to commence with a combined total expected lease liability of $54.6. From time to time, the Company will sublease portions of its facilities, resulting in sublease income. Sublease income and the related cash flows were not material to the condensed consolidated financial statements for the three and six months ended April 2, 2022 and April 3, 2021.</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April 2, 2022, the Company’s residual value guarantee would have approximated $5.0.</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4"/>
                <w:szCs w:val="14"/>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293.2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2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lease cost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April 3,</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April 2,</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4"/>
        </w:trPr>
        <w:tc>
          <w:tcPr>
            <w:tcW w:w="6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57"/>
        </w:trPr>
        <w:tc>
          <w:tcPr>
            <w:tcW w:w="6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660" w:hanging="652"/>
        <w:spacing w:after="0" w:line="263"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lease cost includes amortization of ROU assets of $19.3 and $36.9 for the three and six months ended April 2, 2022, respectively, and $14.6 and $27.9 for the three and six months ended April 3, 2021, respectively. Short-term lease expense is excluded from operating lease cost and is not material.</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41.4</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79"/>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459"/>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5"/>
              </w:rPr>
              <w:t>Weighted-average remaining lease term and discount rate for the Company’s leases were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April 2,</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473"/>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3"/>
              </w:rPr>
              <w:t>Maturities of lease liabilities by fiscal year for the Company’s leases as of April 2, 2022 were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c>
          <w:tcPr>
            <w:tcW w:w="0" w:type="dxa"/>
            <w:vAlign w:val="bottom"/>
          </w:tcPr>
          <w:p>
            <w:pPr>
              <w:spacing w:after="0"/>
              <w:rPr>
                <w:sz w:val="1"/>
                <w:szCs w:val="1"/>
                <w:color w:val="auto"/>
              </w:rPr>
            </w:pP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16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10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4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48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1,782.2</w:t>
            </w: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r>
      <w:tr>
        <w:trPr>
          <w:trHeight w:val="229"/>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r>
      <w:tr>
        <w:trPr>
          <w:trHeight w:val="248"/>
        </w:trPr>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481.2</w:t>
            </w: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48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21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Growing media and mulch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622.4</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29"/>
        </w:trPr>
        <w:tc>
          <w:tcPr>
            <w:tcW w:w="65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Nutrients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Lighting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Growing environments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Other, primarily hardware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64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April 3,</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7"/>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6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r>
      <w:tr>
        <w:trPr>
          <w:trHeight w:val="21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2,391.7</w:t>
            </w: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r>
      <w:tr>
        <w:trPr>
          <w:trHeight w:val="223"/>
        </w:trPr>
        <w:tc>
          <w:tcPr>
            <w:tcW w:w="64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2,577.4</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62"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2021 (the “2021 Annual Report”) and our condensed consolidated financial statements included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2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6"/>
          <w:szCs w:val="16"/>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soil, plant food and insecticide, LiquaFeed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plant food and Osmocote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gardening and landscape products; and Ortho</w:t>
      </w:r>
      <w:r>
        <w:rPr>
          <w:rFonts w:ascii="Arial" w:cs="Arial" w:eastAsia="Arial" w:hAnsi="Arial"/>
          <w:sz w:val="20"/>
          <w:szCs w:val="20"/>
          <w:color w:val="auto"/>
          <w:vertAlign w:val="superscript"/>
        </w:rPr>
        <w:t>®</w:t>
      </w:r>
      <w:r>
        <w:rPr>
          <w:rFonts w:ascii="Arial" w:cs="Arial" w:eastAsia="Arial" w:hAnsi="Arial"/>
          <w:sz w:val="16"/>
          <w:szCs w:val="16"/>
          <w:color w:val="auto"/>
        </w:rPr>
        <w:t>, Home Defense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insect control, weed control and rodent control products. We are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within the United States and certain other specified countries. We also have a presence in similar branded consumer products in China. In addition, we own a 50% equity interest in Bonnie Plants, LLC, a joint venture with AFC, focused on planting, growing, developing, distributing, marketing and selling live plants.</w:t>
      </w:r>
    </w:p>
    <w:p>
      <w:pPr>
        <w:spacing w:after="0" w:line="6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in North America. Our key brands include General Hydroponics</w:t>
      </w:r>
      <w:r>
        <w:rPr>
          <w:rFonts w:ascii="Arial" w:cs="Arial" w:eastAsia="Arial" w:hAnsi="Arial"/>
          <w:sz w:val="22"/>
          <w:szCs w:val="22"/>
          <w:color w:val="auto"/>
          <w:vertAlign w:val="superscript"/>
        </w:rPr>
        <w:t>®</w:t>
      </w:r>
      <w:r>
        <w:rPr>
          <w:rFonts w:ascii="Arial" w:cs="Arial" w:eastAsia="Arial" w:hAnsi="Arial"/>
          <w:sz w:val="17"/>
          <w:szCs w:val="17"/>
          <w:color w:val="auto"/>
        </w:rPr>
        <w:t>, Gavita</w:t>
      </w:r>
      <w:r>
        <w:rPr>
          <w:rFonts w:ascii="Arial" w:cs="Arial" w:eastAsia="Arial" w:hAnsi="Arial"/>
          <w:sz w:val="22"/>
          <w:szCs w:val="22"/>
          <w:color w:val="auto"/>
          <w:vertAlign w:val="superscript"/>
        </w:rPr>
        <w:t>®</w:t>
      </w:r>
      <w:r>
        <w:rPr>
          <w:rFonts w:ascii="Arial" w:cs="Arial" w:eastAsia="Arial" w:hAnsi="Arial"/>
          <w:sz w:val="17"/>
          <w:szCs w:val="17"/>
          <w:color w:val="auto"/>
        </w:rPr>
        <w:t>, Botanicare</w:t>
      </w:r>
      <w:r>
        <w:rPr>
          <w:rFonts w:ascii="Arial" w:cs="Arial" w:eastAsia="Arial" w:hAnsi="Arial"/>
          <w:sz w:val="22"/>
          <w:szCs w:val="22"/>
          <w:color w:val="auto"/>
          <w:vertAlign w:val="superscript"/>
        </w:rPr>
        <w:t>®</w:t>
      </w:r>
      <w:r>
        <w:rPr>
          <w:rFonts w:ascii="Arial" w:cs="Arial" w:eastAsia="Arial" w:hAnsi="Arial"/>
          <w:sz w:val="17"/>
          <w:szCs w:val="17"/>
          <w:color w:val="auto"/>
        </w:rPr>
        <w:t>, Agrolux</w:t>
      </w:r>
      <w:r>
        <w:rPr>
          <w:rFonts w:ascii="Arial" w:cs="Arial" w:eastAsia="Arial" w:hAnsi="Arial"/>
          <w:sz w:val="22"/>
          <w:szCs w:val="22"/>
          <w:color w:val="auto"/>
          <w:vertAlign w:val="superscript"/>
        </w:rPr>
        <w:t>®</w:t>
      </w:r>
      <w:r>
        <w:rPr>
          <w:rFonts w:ascii="Arial" w:cs="Arial" w:eastAsia="Arial" w:hAnsi="Arial"/>
          <w:sz w:val="17"/>
          <w:szCs w:val="17"/>
          <w:color w:val="auto"/>
        </w:rPr>
        <w:t>, Can-Filters</w:t>
      </w:r>
      <w:r>
        <w:rPr>
          <w:rFonts w:ascii="Arial" w:cs="Arial" w:eastAsia="Arial" w:hAnsi="Arial"/>
          <w:sz w:val="22"/>
          <w:szCs w:val="22"/>
          <w:color w:val="auto"/>
          <w:vertAlign w:val="superscript"/>
        </w:rPr>
        <w:t>®</w:t>
      </w:r>
      <w:r>
        <w:rPr>
          <w:rFonts w:ascii="Arial" w:cs="Arial" w:eastAsia="Arial" w:hAnsi="Arial"/>
          <w:sz w:val="17"/>
          <w:szCs w:val="17"/>
          <w:color w:val="auto"/>
        </w:rPr>
        <w:t>, Sun System</w:t>
      </w:r>
      <w:r>
        <w:rPr>
          <w:rFonts w:ascii="Arial" w:cs="Arial" w:eastAsia="Arial" w:hAnsi="Arial"/>
          <w:sz w:val="22"/>
          <w:szCs w:val="22"/>
          <w:color w:val="auto"/>
          <w:vertAlign w:val="superscript"/>
        </w:rPr>
        <w:t>®</w:t>
      </w:r>
      <w:r>
        <w:rPr>
          <w:rFonts w:ascii="Arial" w:cs="Arial" w:eastAsia="Arial" w:hAnsi="Arial"/>
          <w:sz w:val="17"/>
          <w:szCs w:val="17"/>
          <w:color w:val="auto"/>
        </w:rPr>
        <w:t>, Gro Pro</w:t>
      </w:r>
      <w:r>
        <w:rPr>
          <w:rFonts w:ascii="Arial" w:cs="Arial" w:eastAsia="Arial" w:hAnsi="Arial"/>
          <w:sz w:val="22"/>
          <w:szCs w:val="22"/>
          <w:color w:val="auto"/>
          <w:vertAlign w:val="superscript"/>
        </w:rPr>
        <w:t>®</w:t>
      </w:r>
      <w:r>
        <w:rPr>
          <w:rFonts w:ascii="Arial" w:cs="Arial" w:eastAsia="Arial" w:hAnsi="Arial"/>
          <w:sz w:val="17"/>
          <w:szCs w:val="17"/>
          <w:color w:val="auto"/>
        </w:rPr>
        <w:t>, Mother Earth</w:t>
      </w:r>
      <w:r>
        <w:rPr>
          <w:rFonts w:ascii="Arial" w:cs="Arial" w:eastAsia="Arial" w:hAnsi="Arial"/>
          <w:sz w:val="22"/>
          <w:szCs w:val="22"/>
          <w:color w:val="auto"/>
          <w:vertAlign w:val="superscript"/>
        </w:rPr>
        <w:t>®</w:t>
      </w:r>
      <w:r>
        <w:rPr>
          <w:rFonts w:ascii="Arial" w:cs="Arial" w:eastAsia="Arial" w:hAnsi="Arial"/>
          <w:sz w:val="17"/>
          <w:szCs w:val="17"/>
          <w:color w:val="auto"/>
        </w:rPr>
        <w:t>, Hurricane</w:t>
      </w:r>
      <w:r>
        <w:rPr>
          <w:rFonts w:ascii="Arial" w:cs="Arial" w:eastAsia="Arial" w:hAnsi="Arial"/>
          <w:sz w:val="22"/>
          <w:szCs w:val="22"/>
          <w:color w:val="auto"/>
          <w:vertAlign w:val="superscript"/>
        </w:rPr>
        <w:t>®</w:t>
      </w:r>
      <w:r>
        <w:rPr>
          <w:rFonts w:ascii="Arial" w:cs="Arial" w:eastAsia="Arial" w:hAnsi="Arial"/>
          <w:sz w:val="17"/>
          <w:szCs w:val="17"/>
          <w:color w:val="auto"/>
        </w:rPr>
        <w:t>, Grower’s Edge</w:t>
      </w:r>
      <w:r>
        <w:rPr>
          <w:rFonts w:ascii="Arial" w:cs="Arial" w:eastAsia="Arial" w:hAnsi="Arial"/>
          <w:sz w:val="22"/>
          <w:szCs w:val="22"/>
          <w:color w:val="auto"/>
          <w:vertAlign w:val="superscript"/>
        </w:rPr>
        <w:t>®</w:t>
      </w:r>
      <w:r>
        <w:rPr>
          <w:rFonts w:ascii="Arial" w:cs="Arial" w:eastAsia="Arial" w:hAnsi="Arial"/>
          <w:sz w:val="17"/>
          <w:szCs w:val="17"/>
          <w:color w:val="auto"/>
        </w:rPr>
        <w:t>, Hydro-Logic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Luxx Lighting</w:t>
      </w:r>
      <w:r>
        <w:rPr>
          <w:rFonts w:ascii="Arial" w:cs="Arial" w:eastAsia="Arial" w:hAnsi="Arial"/>
          <w:sz w:val="22"/>
          <w:szCs w:val="22"/>
          <w:color w:val="auto"/>
          <w:vertAlign w:val="superscript"/>
        </w:rPr>
        <w:t>®</w:t>
      </w:r>
      <w:r>
        <w:rPr>
          <w:rFonts w:ascii="Arial" w:cs="Arial" w:eastAsia="Arial" w:hAnsi="Arial"/>
          <w:sz w:val="17"/>
          <w:szCs w:val="17"/>
          <w:color w:val="auto"/>
        </w:rPr>
        <w:t>.</w:t>
      </w:r>
    </w:p>
    <w:p>
      <w:pPr>
        <w:jc w:val="both"/>
        <w:ind w:firstLine="445"/>
        <w:spacing w:after="0" w:line="301" w:lineRule="auto"/>
        <w:rPr>
          <w:sz w:val="20"/>
          <w:szCs w:val="20"/>
          <w:color w:val="auto"/>
        </w:rPr>
      </w:pPr>
      <w:r>
        <w:rPr>
          <w:rFonts w:ascii="Arial" w:cs="Arial" w:eastAsia="Arial" w:hAnsi="Arial"/>
          <w:sz w:val="16"/>
          <w:szCs w:val="16"/>
          <w:color w:val="auto"/>
        </w:rPr>
        <w:t>On December 30, 2021, our Hawthorne segment completed the acquisition of substantially all of the assets of Luxx Lighting, Inc., a leading provider of lighting products for indoor growing that significantly strengthens our industry-leading lighting portfolio, for a purchase price of $213.2. On April 28, 2022, our Hawthorne segment completed the acquisition of substantially all of the assets of Cyco, an Australia-based provider of premium nutrients, additives and growing media products for indoor growing, for a purchase price of $34.4 plus contingent consideration with a maximum payout of $10.0.</w:t>
      </w:r>
    </w:p>
    <w:p>
      <w:pPr>
        <w:spacing w:after="0" w:line="2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During fiscal 2021, we announced the creation of a newly formed subsidiary, THC, which will focus on strategic minority non-equity investments in areas of the cannabis industry not currently pursued by our Hawthorne segment. This initiative is designed to allow us, in the future, to participate directly in a larger marketplace as the legal environment changes over time. On August 24, 2021, we made our initial investment under this initiative in the form of a $150.0 six-year convertible note issued to us by Toronto-based RIV Capital (CSE: RIV) (OTC: CNPOF), a cannabis investment and acquisition firm listed on the Canadian Securities Exchange. On April 22, 2022, pursuant to our follow-on investment rights, we made an additional investment in RIV Capital in the form of a $25.0 convertible note. During the fourth quarter of fiscal 2021, we made additional minority non-equity investments of $43.1 in other entities focused on branded cannabis and high quality genetics. These investments include conversion features that would provide us with minority ownership interests in these entities if we exercise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conversion features. Refer to “NOTE 3. ACQUISITIONS AND INVESTMENTS” for more information regarding these investments.</w:t>
      </w:r>
    </w:p>
    <w:p>
      <w:pPr>
        <w:spacing w:after="0" w:line="9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Due to the seasonal nature of the consumer lawn and garden business, for our U.S. Consumer and Other segments, significant portions of our products ship to our retail customers during our second and third fiscal quarters, as noted in the table below. Our annual net sales are further concentrated in the second and third fiscal quarters by retailers who rely on our ability to deliver products closer to when consumers buy our products, thereby reducing retailers’ pre-season inventories.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jc w:val="center"/>
        <w:ind w:left="6180"/>
        <w:spacing w:after="0" w:line="237" w:lineRule="auto"/>
        <w:rPr>
          <w:sz w:val="20"/>
          <w:szCs w:val="20"/>
          <w:color w:val="auto"/>
        </w:rPr>
      </w:pPr>
      <w:r>
        <w:rPr>
          <w:rFonts w:ascii="Arial" w:cs="Arial" w:eastAsia="Arial" w:hAnsi="Arial"/>
          <w:sz w:val="14"/>
          <w:szCs w:val="14"/>
          <w:b w:val="1"/>
          <w:bCs w:val="1"/>
          <w:color w:val="auto"/>
        </w:rPr>
        <w:t>Percent of Net Sales from Continuing</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Operations by Quarter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37.1 %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33.5 %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37.7 %</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15.0 %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15.8 %</w:t>
            </w:r>
          </w:p>
        </w:tc>
      </w:tr>
    </w:tbl>
    <w:p>
      <w:pPr>
        <w:spacing w:after="0" w:line="2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6, 2020, Scotts Miracle-Gro announced that its Board of Directors authorized the repurchase of up to $750.0 of Common Shares from April 30, 2020 through March 25, 2023. During the three and six months ended April 2, 2022, Scotts Miracle-Gro repurchased approximately 0.4 million and 1.1 million Common Shares under this share repurchase authorization for $50.0 and $175.0, respectively. During the three and six months ended April 3, 2021, Scotts Miracle-Gro repurchased approximately 0.1 million and 0.3 million Common Shares under this share repurchase authorization for $12.5 and $50.5, respectively.</w:t>
      </w:r>
    </w:p>
    <w:p>
      <w:pPr>
        <w:spacing w:after="0" w:line="10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27, 2020, the Scotts Miracle-Gro Board of Directors approved an increase in our quarterly cash dividend from $0.58 to $0.62 per Common Share, which was first paid in the fourth quarter of fiscal 2020. On July 30, 2021, the Scotts Miracle-Gro Board of Directors approved an increase in our quarterly cash dividend from $0.62 to $0.66 per Common Share, which was first paid in the fourth quarter of fiscal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In addition to implementing measures to help ensure the health and safety of our employees, we implemented an interim premium pay allowance during fiscal 2020 and 2021 for certain associates in our field sales force and our manufacturing and distribution centers, which paid out nearly $50.0 in aggregate.</w:t>
      </w:r>
    </w:p>
    <w:p>
      <w:pPr>
        <w:spacing w:after="0" w:line="8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 uncertain and difficult to predict considering the rapidly evolving landscape. We are not able to predict the impact, if any, that the COVID-19 pandemic may have on the seasonality of our business.</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Although we currently expect to be able to continue operating our business as described above and we intend to continue to work with government authorities and to follow the necessary protocols to maintain the health and safety of our employees, the COVID-19 pandemic could result in additional disruptions to our business, including our global supply chain and retailer network, and/or require us to incur additional operational costs. For additional information on the impacts of, and our response to, the COVID-19 pandemic, refer to “Management’s Discussion and Analysis of Financial Condition and Results of Operations” in Part II, Item 7 of the 2021 Annual Report.</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experienced higher transportation and materials costs, including fertilizer inputs such as urea, due in part to the negative impact of the war in Ukraine on the global economy. We expect a continuing inflationary environment that is heightened by this conflict, and we are continuing to address these impacts to our operations. We have no operations in Russia or Ukraine.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components of earnings as a percentage of net sales for the three months ended April 2, 2022 and April 3,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63.4</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36.0</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12.7</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22.1</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48"/>
        </w:trPr>
        <w:tc>
          <w:tcPr>
            <w:tcW w:w="5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3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components of earnings as a percentage of net sales for the six months ended April 2, 2022 and April 3,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 Of</w:t>
            </w:r>
          </w:p>
        </w:tc>
      </w:tr>
      <w:tr>
        <w:trPr>
          <w:trHeight w:val="188"/>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66.3</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32.9</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15.1</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(0.6)</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48"/>
        </w:trPr>
        <w:tc>
          <w:tcPr>
            <w:tcW w:w="5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three months ended April 2, 2022 were $1,678.4, a decrease of 8.2% from net sales of $1,828.8 for the three months ended April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Net sales for the six months ended April 2, 2022 were $2,244.3, a decrease of 12.9% from net sales of $2,577.4 for the six months ended April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These changes in net sales were attributable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95"/>
        </w:trPr>
        <w:tc>
          <w:tcPr>
            <w:tcW w:w="6340" w:type="dxa"/>
            <w:vAlign w:val="bottom"/>
          </w:tcPr>
          <w:p>
            <w:pPr>
              <w:spacing w:after="0"/>
              <w:rPr>
                <w:sz w:val="16"/>
                <w:szCs w:val="16"/>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April 2, 2022</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6"/>
              </w:rPr>
              <w:t>April 2, 2022</w:t>
            </w:r>
          </w:p>
        </w:tc>
      </w:tr>
      <w:tr>
        <w:trPr>
          <w:trHeight w:val="22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ind w:left="1696"/>
              <w:spacing w:after="0"/>
              <w:rPr>
                <w:sz w:val="20"/>
                <w:szCs w:val="20"/>
                <w:color w:val="auto"/>
              </w:rPr>
            </w:pPr>
            <w:r>
              <w:rPr>
                <w:rFonts w:ascii="Arial" w:cs="Arial" w:eastAsia="Arial" w:hAnsi="Arial"/>
                <w:sz w:val="18"/>
                <w:szCs w:val="18"/>
                <w:color w:val="auto"/>
                <w:w w:val="91"/>
              </w:rPr>
              <w:t>(19.7)%</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tcPr>
          <w:p>
            <w:pPr>
              <w:jc w:val="right"/>
              <w:ind w:right="13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400" w:type="dxa"/>
            <w:vAlign w:val="bottom"/>
          </w:tcPr>
          <w:p>
            <w:pPr>
              <w:jc w:val="center"/>
              <w:ind w:left="1656"/>
              <w:spacing w:after="0"/>
              <w:rPr>
                <w:sz w:val="20"/>
                <w:szCs w:val="20"/>
                <w:color w:val="auto"/>
              </w:rPr>
            </w:pPr>
            <w:r>
              <w:rPr>
                <w:rFonts w:ascii="Arial" w:cs="Arial" w:eastAsia="Arial" w:hAnsi="Arial"/>
                <w:sz w:val="18"/>
                <w:szCs w:val="18"/>
                <w:color w:val="auto"/>
                <w:w w:val="87"/>
              </w:rPr>
              <w:t>6.1</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ind w:left="1656"/>
              <w:spacing w:after="0"/>
              <w:rPr>
                <w:sz w:val="20"/>
                <w:szCs w:val="20"/>
                <w:color w:val="auto"/>
              </w:rPr>
            </w:pPr>
            <w:r>
              <w:rPr>
                <w:rFonts w:ascii="Arial" w:cs="Arial" w:eastAsia="Arial" w:hAnsi="Arial"/>
                <w:sz w:val="18"/>
                <w:szCs w:val="18"/>
                <w:color w:val="auto"/>
                <w:w w:val="87"/>
              </w:rPr>
              <w:t>0.7</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0" w:type="dxa"/>
            <w:vAlign w:val="bottom"/>
            <w:tcBorders>
              <w:bottom w:val="single" w:sz="8" w:color="auto"/>
            </w:tcBorders>
          </w:tcPr>
          <w:p>
            <w:pPr>
              <w:jc w:val="center"/>
              <w:ind w:left="1696"/>
              <w:spacing w:after="0"/>
              <w:rPr>
                <w:sz w:val="20"/>
                <w:szCs w:val="20"/>
                <w:color w:val="auto"/>
              </w:rPr>
            </w:pPr>
            <w:r>
              <w:rPr>
                <w:rFonts w:ascii="Arial" w:cs="Arial" w:eastAsia="Arial" w:hAnsi="Arial"/>
                <w:sz w:val="18"/>
                <w:szCs w:val="18"/>
                <w:color w:val="auto"/>
                <w:w w:val="91"/>
              </w:rPr>
              <w:t>(12.9)%</w:t>
            </w:r>
          </w:p>
        </w:tc>
      </w:tr>
      <w:tr>
        <w:trPr>
          <w:trHeight w:val="21"/>
        </w:trPr>
        <w:tc>
          <w:tcPr>
            <w:tcW w:w="63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net sales for the three and six months ended April 2, 2022 as compared to the three and six months ended April 3, 2021 was primarily driven by:</w:t>
      </w:r>
    </w:p>
    <w:p>
      <w:pPr>
        <w:spacing w:after="0" w:line="62" w:lineRule="exact"/>
        <w:rPr>
          <w:sz w:val="20"/>
          <w:szCs w:val="20"/>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333333"/>
        </w:rPr>
      </w:pPr>
      <w:r>
        <w:rPr>
          <w:rFonts w:ascii="Arial" w:cs="Arial" w:eastAsia="Arial" w:hAnsi="Arial"/>
          <w:sz w:val="18"/>
          <w:szCs w:val="18"/>
          <w:color w:val="auto"/>
        </w:rPr>
        <w:t>decreased sales volume driven by lighting, nutrients, growing media, hardware and growing environments products in our Hawthorne segment; and seed, fertilizer, soils and controls products in our U.S. Consumer segment;</w:t>
      </w:r>
    </w:p>
    <w:p>
      <w:pPr>
        <w:spacing w:after="0" w:line="62" w:lineRule="exact"/>
        <w:rPr>
          <w:rFonts w:ascii="Arial" w:cs="Arial" w:eastAsia="Arial" w:hAnsi="Arial"/>
          <w:sz w:val="18"/>
          <w:szCs w:val="18"/>
          <w:color w:val="333333"/>
        </w:rPr>
      </w:pPr>
    </w:p>
    <w:p>
      <w:pPr>
        <w:ind w:left="980" w:hanging="324"/>
        <w:spacing w:after="0"/>
        <w:tabs>
          <w:tab w:leader="none" w:pos="980" w:val="left"/>
        </w:tabs>
        <w:numPr>
          <w:ilvl w:val="0"/>
          <w:numId w:val="9"/>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net sales from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170"/>
              <w:spacing w:after="0" w:line="135" w:lineRule="exact"/>
              <w:rPr>
                <w:sz w:val="20"/>
                <w:szCs w:val="20"/>
                <w:color w:val="auto"/>
              </w:rPr>
            </w:pPr>
            <w:r>
              <w:rPr>
                <w:rFonts w:ascii="Arial" w:cs="Arial" w:eastAsia="Arial" w:hAnsi="Arial"/>
                <w:sz w:val="14"/>
                <w:szCs w:val="14"/>
                <w:b w:val="1"/>
                <w:bCs w:val="1"/>
                <w:color w:val="auto"/>
                <w:w w:val="96"/>
              </w:rPr>
              <w:t>April 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295"/>
              <w:spacing w:after="0" w:line="135" w:lineRule="exact"/>
              <w:rPr>
                <w:sz w:val="20"/>
                <w:szCs w:val="20"/>
                <w:color w:val="auto"/>
              </w:rPr>
            </w:pPr>
            <w:r>
              <w:rPr>
                <w:rFonts w:ascii="Arial" w:cs="Arial" w:eastAsia="Arial" w:hAnsi="Arial"/>
                <w:sz w:val="14"/>
                <w:szCs w:val="14"/>
                <w:b w:val="1"/>
                <w:bCs w:val="1"/>
                <w:color w:val="auto"/>
              </w:rPr>
              <w:t>April 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1"/>
                <w:szCs w:val="11"/>
                <w:color w:val="auto"/>
              </w:rPr>
            </w:pPr>
          </w:p>
        </w:tc>
        <w:tc>
          <w:tcPr>
            <w:tcW w:w="1060" w:type="dxa"/>
            <w:vAlign w:val="bottom"/>
          </w:tcPr>
          <w:p>
            <w:pPr>
              <w:jc w:val="right"/>
              <w:ind w:right="33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Distribution and warehousing</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324.3</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labor and overhead</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30"/>
        </w:trPr>
        <w:tc>
          <w:tcPr>
            <w:tcW w:w="56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6940" w:type="dxa"/>
            <w:vAlign w:val="bottom"/>
            <w:gridSpan w:val="4"/>
          </w:tcPr>
          <w:p>
            <w:pPr>
              <w:ind w:left="420"/>
              <w:spacing w:after="0"/>
              <w:rPr>
                <w:sz w:val="20"/>
                <w:szCs w:val="20"/>
                <w:color w:val="auto"/>
              </w:rPr>
            </w:pPr>
            <w:r>
              <w:rPr>
                <w:rFonts w:ascii="Arial" w:cs="Arial" w:eastAsia="Arial" w:hAnsi="Arial"/>
                <w:sz w:val="18"/>
                <w:szCs w:val="18"/>
                <w:color w:val="auto"/>
                <w:w w:val="97"/>
              </w:rPr>
              <w:t>Factors contributing to the change in cost of sales are outlined in the following table: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2"/>
        </w:trPr>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April 2, 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April 2, 2022</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rates</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(74.2)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cost of sales for the three months ended April 2, 2022 as compared to the three months ended April 3, 2021 was primarily driven by:</w:t>
      </w:r>
    </w:p>
    <w:p>
      <w:pPr>
        <w:spacing w:after="0" w:line="14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6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higher material costs in our U.S. Consumer and Other segments;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transportation and warehousing costs included within “volume, product mix and other” in our U.S. Consumer, Hawthorne and Other segments.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decrease in cost of sales for the six months ended April 2, 2022 as compared to the six months ended April 3, 2021 was primarily driven by:</w:t>
      </w:r>
    </w:p>
    <w:p>
      <w:pPr>
        <w:spacing w:after="0" w:line="12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sales volume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higher material costs in our U.S. Consumer and Other segments;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transportation and warehousing costs included within “volume, product mix and other” in our U.S. Consumer, Hawthorne and Other segments.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percentage of net sales, our gross profit rate was 35.1% and 36.0% for the three months ended April 2, 2022 and April 3, 2021, respectively. As a percentage of net sales, our gross profit rate was 31.5% and 32.9% for the six months ended April 2, 2022 and April 3, 2021, respectively. Factors contributing to the change in gross profit rate are outlined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500" w:type="dxa"/>
            <w:vAlign w:val="bottom"/>
            <w:gridSpan w:val="2"/>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6360" w:type="dxa"/>
            <w:vAlign w:val="bottom"/>
          </w:tcPr>
          <w:p>
            <w:pPr>
              <w:spacing w:after="0"/>
              <w:rPr>
                <w:sz w:val="16"/>
                <w:szCs w:val="16"/>
                <w:color w:val="auto"/>
              </w:rPr>
            </w:pPr>
          </w:p>
        </w:tc>
        <w:tc>
          <w:tcPr>
            <w:tcW w:w="2500" w:type="dxa"/>
            <w:vAlign w:val="bottom"/>
            <w:gridSpan w:val="2"/>
          </w:tcPr>
          <w:p>
            <w:pPr>
              <w:ind w:left="800"/>
              <w:spacing w:after="0"/>
              <w:rPr>
                <w:sz w:val="20"/>
                <w:szCs w:val="20"/>
                <w:color w:val="auto"/>
              </w:rPr>
            </w:pPr>
            <w:r>
              <w:rPr>
                <w:rFonts w:ascii="Arial" w:cs="Arial" w:eastAsia="Arial" w:hAnsi="Arial"/>
                <w:sz w:val="14"/>
                <w:szCs w:val="14"/>
                <w:b w:val="1"/>
                <w:bCs w:val="1"/>
                <w:color w:val="auto"/>
              </w:rPr>
              <w:t>April 2, 2022</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6"/>
              </w:rPr>
              <w:t>April 2, 2022</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(3.4)%</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w w:val="94"/>
              </w:rPr>
              <w:t>(4.7)%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380" w:type="dxa"/>
            <w:vAlign w:val="bottom"/>
          </w:tcPr>
          <w:p>
            <w:pPr>
              <w:ind w:left="18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rPr>
              <w:t>(2.3)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(0.1)</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tcPr>
          <w:p>
            <w:pPr>
              <w:ind w:left="19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38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r>
      <w:tr>
        <w:trPr>
          <w:trHeight w:val="223"/>
        </w:trPr>
        <w:tc>
          <w:tcPr>
            <w:tcW w:w="636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19"/>
                <w:szCs w:val="19"/>
                <w:color w:val="auto"/>
              </w:rPr>
            </w:pPr>
          </w:p>
        </w:tc>
        <w:tc>
          <w:tcPr>
            <w:tcW w:w="2380" w:type="dxa"/>
            <w:vAlign w:val="bottom"/>
          </w:tcPr>
          <w:p>
            <w:pPr>
              <w:ind w:left="1860"/>
              <w:spacing w:after="0"/>
              <w:rPr>
                <w:sz w:val="20"/>
                <w:szCs w:val="20"/>
                <w:color w:val="auto"/>
              </w:rPr>
            </w:pPr>
            <w:r>
              <w:rPr>
                <w:rFonts w:ascii="Arial" w:cs="Arial" w:eastAsia="Arial" w:hAnsi="Arial"/>
                <w:sz w:val="18"/>
                <w:szCs w:val="18"/>
                <w:color w:val="auto"/>
                <w:w w:val="94"/>
              </w:rPr>
              <w:t>(2.0)%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(0.9)%</w:t>
            </w:r>
          </w:p>
        </w:tc>
        <w:tc>
          <w:tcPr>
            <w:tcW w:w="120" w:type="dxa"/>
            <w:vAlign w:val="bottom"/>
          </w:tcPr>
          <w:p>
            <w:pPr>
              <w:spacing w:after="0"/>
              <w:rPr>
                <w:sz w:val="19"/>
                <w:szCs w:val="19"/>
                <w:color w:val="auto"/>
              </w:rPr>
            </w:pPr>
          </w:p>
        </w:tc>
        <w:tc>
          <w:tcPr>
            <w:tcW w:w="23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(1.4)%</w:t>
            </w: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three months ended April 2, 2022 as compared to the three months ended April 3, 2021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transportation and warehousing costs of 300 bps included within “volume, product mix and other” in our U.S. Consumer, Hawthorne and Other segments;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leverage of fixed costs driven by lower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gross profit rate for the six months ended April 2, 2022 as compared to the six months ended April 3, 2021 was primarily driven by:</w:t>
      </w:r>
    </w:p>
    <w:p>
      <w:pPr>
        <w:spacing w:after="0" w:line="140" w:lineRule="exact"/>
        <w:rPr>
          <w:sz w:val="20"/>
          <w:szCs w:val="20"/>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transportation and warehousing costs of 340 bps included within “volume, product mix and other” in our U.S. Consumer, Hawthorne and Other segments;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leverage of fixed costs driven by lower sales volume in our U.S. Consumer and Hawthorne segments;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333333"/>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5"/>
        </w:trPr>
        <w:tc>
          <w:tcPr>
            <w:tcW w:w="3640" w:type="dxa"/>
            <w:vAlign w:val="bottom"/>
          </w:tcPr>
          <w:p>
            <w:pPr>
              <w:ind w:left="20"/>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tc>
        <w:tc>
          <w:tcPr>
            <w:tcW w:w="3780" w:type="dxa"/>
            <w:vAlign w:val="bottom"/>
            <w:gridSpan w:val="5"/>
          </w:tcPr>
          <w:p>
            <w:pPr>
              <w:jc w:val="center"/>
              <w:ind w:left="99"/>
              <w:spacing w:after="0"/>
              <w:rPr>
                <w:sz w:val="20"/>
                <w:szCs w:val="20"/>
                <w:color w:val="auto"/>
              </w:rPr>
            </w:pPr>
            <w:r>
              <w:rPr>
                <w:rFonts w:ascii="Arial" w:cs="Arial" w:eastAsia="Arial" w:hAnsi="Arial"/>
                <w:sz w:val="18"/>
                <w:szCs w:val="18"/>
                <w:b w:val="1"/>
                <w:bCs w:val="1"/>
                <w:color w:val="auto"/>
              </w:rPr>
              <w:t>THE SCOTTS MIRACLE-GRO COMPANY</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86"/>
        </w:trPr>
        <w:tc>
          <w:tcPr>
            <w:tcW w:w="3640" w:type="dxa"/>
            <w:vAlign w:val="bottom"/>
          </w:tcPr>
          <w:p>
            <w:pPr>
              <w:spacing w:after="0"/>
              <w:rPr>
                <w:sz w:val="16"/>
                <w:szCs w:val="16"/>
                <w:color w:val="auto"/>
              </w:rPr>
            </w:pPr>
          </w:p>
        </w:tc>
        <w:tc>
          <w:tcPr>
            <w:tcW w:w="342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822"/>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w w:val="92"/>
              </w:rPr>
              <w:t>Selling, General and Administrative Expenses</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9920" w:type="dxa"/>
            <w:vAlign w:val="bottom"/>
            <w:gridSpan w:val="11"/>
          </w:tcPr>
          <w:p>
            <w:pPr>
              <w:ind w:left="420"/>
              <w:spacing w:after="0"/>
              <w:rPr>
                <w:sz w:val="20"/>
                <w:szCs w:val="20"/>
                <w:color w:val="auto"/>
              </w:rPr>
            </w:pPr>
            <w:r>
              <w:rPr>
                <w:rFonts w:ascii="Arial" w:cs="Arial" w:eastAsia="Arial" w:hAnsi="Arial"/>
                <w:sz w:val="18"/>
                <w:szCs w:val="18"/>
                <w:color w:val="auto"/>
                <w:w w:val="92"/>
              </w:rPr>
              <w:t>The following table sets forth the components of selling, general and administrative expenses (“SG&amp;A”) for the periods indicated: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5"/>
        </w:trPr>
        <w:tc>
          <w:tcPr>
            <w:tcW w:w="3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4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3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35"/>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5"/>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364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2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23"/>
        </w:trPr>
        <w:tc>
          <w:tcPr>
            <w:tcW w:w="3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r>
      <w:tr>
        <w:trPr>
          <w:trHeight w:val="20"/>
        </w:trPr>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SG&amp;A decreased $26.8, or 11.6%, during the three months ended April 2, 2022 compared to the three months ended April 3, 2021. Advertising expense decreased $19.7, or 28.6%, during the three months ended April 2, 2022 driven by decreased media spending in our U.S. Consumer segment. Other SG&amp;A decreased $9.0, or 7.1%, during the three months ended April 2, 2022 driven by a decrease in short-term variable cash incentive compensation expense.</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SG&amp;A decreased $29.5, or 7.6%, during the six months ended April 2, 2022 compared to the six months ended April 3, 2021. Advertising expense decreased $28.2, or 29.5%, during the six months ended April 2, 2022 driven by decreased media spending in our U.S. Consumer segment. Other SG&amp;A decreased $4.8, or 2.1%, during the six months ended April 2, 2022 driven by a decrease in short-term variable cash incentive compensation expense, partially offset by higher people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5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1"/>
                <w:szCs w:val="11"/>
                <w:color w:val="auto"/>
              </w:rPr>
            </w:pPr>
          </w:p>
        </w:tc>
        <w:tc>
          <w:tcPr>
            <w:tcW w:w="1060" w:type="dxa"/>
            <w:vAlign w:val="bottom"/>
          </w:tcPr>
          <w:p>
            <w:pPr>
              <w:jc w:val="right"/>
              <w:ind w:right="335"/>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6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w w:val="99"/>
              </w:rPr>
              <w:t>Impairment, restructuring and other charges from continuing operations</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second quarter of fiscal 2022, we announced plans to consolidate U.S. lighting manufacturing for our Hawthorne segment into a single location and to close another recently acquired assembly facility and move those operations to our Santa Rosa, California facility. During the three and six months ended April 2, 2022, our Hawthorne segment incurred costs of $5.3 in in the “Cost of sales—impairment, restructuring and other” line in the Condensed Consolidated Statements of Operations and $0.1 in the “Impairment, restructuring and other” line in the Condensed Consolidated Statements of Operations in connection with this restructuring initiative related to employee termination benefits and impairment of property, plant and equipment.</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Subsequent to April 2, 2022, we began evaluating actions to reduce the size of our Hawthorne segment supply chain network and implement productivity and other restructuring activities in our U.S. Consumer segment and Corporate functions, which, if executed, may result in additional charges during our third and fourth quarters of fiscal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response to the COVID-19 pandemic, we implemented measures intended to protect the health and safety of our employees and maintain our ability to provide products to our customers. Costs incurred during the three and six months ended April 2, 2022 were immaterial. During the three and six months ended April 3, 2021, we incurred costs of $14.9 and $24.2, respectively, associated with the COVID-19 pandemic primarily related to premium pay. We incurred costs of $10.7 and $19.0 in our U.S. Consumer segment, $1.5 and $1.9 in our Hawthorne segment and $0.1 in our Other segment in the “Cost of sales—impairment, restructuring and other” line in the Condensed Consolidated Statements of Operations during the three and six months ended April 3, 2021, respectively. We incurred costs of $2.6 and $3.2 in our U.S. Consumer segment in the “Impairment, restructuring and other” line in the Condensed Consolidated Statements of Operations during the three and six months ended April 3, 2021,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Other income is comprised of activities such as royalty income from the licensing of certain of our brand names, foreign exchange transaction gains and losses and gains and losses from the disposition of non-inventory assets. Other income was $4.3 and $0.6 for the three months ended April 2, 2022 and April 3, 2021, respectively; and was $6.0 and $1.2 for the six months ended April 2, 2022 and April 3, 2021, respectively. The change for the three and six months ended April 2, 2022 was primarily due to gains on the sale of long-lived assets during the second quarter of fiscal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operations was $387.9 for the three months ended April 2, 2022, a decrease of 8.5% compared to $424.1 for the three months ended April 3, 2021; and was $352.5 for the six months ended April 2, 2022, a decrease of 23.1% compared to $458.1 for the six months ended April 3, 2021. For the three and six months ended April 2, 2022, the decrease was driven by lower net sales and a decrease in gross profit rate, partially offset by lower impairment, restructuring and other charges, lower SG&amp;A and higher 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acquired a 50% equity interest in Bonnie Plants, LLC on December 31, 2020. Our interest is accounted for using the equity method of accounting, with our proportionate share of Bonnie Plants, LLC earnings subsequent to December 31, 2020 reflected in the Condensed Consolidated Statements of Operations. We recorded equity in loss of unconsolidated affiliates associated with Bonnie Plants, LLC of $6.5 and $13.8 during the three and six months ended April 2, 2022, respectively, as compared to $1.5 during the three and six months ended April 3,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was $28.3 for the three months ended April 2, 2022, an increase of 46.6% compared to $19.3 for the three months ended April 3, 2021. The increase was driven by higher average borrowings of $1,158.2 due to higher inventory production, capital expenditures, acquisition activity and repurchases of our Common Shares.</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Interest expense was $52.1 for the six months ended April 2, 2022, an increase of 47.2% compared to $35.4 for the six months ended April 3, 2021. The increase was driven by higher average borrowings of $1,041.5 due to higher inventory production, capital expenditures, acquisition activity and repurchases of our Common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Other non-operating income was $1.9 and $0.9 for the three months ended April 2, 2022 and April 3, 2021, respectively, and was $3.7 and $16.1 for the six months ended April 2, 2022 and April 3, 2021, respectively. On December 31, 2020, we acquired a 50% equity interest in Bonnie Plants, LLC in exchange for a cash payment of $100.7, forgiveness of our outstanding loan receivable with AFC and surrender of our options to increase our economic interest in the Bonnie Plants business. Our loan receivable with AFC, which was previously recognized in the “Other assets” line in the Condensed Consolidated Balance Sheets, had a carrying value of $66.4 on December 31, 2020 and we recognized a gain of $12.5 during the three months ended January 2, 2021 to write-up the value of the loan to its closing date fair value of $78.9.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14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effective tax rates related to continuing operations for the six months ended April 2, 2022 and April 3, 2021 were 22.0% and 23.1%,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60"/>
        <w:spacing w:after="0" w:line="414" w:lineRule="auto"/>
        <w:rPr>
          <w:sz w:val="20"/>
          <w:szCs w:val="20"/>
          <w:color w:val="auto"/>
        </w:rPr>
      </w:pPr>
      <w:r>
        <w:rPr>
          <w:rFonts w:ascii="Arial" w:cs="Arial" w:eastAsia="Arial" w:hAnsi="Arial"/>
          <w:sz w:val="18"/>
          <w:szCs w:val="18"/>
          <w:color w:val="auto"/>
        </w:rPr>
        <w:t xml:space="preserve">that the effective tax rate estimated for interim financial reporting purposes will approximate the effective tax rate determined at fiscal year-end. </w:t>
      </w:r>
      <w:r>
        <w:rPr>
          <w:rFonts w:ascii="Arial" w:cs="Arial" w:eastAsia="Arial" w:hAnsi="Arial"/>
          <w:sz w:val="18"/>
          <w:szCs w:val="18"/>
          <w:b w:val="1"/>
          <w:bCs w:val="1"/>
          <w:i w:val="1"/>
          <w:iCs w:val="1"/>
          <w:color w:val="auto"/>
        </w:rPr>
        <w:t>Income from Continuing Operations</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$276.5, or $4.94 per diluted share, for the three months ended April 2, 2022 compared to $311.1, or $5.44 per diluted share, for the three months ended April 3, 2021. The decrease was driven by lower net sales, a decrease in gross profit rate, higher interest expense and higher equity in loss of unconsolidated affiliates, partially offset by lower impairment, restructuring and other charges, lower SG&amp;A and higher other income.</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three months ended April 2, 2022 were 56.0 million, which included dilutive potential Common Shares of 0.5 million. Diluted average common shares used in the diluted income per common share calculation for the three months ended April 3, 2021 were 57.1 million, which included dilutive potential Common Shares of 1.4 million. The decrease was primarily the result of Common Share repurchase activity partially offset by the exercise and issuance of share-based compensation awards.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continuing operations was $226.4, or $4.02 per diluted share, for the six months ended April 2, 2022 compared to $336.2, or $5.88 per diluted share, for the six months ended April 3, 2021. The decrease was driven by lower net sales, a decrease in gross profit rate, higher interest expense, higher equity in loss of unconsolidated affiliates and lower other non-operating income, partially offset by lower impairment, restructuring and other charges, lower SG&amp;A and higher other income.</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Diluted average common shares used in the diluted income per common share calculation for the six months ended April 2, 2022 were 56.3 million, which included dilutive potential Common Shares of 0.8 million. Diluted average common shares used in the diluted income per common share calculation for the six months ended April 3, 2021 were 57.0 million, which included dilutive potential Common Shares of 1.3 million. The decrease was primarily the result of Common Share repurchase activity partially offset by the exercise and issuance of share-based compensation awards.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6"/>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6"/>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348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673.2</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23"/>
        </w:trPr>
        <w:tc>
          <w:tcPr>
            <w:tcW w:w="34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2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2,577.4</w:t>
            </w:r>
          </w:p>
        </w:tc>
      </w:tr>
      <w:tr>
        <w:trPr>
          <w:trHeight w:val="20"/>
        </w:trPr>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44"/>
        </w:trPr>
        <w:tc>
          <w:tcPr>
            <w:tcW w:w="3480" w:type="dxa"/>
            <w:vAlign w:val="bottom"/>
          </w:tcPr>
          <w:p>
            <w:pPr>
              <w:spacing w:after="0"/>
              <w:rPr>
                <w:sz w:val="24"/>
                <w:szCs w:val="24"/>
                <w:color w:val="auto"/>
              </w:rPr>
            </w:pPr>
          </w:p>
        </w:tc>
        <w:tc>
          <w:tcPr>
            <w:tcW w:w="242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33"/>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April 2,</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3"/>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Segment Profit (Non-GAAP)</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580.6</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5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from continuing operations before income taxes (GAAP)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U.S. Consumer segment net sales were $1,379.8 in the second quarter of fiscal 2022, an increase of 0.4% from second quarter of fiscal 2021 net sales of $1,374.0; and were $1,722.2 for the first six months of fiscal 2022, a decrease of 3.4% from the first six months of fiscal 2021 net sales of $1,782.2. For the second quarter of fiscal 2022, the increase was driven by the favorable impact of increased pricing of 8.4%, partially offset by the unfavorable impact of volume of 8.0%. For the six months ended April 2, 2022, the decrease was driven by the unfavorable impact of volume of 10.7%, partially offset by the favorable impact of increased pricing of 7.3%. The decrease in sales volume for the three and six months ended April 2, 2022 was driven by seed, fertilizer, soils and controls products.</w:t>
      </w:r>
    </w:p>
    <w:p>
      <w:pPr>
        <w:spacing w:after="0" w:line="1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U.S. Consumer Segment Profit was $428.9 in the second quarter of fiscal 2022, a decrease of 1.6% from the second quarter of fiscal 2021 Segment Profit of $435.9; and Segment Profit was $439.6 for the first six months of fiscal 2022, a decrease of 8.6% from the first six months of fiscal 2021 Segment Profit of $481.2. For the three months ended April 2, 2022, the decrease was primarily due to a lower gross profit rate, partially offset by lower SG&amp;A. For the six months ended April 2, 2022, the decrease was primarily due to lower net sales and a lower gross profit rate, partially offset by lower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Hawthorne segment net sales were $202.6 in the second quarter of fiscal 2022, a decrease of 44.3% from second quarter of fiscal 2021 net sales of $363.8; and were $393.2 for the first six months of fiscal 2022, a decrease of 41.6% from the first six months of fiscal 2021 net sales of $673.2. For the second quarter of fiscal 2022, the decrease was driven by the unfavorable impacts of volume and foreign exchange rates of 50.9% and 0.1%, respectively, partially offset by the favorable impacts of increased pricing and acquisitions of 2.7% and 4.0%, respectively. For the six months ended April 2, 2022, the decrease was driven by the unfavorable impacts of volume and foreign exchange rates of 47.0% and 0.2%, respectively, partially offset by the favorable impacts of increased pricing and acquisitions of 3.1% and 2.5%, respectively. The decrease in sales volume for the three and six months ended April 2, 2022 was driven by lighting, nutrients, growing media, hardware and growing environments products.</w:t>
      </w:r>
    </w:p>
    <w:p>
      <w:pPr>
        <w:spacing w:after="0" w:line="9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Hawthorne Segment Profit was $3.3 in the second quarter of fiscal 2022, a decrease of 92.0% from the second quarter of fiscal 2021 Segment Profit of $41.4; and Segment Loss was $2.0 for the first six months of fiscal 2022, a decrease of 102.4% from the first six months of fiscal 2021 Segment Profit of $81.8. For the three and six months ended April 2, 2022, the decrease was driven by lower net sales, a lower gross profit rate and higher SG&amp;A.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Hawthorne segment has been negatively impacted during the six months ended April 2, 2022 by both an oversupply of cannabis, which has slowed down indoor and outdoor cultivation, and higher transportation and warehousing costs. Although we expect that the oversupply of cannabis and cost increases will continue to adversely impact our Hawthorne segment during the remainder of fiscal 2022, we are taking actions intended to mitigate the impact, including reducing costs. If the oversupply of cannabis and cost increases persist longer, or are more significant than we expect or we are unable to mitigate their impact, our results of operations could be adversely impacted for a longer period and to a greater extent than we currently anticipate. At April 2, 2022, the goodwill for our Hawthorne segment totaled $433.0. As of April 2, 2022, we concluded that no goodwill impairment exists for our Hawthorne segment. This assessment considered the impact of temporary lower sales volumes and increased costs being experienced by our Hawthorne segment during the first six months of fiscal 2022 as well as changes to other assumptions used in the fiscal 2021 annual impairment assessment, including the discount rate. While we consider our assumptions to be reasonable and appropriate and informed by temporary downturns in Hawthorne results experienced during 2018 and 2019, they are complex and subjective. Adverse changes in key assumptions in the future may result in a decline in the fair value of our Hawthorne segment below its carrying value and an impairment of its goodwill. These adverse changes may include, among other things: a failure to meet expected revenue and profitability growth rates; an increase in the discount rate; a decrease in the long-term growth rate; or a significant change in economic conditions.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segment net sales were $96.0 in the second quarter of fiscal 2022, an increase of 5.5% from the second quarter of fiscal 2021 net sales of $91.0; and were $128.9 for the first six months of fiscal 2022, an increase of 5.7% from the first six months of fiscal 2021 net sales of $122.0. For the second quarter of fiscal 2022, the increase was driven by the favorable impacts of pricing, volume and foreign exchange rates of 4.7%, 0.6% and 0.2%, respectively. For the six months ended April 2, 2022, the increase was driven by the favorable impacts of pricing and foreign exchange rates of 5.2% and 0.9%, respectively, partially offset by the unfavorable impact of volume of 0.4%.</w:t>
      </w:r>
    </w:p>
    <w:p>
      <w:pPr>
        <w:spacing w:after="0" w:line="12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Other Segment Profit was $10.5 in the second quarter of fiscal 2022, a decrease of 40.3% from the second quarter of fiscal 2021 Segment Profit of $17.6; and Segment Profit was $11.8 for the first six months of fiscal 2022, a decrease of 33.0% from the first six months of fiscal 2021 Segment Profit of $17.6. For the three and six months ended April 2, 2022, the decrease was driven by a lower gross profit rate, partially offset by higher net sales.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Corporate expenses were $39.1 in the second quarter of fiscal 2022, a decrease of 18.7% from second quarter of fiscal 2021 expenses of $48.1; and were $70.5 for the first six months of fiscal 2022, a decrease of 14.8% from the first six months of fiscal 2021 expenses of $82.7. For the three and six months ended April 2, 2022, the decrease was driven by lower short-term variable cash incentive compensation expense and higher other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cash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6"/>
                <w:szCs w:val="16"/>
                <w:color w:val="auto"/>
              </w:rPr>
            </w:pPr>
          </w:p>
        </w:tc>
      </w:tr>
      <w:tr>
        <w:trPr>
          <w:trHeight w:val="135"/>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2,</w:t>
            </w:r>
          </w:p>
        </w:tc>
        <w:tc>
          <w:tcPr>
            <w:tcW w:w="520" w:type="dxa"/>
            <w:vAlign w:val="bottom"/>
          </w:tcPr>
          <w:p>
            <w:pPr>
              <w:spacing w:after="0"/>
              <w:rPr>
                <w:sz w:val="11"/>
                <w:szCs w:val="11"/>
                <w:color w:val="auto"/>
              </w:rPr>
            </w:pPr>
          </w:p>
        </w:tc>
        <w:tc>
          <w:tcPr>
            <w:tcW w:w="980" w:type="dxa"/>
            <w:vAlign w:val="bottom"/>
          </w:tcPr>
          <w:p>
            <w:pPr>
              <w:jc w:val="center"/>
              <w:ind w:right="437"/>
              <w:spacing w:after="0" w:line="135" w:lineRule="exact"/>
              <w:rPr>
                <w:sz w:val="20"/>
                <w:szCs w:val="20"/>
                <w:color w:val="auto"/>
              </w:rPr>
            </w:pPr>
            <w:r>
              <w:rPr>
                <w:rFonts w:ascii="Arial" w:cs="Arial" w:eastAsia="Arial" w:hAnsi="Arial"/>
                <w:sz w:val="14"/>
                <w:szCs w:val="14"/>
                <w:b w:val="1"/>
                <w:bCs w:val="1"/>
                <w:color w:val="auto"/>
                <w:w w:val="96"/>
              </w:rPr>
              <w:t>April 3,</w:t>
            </w:r>
          </w:p>
        </w:tc>
      </w:tr>
      <w:tr>
        <w:trPr>
          <w:trHeight w:val="188"/>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4"/>
              </w:rPr>
              <w:t>(699.9)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center"/>
              <w:ind w:left="317"/>
              <w:spacing w:after="0"/>
              <w:rPr>
                <w:sz w:val="20"/>
                <w:szCs w:val="20"/>
                <w:color w:val="auto"/>
              </w:rPr>
            </w:pPr>
            <w:r>
              <w:rPr>
                <w:rFonts w:ascii="Arial" w:cs="Arial" w:eastAsia="Arial" w:hAnsi="Arial"/>
                <w:sz w:val="18"/>
                <w:szCs w:val="18"/>
                <w:color w:val="auto"/>
                <w:w w:val="94"/>
              </w:rPr>
              <w:t>(173.8)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88"/>
              </w:rPr>
              <w:t>871.1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totaled $1,142.6 for the six months ended April 2, 2022, an increase of $442.7 as compared to $699.9 for the six months ended April 3, 2021. This increase was driven by higher inventory, lower net income and higher interest payments, partially offset by lower tax payments and lower short-term variable cash incentive compensation payouts. Higher inventory was driven by higher production to meet expected future demand and higher input costs. The six months ended April 2, 2022 was also impacted by extended payment terms with several of our major vendors across the U.S. Consumer and Hawthorne segments, as well as Monsanto, for payments originally due in the final weeks of fiscal 2021 that were paid in the first quarter of fiscal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Cash used in investing activities totaled $255.8 for the six months ended April 2, 2022, an increase of $82.0 as compared to $173.8 for the six months ended April 3, 2021. Cash used for investments in property, plant and equipment during the first six months of fiscal 2022 and 2021 was $66.0 and $53.7, respectively. We also completed the acquisitions of Luxx Lighting, Inc. and True Liberty Bags during the six months ended April 2, 2022 in exchange for cash payments of $202.8, as well as the issuance of 0.1 million Common Shares, a non-cash investing and financing activity, with a fair value of $21.0 based on the share price at the time of payment. In addition, we received proceeds from the sale of long-lived assets of $8.5 and received $4.5 associated with currency forward contracts during the six months ended April 2, 2022. During the six months ended April 3, 2021, we acquired a 50% equity interest in Bonnie Plants, LLC in exchange for a cash payment of $100.7, as well as non-cash investing activities that included forgiveness of our outstanding loan receivable with AFC and surrender of our options to increase our economic interest in the Bonnie Plants business. In addition, during the six months ended April 3, 2021, we acquired contract rights within our U.S. Consumer segment for a cash payment of $10.0 and we paid cash of $8.9 associated with currency forward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provided by financing activities totaled $1,171.3 for the six months ended April 2, 2022 as compared $871.1 for the six months ended April 3, 2021. This change was driven by an increase in net borrowings under our Fifth A&amp;R Credit Facilities of $994.3 during the six months ended April 2, 2022, partially offset by the issuance of $500.0 aggregate principal amount of 4.00% Senior Notes during the six months ended April 3, 2021, an increase in repurchases of our Common Shares of $194.2 and an increase in dividends paid of $22.3 during the six months ended April 2, 2022. In addition, during the six months ended April 3, 2021, we made payments of $15.5 associated with the acquisition of the remaining outstanding shares of AeroGrow and paid financing and issuance fees of $7.0.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$17.1, $14.4 and $244.1 as of April 2, 2022, April 3, 2021 and September 30, 2021, respectively, included $4.0, $6.2 and $15.9, respectively, held by controlled foreign corporations. As of April 2, 2022, we maintain our assertion of indefinite reinvestment of the earnings of all material foreign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which provided us with five-year senior secured loan facilities in the aggregate principal amount of $2,300.0, comprised of a revolving credit facility of $1,500.0 and a term loan in the original principal amount of $800.0 (the “Fifth A&amp;R Credit Facilities”). Under the Fifth A&amp;R Credit Facilities, we had the ability to obtain letters of credit up to $75.0.</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April 2, 2022, we had letters of credit outstanding in the aggregate principal amount of $19.9 and had $345.2 of borrowing availability under the Fifth A&amp;R Credit Agreement. The weighted average interest rates on average borrowings under the Fifth A&amp;R Credit Agreement were 1.8% and 1.9% for the six months ended April 2, 2022 and April 3, 2021, respectively.</w:t>
      </w:r>
    </w:p>
    <w:p>
      <w:pPr>
        <w:spacing w:after="0" w:line="10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8, 2022, we entered into a sixth amended and restated credit agreement (the “Sixth A&amp;R Credit Agreement”), providing us with five-year senior secured loan facilities in the aggregate principal amount of $2,500.0, comprised of a revolving credit facility of $1,500.0 and a term loan in the original principal amount of $1,000.0 (the “Sixth A&amp;R Credit Facilities”). The Sixth A&amp;R Credit Agreement also provides us with the right to seek additional committed credit under the agreement in an aggregate amount of up to $500.0 plus an unlimited additional amount, subject to certain specified financial and other conditions. The Sixth A&amp;R Credit Agreement replaces the Fifth A&amp;R Credit Agreement and will terminate on April 8, 2027. The Sixth A&amp;R Credit Facilities will be available for issuance of letters of credit up to $100.0. The terms of the Sixth A&amp;R Credit Agreement include customary representations and warranties, affirmative and negative covenants, financial covenants, and events of default. The Fifth A&amp;R Credit Agreement would have terminated on July 5, 2023, if it had not been amended and restated pursuant to the Sixth A&amp;R Credit Agreement.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Term SOFR Rate for the Interest Period in effect for such borrowing plus the Applicable Spread (all as defined in the Sixth A&amp;R Credit Agreement). Swingline Loans shall bear interest at the applicable Swingline Rate set forth in the Sixth A&amp;R Credit Agreement. Further,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our intellectual property.</w:t>
      </w:r>
    </w:p>
    <w:p>
      <w:pPr>
        <w:spacing w:after="0" w:line="11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Sixth A&amp;R Credit Agreement contains, among other obligations, an affirmative covenant regarding our leverage ratio determined as of the end of each of its fiscal quarters ending on and after April 2, 2022 calculated as average total indebtedness, divided by our earnings before interest, taxes, depreciation and amortization (“EBITDA”), as adjusted pursuant to the terms of the Sixth A&amp;R Credit Agreement (“Adjusted EBITDA”). The maximum permitted leverage ratio is 4.50, which is unchanged from the Fifth A&amp;R Credit Agreement. Our leverage ratio was 3.81 at April 2, 2022. The Sixth A&amp;R Credit Agreement also contains an affirmative covenant regarding our interest coverage ratio determined as of the end of each of our fiscal quarters ending on and after April 2, 2022. The interest coverage ratio is calculated as Adjusted EBITDA divided by interest expense, as described in the Sixth A&amp;R Credit Agreement, and excludes costs related to refinancings. The minimum required interest coverage ratio is 3.00, which is unchanged from the Fifth A&amp;R Credit Agreement. Our interest coverage ratio was 7.81 for the twelve months ended April 2, 2022. As of April 2, 2022, we were in compliance with these financial covenants.</w:t>
      </w:r>
    </w:p>
    <w:p>
      <w:pPr>
        <w:spacing w:after="0" w:line="1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Sixth A&amp;R Credit Agreement allows us to make unlimited restricted payments (as defined in the Sixth A&amp;R Credit Agreement), including dividend payments on, and repurchases of, our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Sixth A&amp;R Credit Agreement and, based upon our current operating assumptions, we expect to remain in compliance with the permissible leverage ratio and interest coverage ratio throughout fiscal 2022. However, an unanticipated shortfall in earnings, an increase in net indebtedness or other factors could materially affect our ability to remain in compliance with the financial or other covenants of the Sixth A&amp;R Credit Agreement, potentially causing us to have to seek an amendment or waiver from our lending group which could result in repricing of the Sixth A&amp;R Credit Agreement. While we believe we have good relationships with our lending group, we can provide no assurance that such a request would result in a modified or replacement credit agreement on reasonable terms, if at all.</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22, 2019, we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17, 2021, we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All of our domestic subsidiaries that serve as guarantors of the 5.250% Senior Notes also serve as guarantors of the 4.000% Senior Notes.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13, 2021, we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All of our domestic subsidiaries that serve as guarantors of the 5.250% Senior Notes also serve as guarantors of the 4.375% Senior Notes.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seasonal commitment period beginning on February 25, 2022 and ending on June 17, 2022 is $160.0. The Receivables Facility expires on August 19, 2022.</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April 2, 2022 and April 3, 2021, there were $400.0 and $160.0, respectively, in borrowings on receivables pledged as collateral under the Receivables Facility, and the carrying value of the receivables pledged as collateral was $444.5 and $177.8, respectively.</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April 2, 2022, April 3, 2021 and September 30, 2021 had a maximum total U.S. dollar equivalent notional amount of $800.0, $900.0 and $600.0, respectively. The notional amount, effective date, expiration date and rate of each of the swap agreements outstanding at April 2, 2022 are shown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88"/>
        </w:trPr>
        <w:tc>
          <w:tcPr>
            <w:tcW w:w="2380" w:type="dxa"/>
            <w:vAlign w:val="bottom"/>
          </w:tcPr>
          <w:p>
            <w:pPr>
              <w:jc w:val="right"/>
              <w:ind w:right="855"/>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4"/>
        </w:trPr>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38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38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Availability and Use of Cash</w:t>
      </w:r>
    </w:p>
    <w:p>
      <w:pPr>
        <w:spacing w:after="0" w:line="14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uncertain and difficult to predict. Actual results of operations will depend on numerous factors, many of which are beyond our control as further discussed in the 2021 Annual Report, under “ITEM 1A. RISK FACTORS — Risks Related to Our M&amp;A, Lending and Financing Activities — Our indebtedness could limit our flexibility and adversely affect our financial condition” and “ITEM 1A. RISK FACTORS — Risks Related to Our Business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7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Senior Notes pursuant to the applicable indenture.</w:t>
      </w:r>
    </w:p>
    <w:p>
      <w:pPr>
        <w:spacing w:after="0" w:line="8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on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9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2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6"/>
        </w:trPr>
        <w:tc>
          <w:tcPr>
            <w:tcW w:w="7540" w:type="dxa"/>
            <w:vAlign w:val="bottom"/>
          </w:tcPr>
          <w:p>
            <w:pPr>
              <w:spacing w:after="0"/>
              <w:rPr>
                <w:sz w:val="12"/>
                <w:szCs w:val="12"/>
                <w:color w:val="auto"/>
              </w:rPr>
            </w:pPr>
          </w:p>
        </w:tc>
        <w:tc>
          <w:tcPr>
            <w:tcW w:w="1160" w:type="dxa"/>
            <w:vAlign w:val="bottom"/>
          </w:tcPr>
          <w:p>
            <w:pPr>
              <w:jc w:val="center"/>
              <w:ind w:left="562"/>
              <w:spacing w:after="0" w:line="147" w:lineRule="exact"/>
              <w:rPr>
                <w:sz w:val="20"/>
                <w:szCs w:val="20"/>
                <w:color w:val="auto"/>
              </w:rPr>
            </w:pPr>
            <w:r>
              <w:rPr>
                <w:rFonts w:ascii="Arial" w:cs="Arial" w:eastAsia="Arial" w:hAnsi="Arial"/>
                <w:sz w:val="14"/>
                <w:szCs w:val="14"/>
                <w:b w:val="1"/>
                <w:bCs w:val="1"/>
                <w:color w:val="auto"/>
              </w:rPr>
              <w:t>April 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76"/>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r>
      <w:tr>
        <w:trPr>
          <w:trHeight w:val="230"/>
        </w:trPr>
        <w:tc>
          <w:tcPr>
            <w:tcW w:w="7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2,699.3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2,484.5</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3,662.9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2,611.8</w:t>
            </w:r>
          </w:p>
        </w:tc>
      </w:tr>
    </w:tbl>
    <w:p>
      <w:pPr>
        <w:spacing w:after="0" w:line="6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$69.5 and $39.8,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Year Ended</w:t>
            </w:r>
          </w:p>
        </w:tc>
      </w:tr>
      <w:tr>
        <w:trPr>
          <w:trHeight w:val="135"/>
        </w:trPr>
        <w:tc>
          <w:tcPr>
            <w:tcW w:w="7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right="137"/>
              <w:spacing w:after="0" w:line="135"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7"/>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1,380.6</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continuing operations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bl>
    <w:p>
      <w:pPr>
        <w:spacing w:after="0" w:line="80" w:lineRule="exact"/>
        <w:rPr>
          <w:sz w:val="20"/>
          <w:szCs w:val="20"/>
          <w:color w:val="auto"/>
        </w:rPr>
      </w:pPr>
    </w:p>
    <w:p>
      <w:pPr>
        <w:ind w:left="5540" w:right="3640" w:hanging="5532"/>
        <w:spacing w:after="0" w:line="919" w:lineRule="auto"/>
        <w:tabs>
          <w:tab w:leader="none" w:pos="6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intercompany income from Non-Guarantor subsidiaries of $6.9 and $26.3, respectively.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disclosed in this Quarterly Report on Form 10-Q, there have been no material changes outside of the ordinary course of business in our outstanding contractual obligations since the end of fiscal 2021 and through April 2,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2021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2021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2021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right="1700"/>
        <w:spacing w:after="0" w:line="414" w:lineRule="auto"/>
        <w:rPr>
          <w:sz w:val="20"/>
          <w:szCs w:val="20"/>
          <w:color w:val="auto"/>
        </w:rPr>
      </w:pPr>
      <w:r>
        <w:rPr>
          <w:rFonts w:ascii="Arial" w:cs="Arial" w:eastAsia="Arial" w:hAnsi="Arial"/>
          <w:sz w:val="18"/>
          <w:szCs w:val="18"/>
          <w:color w:val="auto"/>
        </w:rPr>
        <w:t xml:space="preserve">principal financial officer have concluded that the Registrant’s disclosure controls and procedures were effective as of April 2, 2022. </w:t>
      </w:r>
      <w:r>
        <w:rPr>
          <w:rFonts w:ascii="Arial" w:cs="Arial" w:eastAsia="Arial" w:hAnsi="Arial"/>
          <w:sz w:val="18"/>
          <w:szCs w:val="18"/>
          <w:b w:val="1"/>
          <w:bCs w:val="1"/>
          <w:i w:val="1"/>
          <w:iCs w:val="1"/>
          <w:color w:val="auto"/>
        </w:rPr>
        <w:t>Changes in Internal Control Over Financial Reporting</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April 2, 2022 that have materially affected, or are reasonably likely to materially affect, the Registrant’s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Part I, Item 3 of the 2021 Annual Report. There have been no material developments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Reference is made to the Risk Factors set forth in Part I, Item 1A of our Annual Report on Form 10-K for the year ended September 30, 2021 filed on November 23, 2021. The information presented below updates the applicable risk factor appearing in our 2021 Annual Report on Form 10-K.</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Our goodwill may be impaired, which would require us to record a significant charge to earnings in accordance with generally accepted accounting principles.</w:t>
      </w:r>
    </w:p>
    <w:p>
      <w:pPr>
        <w:spacing w:after="0" w:line="8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U.S. GAAP requires us to test our goodwill for impairment on an annual basis, or more frequently if circumstances indicate potential impairment. Our Hawthorne segment has been negatively impacted by both an oversupply of cannabis, which has slowed down indoor and outdoor cultivation, and higher transportation and warehousing costs. As of April 2, 2022, we concluded that no goodwill impairment exists for our Hawthorne segment. This assessment considered the impact of temporary lower sales volumes and increased costs being experienced by our Hawthorne segment during fiscal 2022 as well as changes to other assumptions used in the fiscal 2021 annual impairment assessment. This testing involves estimates and significant judgments by management. While we consider our assumptions to be reasonable and appropriate and informed by temporary downturns in Hawthorne results experienced during 2018 and 2019, they are complex and subjective. Adverse changes in key assumptions in the future may result in a decline in the fair value of our Hawthorne segment below its carrying value and an impairment of its goodwill. If we determine that an impairment has occurred, it may be necessary to record impairment charges in the future, which could have a material adverse effect on our results of operations in the period in which the impairment charge is recorded.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FACTORS” in the 2021 Annual Report. All forward-looking statements attributable to us or persons working on our behalf are expressly qualified in their entirety by such risk factors.</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Sixth A&amp;R Credit Agreement allows the Company to make unlimited restricted payments (as defined in the Sixth A&amp;R Credit Agreement), including dividend payments on, and repurchases of, the Company’s Common Shares, as long as the leverage ratio resulting from the making of such restricted payments is 4.00 or less. Otherwise, the Company may make further restricted payments in an aggregate amount for each fiscal year not to exceed $225.0 million. The Company’s leverage ratio was 3.81 at April 2, 2022.</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April 2,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35"/>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Paid per</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 2022 through January 29,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96,366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496,721,924</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January 30, 2022 through February 26, 2022</w:t>
            </w:r>
          </w:p>
        </w:tc>
        <w:tc>
          <w:tcPr>
            <w:tcW w:w="1520" w:type="dxa"/>
            <w:vAlign w:val="bottom"/>
          </w:tcPr>
          <w:p>
            <w:pPr>
              <w:jc w:val="right"/>
              <w:spacing w:after="0"/>
              <w:rPr>
                <w:sz w:val="20"/>
                <w:szCs w:val="20"/>
                <w:color w:val="auto"/>
              </w:rPr>
            </w:pPr>
            <w:r>
              <w:rPr>
                <w:rFonts w:ascii="Arial" w:cs="Arial" w:eastAsia="Arial" w:hAnsi="Arial"/>
                <w:sz w:val="16"/>
                <w:szCs w:val="16"/>
                <w:color w:val="auto"/>
              </w:rPr>
              <w:t>109,671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138.62</w:t>
            </w:r>
          </w:p>
        </w:tc>
        <w:tc>
          <w:tcPr>
            <w:tcW w:w="100" w:type="dxa"/>
            <w:vAlign w:val="bottom"/>
          </w:tcPr>
          <w:p>
            <w:pPr>
              <w:spacing w:after="0"/>
              <w:rPr>
                <w:sz w:val="18"/>
                <w:szCs w:val="18"/>
                <w:color w:val="auto"/>
              </w:rPr>
            </w:pP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109,671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481,519,753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27, 2022 through April 2,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155,140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366,390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138.32</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361,177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86" w:lineRule="auto"/>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of the Common Shares purchased during the second quarter of fiscal 2022 were purchased in open market transactions. The total number of Common Shares purchased during the quarter includes 5,213 Common Shares purchased by the trustee of the rabbi trust established by the Company as permitted pursuant to the terms of The Scotts Company LLC Executive Retirement Plan (the “ERP”).</w:t>
      </w:r>
    </w:p>
    <w:p>
      <w:pPr>
        <w:spacing w:after="0" w:line="192"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8"/>
        </w:numPr>
        <w:rPr>
          <w:rFonts w:ascii="Arial" w:cs="Arial" w:eastAsia="Arial" w:hAnsi="Arial"/>
          <w:sz w:val="18"/>
          <w:szCs w:val="18"/>
          <w:color w:val="333333"/>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44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APRIL 2, 2022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ind w:left="260"/>
              <w:spacing w:after="0"/>
              <w:rPr>
                <w:sz w:val="20"/>
                <w:szCs w:val="20"/>
                <w:color w:val="auto"/>
              </w:rPr>
            </w:pPr>
            <w:r>
              <w:rPr>
                <w:rFonts w:ascii="Arial" w:cs="Arial" w:eastAsia="Arial" w:hAnsi="Arial"/>
                <w:sz w:val="22"/>
                <w:szCs w:val="22"/>
                <w:color w:val="auto"/>
              </w:rPr>
              <w:t>Incorporated by Reference</w:t>
            </w:r>
          </w:p>
        </w:tc>
        <w:tc>
          <w:tcPr>
            <w:tcW w:w="1000" w:type="dxa"/>
            <w:vAlign w:val="bottom"/>
          </w:tcPr>
          <w:p>
            <w:pPr>
              <w:spacing w:after="0"/>
              <w:rPr>
                <w:sz w:val="24"/>
                <w:szCs w:val="24"/>
                <w:color w:val="auto"/>
              </w:rPr>
            </w:pPr>
          </w:p>
        </w:tc>
      </w:tr>
      <w:tr>
        <w:trPr>
          <w:trHeight w:val="215"/>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Filed</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60" w:type="dxa"/>
            <w:vAlign w:val="bottom"/>
            <w:gridSpan w:val="22"/>
          </w:tcPr>
          <w:p>
            <w:pPr>
              <w:ind w:left="240"/>
              <w:spacing w:after="0"/>
              <w:rPr>
                <w:sz w:val="20"/>
                <w:szCs w:val="20"/>
                <w:color w:val="auto"/>
              </w:rPr>
            </w:pPr>
            <w:r>
              <w:rPr>
                <w:rFonts w:ascii="Arial" w:cs="Arial" w:eastAsia="Arial" w:hAnsi="Arial"/>
                <w:sz w:val="18"/>
                <w:szCs w:val="18"/>
                <w:color w:val="auto"/>
              </w:rPr>
              <w:t>Description</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Form</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Exhibit</w:t>
            </w: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r>
      <w:tr>
        <w:trPr>
          <w:trHeight w:val="27"/>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06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The Scotts Miracle-Gro Company Long-Term Incentive Plan (Effective as of</w:t>
              </w:r>
            </w:hyperlink>
          </w:p>
        </w:tc>
        <w:tc>
          <w:tcPr>
            <w:tcW w:w="540" w:type="dxa"/>
            <w:vAlign w:val="bottom"/>
            <w:gridSpan w:val="12"/>
          </w:tcPr>
          <w:p>
            <w:pPr>
              <w:spacing w:after="0"/>
              <w:rPr>
                <w:sz w:val="17"/>
                <w:szCs w:val="17"/>
                <w:color w:val="auto"/>
              </w:rPr>
            </w:pPr>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1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January 27,</w:t>
            </w: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January 24, 2022)</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Consulting Agreement, dated February 8, 2022, between The Scotts Company</w:t>
              </w:r>
            </w:hyperlink>
          </w:p>
        </w:tc>
        <w:tc>
          <w:tcPr>
            <w:tcW w:w="440" w:type="dxa"/>
            <w:vAlign w:val="bottom"/>
            <w:gridSpan w:val="9"/>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LLC and Hanft Ideas LLC</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bottom w:val="single" w:sz="8" w:color="0000FF"/>
            </w:tcBorders>
            <w:gridSpan w:val="24"/>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Form of Standard Performance Unit Award Agreement which may be made under</w:t>
              </w:r>
            </w:hyperlink>
          </w:p>
        </w:tc>
        <w:tc>
          <w:tcPr>
            <w:tcW w:w="180" w:type="dxa"/>
            <w:vAlign w:val="bottom"/>
            <w:gridSpan w:val="3"/>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February 9,</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The Scotts Miracle-Gro Company Long-Term Incentive Plan</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7"/>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Form of Standard Restricted Stock Unit Award Agreement which may be made</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February 9,</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under The Scotts Miracle-Gro Company Long-Term Incentive Plan</w:t>
              </w:r>
            </w:hyperlink>
          </w:p>
        </w:tc>
        <w:tc>
          <w:tcPr>
            <w:tcW w:w="3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7"/>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Sixth Amended and Restated Credit Agreement, dated as of April 8, 2022, by and</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April 14,</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among The Scotts Miracle-Gro Company, as a Borrower; the Subsidiary</w:t>
              </w:r>
            </w:hyperlink>
          </w:p>
        </w:tc>
        <w:tc>
          <w:tcPr>
            <w:tcW w:w="680" w:type="dxa"/>
            <w:vAlign w:val="bottom"/>
            <w:tcBorders>
              <w:top w:val="single" w:sz="8" w:color="0000FF"/>
            </w:tcBorders>
            <w:gridSpan w:val="10"/>
          </w:tcPr>
          <w:p>
            <w:pPr>
              <w:spacing w:after="0"/>
              <w:rPr>
                <w:sz w:val="17"/>
                <w:szCs w:val="17"/>
                <w:color w:val="auto"/>
              </w:rPr>
            </w:pPr>
          </w:p>
        </w:tc>
        <w:tc>
          <w:tcPr>
            <w:tcW w:w="20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Borrowers (as defined therein); JPMorgan Chase Bank, N.A., as Administrative</w:t>
              </w:r>
            </w:hyperlink>
          </w:p>
        </w:tc>
        <w:tc>
          <w:tcPr>
            <w:tcW w:w="3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w w:val="96"/>
              </w:rPr>
            </w:pPr>
            <w:hyperlink r:id="rId59">
              <w:r>
                <w:rPr>
                  <w:rFonts w:ascii="Arial" w:cs="Arial" w:eastAsia="Arial" w:hAnsi="Arial"/>
                  <w:sz w:val="18"/>
                  <w:szCs w:val="18"/>
                  <w:color w:val="0000FF"/>
                  <w:w w:val="96"/>
                </w:rPr>
                <w:t>Agent; Wells Fargo Bank, National Association, Mizuho Bank, Ltd. and Bank of</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tcBorders>
            <w:gridSpan w:val="22"/>
          </w:tcPr>
          <w:p>
            <w:pPr>
              <w:spacing w:after="0" w:line="196" w:lineRule="exact"/>
              <w:rPr>
                <w:rFonts w:ascii="Arial" w:cs="Arial" w:eastAsia="Arial" w:hAnsi="Arial"/>
                <w:sz w:val="18"/>
                <w:szCs w:val="18"/>
                <w:color w:val="0000FF"/>
                <w:w w:val="96"/>
              </w:rPr>
            </w:pPr>
            <w:hyperlink r:id="rId59">
              <w:r>
                <w:rPr>
                  <w:rFonts w:ascii="Arial" w:cs="Arial" w:eastAsia="Arial" w:hAnsi="Arial"/>
                  <w:sz w:val="18"/>
                  <w:szCs w:val="18"/>
                  <w:color w:val="0000FF"/>
                  <w:w w:val="96"/>
                </w:rPr>
                <w:t>America, N.A., as Co- Syndication Agents; CoBank, ACB, Fifth Third Bank,</w:t>
              </w:r>
            </w:hyperlink>
          </w:p>
        </w:tc>
        <w:tc>
          <w:tcPr>
            <w:tcW w:w="2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16"/>
          </w:tcPr>
          <w:p>
            <w:pPr>
              <w:spacing w:after="0" w:line="196"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National Association, Coöperatieve Rabobank U.A., New York Branch,</w:t>
              </w:r>
            </w:hyperlink>
          </w:p>
        </w:tc>
        <w:tc>
          <w:tcPr>
            <w:tcW w:w="52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Sumitomo Mitsui Banking Corporation, TD Bank N.A. and Truist Bank, as Co-</w:t>
              </w:r>
            </w:hyperlink>
          </w:p>
        </w:tc>
        <w:tc>
          <w:tcPr>
            <w:tcW w:w="3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Documentation Agents; and the several other banks and other financial institutions</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from time to time parties thereto</w:t>
              </w:r>
            </w:hyperlink>
          </w:p>
        </w:tc>
        <w:tc>
          <w:tcPr>
            <w:tcW w:w="1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7"/>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Sixth Amended and Restated Guarantee and Collateral Agreement, dated as of</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April 14,</w:t>
            </w:r>
          </w:p>
        </w:tc>
        <w:tc>
          <w:tcPr>
            <w:tcW w:w="100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top w:val="single" w:sz="8" w:color="0000FF"/>
            </w:tcBorders>
            <w:gridSpan w:val="18"/>
          </w:tcPr>
          <w:p>
            <w:pPr>
              <w:spacing w:after="0" w:line="196"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April 8, 2022, made by The Scotts Miracle-Gro Company, each domestic</w:t>
              </w:r>
            </w:hyperlink>
          </w:p>
        </w:tc>
        <w:tc>
          <w:tcPr>
            <w:tcW w:w="4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gridSpan w:val="27"/>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Subsidiary Borrower under the Sixth Amended and Restated Credit Agreement,</w:t>
              </w:r>
            </w:hyperlink>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20"/>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and certain of its and their domestic subsidiaries, in favor of JPMorgan Chase</w:t>
              </w:r>
            </w:hyperlink>
          </w:p>
        </w:tc>
        <w:tc>
          <w:tcPr>
            <w:tcW w:w="3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Bank, N.A., as Administrative Agent</w:t>
              </w:r>
            </w:hyperlink>
          </w:p>
        </w:tc>
        <w:tc>
          <w:tcPr>
            <w:tcW w:w="50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Subsidiaries of The Scotts Miracle-Gro Company</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top w:val="single" w:sz="8" w:color="0000FF"/>
            </w:tcBorders>
            <w:gridSpan w:val="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Guarantor Subsidiaries</w:t>
              </w:r>
            </w:hyperlink>
          </w:p>
        </w:tc>
        <w:tc>
          <w:tcPr>
            <w:tcW w:w="2520" w:type="dxa"/>
            <w:vAlign w:val="bottom"/>
            <w:gridSpan w:val="20"/>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gridSpan w:val="2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13a-14(a)/15d-14(a) Certifications (Principal Executive Officer)</w:t>
              </w:r>
            </w:hyperlink>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Rule 13a-14(a)/15d-14(a) Certifications (Principal Financial Officer)</w:t>
              </w:r>
            </w:hyperlink>
          </w:p>
        </w:tc>
        <w:tc>
          <w:tcPr>
            <w:tcW w:w="40" w:type="dxa"/>
            <w:vAlign w:val="bottom"/>
            <w:tcBorders>
              <w:top w:val="single" w:sz="8" w:color="0000FF"/>
            </w:tcBorders>
          </w:tcPr>
          <w:p>
            <w:pPr>
              <w:spacing w:after="0"/>
              <w:rPr>
                <w:sz w:val="21"/>
                <w:szCs w:val="21"/>
                <w:color w:val="auto"/>
              </w:rPr>
            </w:pPr>
          </w:p>
        </w:tc>
        <w:tc>
          <w:tcPr>
            <w:tcW w:w="1080" w:type="dxa"/>
            <w:vAlign w:val="bottom"/>
            <w:gridSpan w:val="16"/>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Section 1350 Certifications (Principal Executive Officer and Principal Financial</w:t>
              </w:r>
            </w:hyperlink>
          </w:p>
        </w:tc>
        <w:tc>
          <w:tcPr>
            <w:tcW w:w="32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tcPr>
          <w:p>
            <w:pPr>
              <w:spacing w:after="0" w:line="196" w:lineRule="exact"/>
              <w:rPr>
                <w:rFonts w:ascii="Arial" w:cs="Arial" w:eastAsia="Arial" w:hAnsi="Arial"/>
                <w:sz w:val="18"/>
                <w:szCs w:val="18"/>
                <w:color w:val="0000FF"/>
                <w:w w:val="94"/>
              </w:rPr>
            </w:pPr>
            <w:hyperlink w:anchor="page56">
              <w:r>
                <w:rPr>
                  <w:rFonts w:ascii="Arial" w:cs="Arial" w:eastAsia="Arial" w:hAnsi="Arial"/>
                  <w:sz w:val="18"/>
                  <w:szCs w:val="18"/>
                  <w:color w:val="0000FF"/>
                  <w:w w:val="94"/>
                </w:rPr>
                <w:t>Officer)</w:t>
              </w:r>
            </w:hyperlink>
          </w:p>
        </w:tc>
        <w:tc>
          <w:tcPr>
            <w:tcW w:w="5500" w:type="dxa"/>
            <w:vAlign w:val="bottom"/>
            <w:gridSpan w:val="2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6"/>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gridSpan w:val="27"/>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 contained in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27"/>
          </w:tcPr>
          <w:p>
            <w:pPr>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499"/>
        </w:trPr>
        <w:tc>
          <w:tcPr>
            <w:tcW w:w="5720" w:type="dxa"/>
            <w:vAlign w:val="bottom"/>
          </w:tcPr>
          <w:p>
            <w:pPr>
              <w:spacing w:after="0"/>
              <w:rPr>
                <w:sz w:val="20"/>
                <w:szCs w:val="20"/>
                <w:color w:val="auto"/>
              </w:rPr>
            </w:pPr>
            <w:r>
              <w:rPr>
                <w:rFonts w:ascii="Arial" w:cs="Arial" w:eastAsia="Arial" w:hAnsi="Arial"/>
                <w:sz w:val="18"/>
                <w:szCs w:val="18"/>
                <w:color w:val="auto"/>
              </w:rPr>
              <w:t>Date: May 11, 2022</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CORY J. MILLER</w:t>
            </w:r>
          </w:p>
        </w:tc>
      </w:tr>
      <w:tr>
        <w:trPr>
          <w:trHeight w:val="222"/>
        </w:trPr>
        <w:tc>
          <w:tcPr>
            <w:tcW w:w="5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Name: Cory J. Miller</w:t>
            </w:r>
          </w:p>
        </w:tc>
      </w:t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tabs>
          <w:tab w:leader="none" w:pos="8220" w:val="left"/>
        </w:tabs>
        <w:rPr>
          <w:sz w:val="20"/>
          <w:szCs w:val="20"/>
          <w:color w:val="auto"/>
        </w:rPr>
      </w:pPr>
      <w:r>
        <w:rPr>
          <w:rFonts w:ascii="Arial" w:cs="Arial" w:eastAsia="Arial" w:hAnsi="Arial"/>
          <w:sz w:val="25"/>
          <w:szCs w:val="25"/>
          <w:b w:val="1"/>
          <w:bCs w:val="1"/>
          <w:i w:val="1"/>
          <w:iCs w:val="1"/>
          <w:u w:val="single" w:color="auto"/>
          <w:color w:val="auto"/>
        </w:rPr>
        <w:drawing>
          <wp:anchor simplePos="0" relativeHeight="251657728" behindDoc="1" locked="0" layoutInCell="0" allowOverlap="1">
            <wp:simplePos x="0" y="0"/>
            <wp:positionH relativeFrom="page">
              <wp:posOffset>4305935</wp:posOffset>
            </wp:positionH>
            <wp:positionV relativeFrom="page">
              <wp:posOffset>88900</wp:posOffset>
            </wp:positionV>
            <wp:extent cx="1131570" cy="497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97205"/>
                    </a:xfrm>
                    <a:prstGeom prst="rect">
                      <a:avLst/>
                    </a:prstGeom>
                    <a:noFill/>
                  </pic:spPr>
                </pic:pic>
              </a:graphicData>
            </a:graphic>
          </wp:anchor>
        </w:drawing>
        <w:t>The Scotts Company LLC</w:t>
      </w:r>
      <w:r>
        <w:rPr>
          <w:rFonts w:ascii="Arial" w:cs="Arial" w:eastAsia="Arial" w:hAnsi="Arial"/>
          <w:sz w:val="25"/>
          <w:szCs w:val="25"/>
          <w:i w:val="1"/>
          <w:iCs w:val="1"/>
          <w:u w:val="single" w:color="auto"/>
          <w:color w:val="auto"/>
        </w:rPr>
        <w:t>______________________________</w:t>
      </w:r>
      <w:r>
        <w:rPr>
          <w:sz w:val="20"/>
          <w:szCs w:val="20"/>
          <w:color w:val="auto"/>
        </w:rPr>
        <w:tab/>
      </w: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February 8, 2022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227" w:lineRule="auto"/>
        <w:rPr>
          <w:sz w:val="20"/>
          <w:szCs w:val="20"/>
          <w:color w:val="auto"/>
        </w:rPr>
      </w:pPr>
      <w:r>
        <w:rPr>
          <w:rFonts w:ascii="Arial" w:cs="Arial" w:eastAsia="Arial" w:hAnsi="Arial"/>
          <w:sz w:val="20"/>
          <w:szCs w:val="20"/>
          <w:color w:val="auto"/>
        </w:rPr>
        <w:t>Chief Executive Officer</w:t>
      </w:r>
    </w:p>
    <w:p>
      <w:pPr>
        <w:spacing w:after="0" w:line="225" w:lineRule="auto"/>
        <w:rPr>
          <w:sz w:val="20"/>
          <w:szCs w:val="20"/>
          <w:color w:val="auto"/>
        </w:rPr>
      </w:pPr>
      <w:r>
        <w:rPr>
          <w:rFonts w:ascii="Arial" w:cs="Arial" w:eastAsia="Arial" w:hAnsi="Arial"/>
          <w:sz w:val="20"/>
          <w:szCs w:val="20"/>
          <w:color w:val="auto"/>
        </w:rPr>
        <w:t>Hanft Ideas LLC</w:t>
      </w:r>
    </w:p>
    <w:p>
      <w:pPr>
        <w:spacing w:after="0" w:line="226" w:lineRule="auto"/>
        <w:rPr>
          <w:sz w:val="20"/>
          <w:szCs w:val="20"/>
          <w:color w:val="auto"/>
        </w:rPr>
      </w:pPr>
      <w:r>
        <w:rPr>
          <w:rFonts w:ascii="Arial" w:cs="Arial" w:eastAsia="Arial" w:hAnsi="Arial"/>
          <w:sz w:val="20"/>
          <w:szCs w:val="20"/>
          <w:color w:val="auto"/>
        </w:rPr>
        <w:t>50 Astor Lane</w:t>
      </w:r>
    </w:p>
    <w:p>
      <w:pPr>
        <w:spacing w:after="0"/>
        <w:rPr>
          <w:sz w:val="20"/>
          <w:szCs w:val="20"/>
          <w:color w:val="auto"/>
        </w:rPr>
      </w:pPr>
      <w:r>
        <w:rPr>
          <w:rFonts w:ascii="Arial" w:cs="Arial" w:eastAsia="Arial" w:hAnsi="Arial"/>
          <w:sz w:val="20"/>
          <w:szCs w:val="20"/>
          <w:color w:val="auto"/>
        </w:rPr>
        <w:t>Sands Point, New York 11050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letter sets forth our agreement (the “Agreement”) regarding a consulting engagement between Hanft Ideas and The Scotts Company LLC (“Scotts” or the “Company”). For the purposes of this Agreement, the term “Contractor” means Hanft Ideas, its primary designee/employee Adam Hanft, and any other designee or employee of Hanft Ideas. These consulting services are separate and distinct from the services Mr. Hanft is and will be providing as a member of the Scotts Miracle-Gro Company’s Board of Directors (the “Board”) or any Board Committees or other Committees on which Mr. Hanft may serve.</w:t>
      </w:r>
    </w:p>
    <w:p>
      <w:pPr>
        <w:spacing w:after="0" w:line="20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Scope of Services</w:t>
      </w:r>
    </w:p>
    <w:p>
      <w:pPr>
        <w:spacing w:after="0" w:line="235"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Subject to the approval of the Board, Contractor agrees to provide the consulting services to Scotts described below. It is anticipated that Contractor will generally undertake the following work and activities pursuant to this Agreement:</w:t>
      </w:r>
    </w:p>
    <w:p>
      <w:pPr>
        <w:spacing w:after="0" w:line="204"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Provide enterprise-wide as well as division- and brand-specific support to the Company in areas that include:</w:t>
      </w:r>
    </w:p>
    <w:p>
      <w:pPr>
        <w:spacing w:after="0" w:line="229" w:lineRule="exact"/>
        <w:rPr>
          <w:rFonts w:ascii="Arial" w:cs="Arial" w:eastAsia="Arial" w:hAnsi="Arial"/>
          <w:sz w:val="20"/>
          <w:szCs w:val="20"/>
          <w:color w:val="auto"/>
        </w:rPr>
      </w:pPr>
    </w:p>
    <w:p>
      <w:pPr>
        <w:ind w:left="1940" w:hanging="636"/>
        <w:spacing w:after="0"/>
        <w:tabs>
          <w:tab w:leader="none" w:pos="19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Company’s activities and communication with regard to ESG initiatives, as well as climate change;</w:t>
      </w:r>
    </w:p>
    <w:p>
      <w:pPr>
        <w:spacing w:after="0" w:line="2" w:lineRule="exact"/>
        <w:rPr>
          <w:rFonts w:ascii="Arial" w:cs="Arial" w:eastAsia="Arial" w:hAnsi="Arial"/>
          <w:sz w:val="20"/>
          <w:szCs w:val="20"/>
          <w:color w:val="auto"/>
        </w:rPr>
      </w:pPr>
    </w:p>
    <w:p>
      <w:pPr>
        <w:ind w:left="1940" w:hanging="636"/>
        <w:spacing w:after="0" w:line="225" w:lineRule="auto"/>
        <w:tabs>
          <w:tab w:leader="none" w:pos="19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Company’s investor relations narrative and communications;</w:t>
      </w:r>
    </w:p>
    <w:p>
      <w:pPr>
        <w:ind w:left="1960" w:hanging="656"/>
        <w:spacing w:after="0" w:line="225" w:lineRule="auto"/>
        <w:tabs>
          <w:tab w:leader="none" w:pos="19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Company’s merger and acquisition and growth strategies, including consulting with the company’s internal venture group;</w:t>
      </w:r>
    </w:p>
    <w:p>
      <w:pPr>
        <w:ind w:left="1940" w:hanging="636"/>
        <w:spacing w:after="0" w:line="225" w:lineRule="auto"/>
        <w:tabs>
          <w:tab w:leader="none" w:pos="19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Company’s strategy and practices as relate to the metaverse and role of NFTs; and</w:t>
      </w:r>
    </w:p>
    <w:p>
      <w:pPr>
        <w:ind w:left="1940" w:hanging="636"/>
        <w:spacing w:after="0"/>
        <w:tabs>
          <w:tab w:leader="none" w:pos="1940" w:val="left"/>
        </w:tabs>
        <w:numPr>
          <w:ilvl w:val="1"/>
          <w:numId w:val="20"/>
        </w:numPr>
        <w:rPr>
          <w:rFonts w:ascii="Arial" w:cs="Arial" w:eastAsia="Arial" w:hAnsi="Arial"/>
          <w:sz w:val="20"/>
          <w:szCs w:val="20"/>
          <w:color w:val="auto"/>
        </w:rPr>
      </w:pPr>
      <w:r>
        <w:rPr>
          <w:rFonts w:ascii="Arial" w:cs="Arial" w:eastAsia="Arial" w:hAnsi="Arial"/>
          <w:sz w:val="20"/>
          <w:szCs w:val="20"/>
          <w:color w:val="auto"/>
        </w:rPr>
        <w:t>Working with the Company’s external partners and resources.</w:t>
      </w:r>
    </w:p>
    <w:p>
      <w:pPr>
        <w:spacing w:after="0" w:line="213" w:lineRule="exact"/>
        <w:rPr>
          <w:rFonts w:ascii="Arial" w:cs="Arial" w:eastAsia="Arial" w:hAnsi="Arial"/>
          <w:sz w:val="20"/>
          <w:szCs w:val="20"/>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addition, the Contractor will:</w:t>
      </w:r>
    </w:p>
    <w:p>
      <w:pPr>
        <w:spacing w:after="0" w:line="229" w:lineRule="exact"/>
        <w:rPr>
          <w:rFonts w:ascii="Arial" w:cs="Arial" w:eastAsia="Arial" w:hAnsi="Arial"/>
          <w:sz w:val="20"/>
          <w:szCs w:val="20"/>
          <w:color w:val="auto"/>
        </w:rPr>
      </w:pPr>
    </w:p>
    <w:p>
      <w:pPr>
        <w:jc w:val="both"/>
        <w:ind w:left="1960" w:hanging="656"/>
        <w:spacing w:after="0" w:line="229" w:lineRule="auto"/>
        <w:tabs>
          <w:tab w:leader="none" w:pos="19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Provide insights and expertise to help inspire and develop a culture of creativity, with emphasis on: Shaping and assisting with the development of the overall marketing, creative and content strategies in conjunction with the CEO, COO,CMO and SBU leaders; inspiring innovation; building Scotts’ brands and consumer loyalty; and mentoring and coaching key marketing and business executives as requested;</w:t>
      </w:r>
    </w:p>
    <w:p>
      <w:pPr>
        <w:spacing w:after="0" w:line="2" w:lineRule="exact"/>
        <w:rPr>
          <w:rFonts w:ascii="Arial" w:cs="Arial" w:eastAsia="Arial" w:hAnsi="Arial"/>
          <w:sz w:val="20"/>
          <w:szCs w:val="20"/>
          <w:color w:val="auto"/>
        </w:rPr>
      </w:pPr>
    </w:p>
    <w:p>
      <w:pPr>
        <w:ind w:left="1960" w:right="20" w:hanging="656"/>
        <w:spacing w:after="0" w:line="225" w:lineRule="auto"/>
        <w:tabs>
          <w:tab w:leader="none" w:pos="19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Consult with and provide recommendations to the CEO, COO and CMO on an as-needed basis on issues of marketing strategy, including new product development; and</w:t>
      </w:r>
    </w:p>
    <w:p>
      <w:pPr>
        <w:jc w:val="both"/>
        <w:ind w:left="1960" w:hanging="656"/>
        <w:spacing w:after="0" w:line="266" w:lineRule="auto"/>
        <w:tabs>
          <w:tab w:leader="none" w:pos="19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Participate in marketing meetings to support the successful execution of the anticipated marketing initiatives of the Company, including on-going support of core brands, the Company’s direct-to-consumer business, live goods, the efforts of Hawthorne Gardening Company, the Black Ops project, and any other special projects as assigned.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14111 Scottslawn Road Marysville, Ohio 43041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937-644-0011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www.scotts.com</w:t>
      </w:r>
    </w:p>
    <w:p>
      <w:pPr>
        <w:sectPr>
          <w:pgSz w:w="11900" w:h="16838" w:orient="portrait"/>
          <w:cols w:equalWidth="0" w:num="1">
            <w:col w:w="11240"/>
          </w:cols>
          <w:pgMar w:left="320" w:top="73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8, 2022</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 LLC</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spacing w:after="0" w:line="244" w:lineRule="auto"/>
        <w:rPr>
          <w:sz w:val="20"/>
          <w:szCs w:val="20"/>
          <w:color w:val="auto"/>
        </w:rPr>
      </w:pPr>
      <w:r>
        <w:rPr>
          <w:rFonts w:ascii="Arial" w:cs="Arial" w:eastAsia="Arial" w:hAnsi="Arial"/>
          <w:sz w:val="19"/>
          <w:szCs w:val="19"/>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 upon modifications, which may include, by way of non-limiting examples, modifications regarding the work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206"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206"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Length of Agreement</w:t>
      </w:r>
    </w:p>
    <w:p>
      <w:pPr>
        <w:spacing w:after="0" w:line="235"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color w:val="auto"/>
        </w:rPr>
        <w:t>The term of this Agreement will commence on February 1, 2022 and will end on January 31, 2023 (the “Termination Date”), unless terminated earlier under Section V.1. The term of this Agreement may be extended only by written agreement, signed by both parties and setting forth expressly the terms related to the consulting fee.</w:t>
      </w:r>
    </w:p>
    <w:p>
      <w:pPr>
        <w:spacing w:after="0" w:line="204"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18"/>
          <w:szCs w:val="18"/>
          <w:b w:val="1"/>
          <w:bCs w:val="1"/>
          <w:color w:val="auto"/>
        </w:rPr>
        <w:t>Authority</w:t>
      </w:r>
    </w:p>
    <w:p>
      <w:pPr>
        <w:spacing w:after="0" w:line="235"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16"/>
          <w:szCs w:val="16"/>
          <w:b w:val="1"/>
          <w:bCs w:val="1"/>
          <w:color w:val="auto"/>
        </w:rPr>
        <w:t>Consulting Fees and Expenses</w:t>
      </w:r>
    </w:p>
    <w:p>
      <w:pPr>
        <w:spacing w:after="0" w:line="235" w:lineRule="exact"/>
        <w:rPr>
          <w:sz w:val="20"/>
          <w:szCs w:val="20"/>
          <w:color w:val="auto"/>
        </w:rPr>
      </w:pPr>
    </w:p>
    <w:p>
      <w:pPr>
        <w:ind w:left="1300" w:right="20" w:hanging="644"/>
        <w:spacing w:after="0" w:line="246" w:lineRule="auto"/>
        <w:tabs>
          <w:tab w:leader="none" w:pos="1055"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203" w:lineRule="exact"/>
        <w:rPr>
          <w:rFonts w:ascii="Arial" w:cs="Arial" w:eastAsia="Arial" w:hAnsi="Arial"/>
          <w:sz w:val="20"/>
          <w:szCs w:val="20"/>
          <w:color w:val="auto"/>
        </w:rPr>
      </w:pPr>
    </w:p>
    <w:p>
      <w:pPr>
        <w:ind w:left="1960" w:hanging="656"/>
        <w:spacing w:after="0" w:line="234" w:lineRule="auto"/>
        <w:tabs>
          <w:tab w:leader="none" w:pos="1778"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 hereunder. Contractor shall be required to submit monthly invoices including days/hours worked with brief descriptions of the services provided. Scotts shall pay Contractor within 30 days of its receipt of Contractor’s invoices.</w:t>
      </w:r>
    </w:p>
    <w:p>
      <w:pPr>
        <w:spacing w:after="0" w:line="210" w:lineRule="exact"/>
        <w:rPr>
          <w:rFonts w:ascii="Arial" w:cs="Arial" w:eastAsia="Arial" w:hAnsi="Arial"/>
          <w:sz w:val="20"/>
          <w:szCs w:val="20"/>
          <w:color w:val="auto"/>
        </w:rPr>
      </w:pPr>
    </w:p>
    <w:p>
      <w:pPr>
        <w:ind w:left="1960" w:hanging="656"/>
        <w:spacing w:after="0" w:line="258"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one-time grant of restricted stock units (“RSUs”) with a grant date of February 4, 2022 (the “Grant Date”) and a Grant Date value of $400,000. The RSUs’ shall be issued in the name of Adam Hanft individually. The number of RSUs will be determined by dividing the intended Grant Date value by the closing price of a share on the Grant Date, rounded up to the next whole share. Each dividend equivalent represents the right to receive additional RSUs in respect of the dividends that are declared and paid during the period beginning on the Grant Date and ending on the applicable Settlement Date. The RSUs and any related dividend equivalents will vest on January 31, 2023, provided that this Agreement has not otherwise been terminated or notified for termination on that date for any</w:t>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8, 2022</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 LLC</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1960"/>
        <w:spacing w:after="0" w:line="246" w:lineRule="auto"/>
        <w:rPr>
          <w:sz w:val="20"/>
          <w:szCs w:val="20"/>
          <w:color w:val="auto"/>
        </w:rPr>
      </w:pPr>
      <w:r>
        <w:rPr>
          <w:rFonts w:ascii="Arial" w:cs="Arial" w:eastAsia="Arial" w:hAnsi="Arial"/>
          <w:sz w:val="20"/>
          <w:szCs w:val="20"/>
          <w:color w:val="auto"/>
        </w:rPr>
        <w:t>reason listed in Section V.1(b)-(f) of this Agreement. The vested RSUs and related dividend equivalents, if any, will be settled as soon as administratively practical following vesting.</w:t>
      </w:r>
    </w:p>
    <w:p>
      <w:pPr>
        <w:spacing w:after="0" w:line="204" w:lineRule="exact"/>
        <w:rPr>
          <w:sz w:val="20"/>
          <w:szCs w:val="20"/>
          <w:color w:val="auto"/>
        </w:rPr>
      </w:pPr>
    </w:p>
    <w:p>
      <w:pPr>
        <w:ind w:left="2600" w:hanging="648"/>
        <w:spacing w:after="0" w:line="263" w:lineRule="auto"/>
        <w:tabs>
          <w:tab w:leader="none" w:pos="2438" w:val="left"/>
        </w:tabs>
        <w:numPr>
          <w:ilvl w:val="3"/>
          <w:numId w:val="23"/>
        </w:numPr>
        <w:rPr>
          <w:rFonts w:ascii="Arial" w:cs="Arial" w:eastAsia="Arial" w:hAnsi="Arial"/>
          <w:sz w:val="18"/>
          <w:szCs w:val="18"/>
          <w:color w:val="auto"/>
        </w:rPr>
      </w:pPr>
      <w:r>
        <w:rPr>
          <w:rFonts w:ascii="Arial" w:cs="Arial" w:eastAsia="Arial" w:hAnsi="Arial"/>
          <w:sz w:val="18"/>
          <w:szCs w:val="18"/>
          <w:color w:val="auto"/>
        </w:rPr>
        <w:t>With the exception of the vesting provisions described above, the award of RSUs and related dividend equivalents shall be subject to the terms of The Scotts Miracle-Gro Company Long Term Incentive Plan, effective as of January 24, 2022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188" w:lineRule="exact"/>
        <w:rPr>
          <w:rFonts w:ascii="Arial" w:cs="Arial" w:eastAsia="Arial" w:hAnsi="Arial"/>
          <w:sz w:val="18"/>
          <w:szCs w:val="18"/>
          <w:color w:val="auto"/>
        </w:rPr>
      </w:pPr>
    </w:p>
    <w:p>
      <w:pPr>
        <w:ind w:left="1300" w:hanging="644"/>
        <w:spacing w:after="0" w:line="258" w:lineRule="auto"/>
        <w:tabs>
          <w:tab w:leader="none" w:pos="10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97" w:lineRule="exact"/>
        <w:rPr>
          <w:rFonts w:ascii="Arial" w:cs="Arial" w:eastAsia="Arial" w:hAnsi="Arial"/>
          <w:sz w:val="18"/>
          <w:szCs w:val="18"/>
          <w:color w:val="auto"/>
        </w:rPr>
      </w:pPr>
    </w:p>
    <w:p>
      <w:pPr>
        <w:ind w:left="1300" w:hanging="644"/>
        <w:spacing w:after="0" w:line="237" w:lineRule="auto"/>
        <w:tabs>
          <w:tab w:leader="none" w:pos="1009" w:val="left"/>
        </w:tabs>
        <w:numPr>
          <w:ilvl w:val="1"/>
          <w:numId w:val="24"/>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203" w:lineRule="exact"/>
        <w:rPr>
          <w:rFonts w:ascii="Arial" w:cs="Arial" w:eastAsia="Arial" w:hAnsi="Arial"/>
          <w:sz w:val="20"/>
          <w:szCs w:val="20"/>
          <w:color w:val="auto"/>
        </w:rPr>
      </w:pPr>
    </w:p>
    <w:p>
      <w:pPr>
        <w:ind w:left="360" w:hanging="352"/>
        <w:spacing w:after="0"/>
        <w:tabs>
          <w:tab w:leader="none" w:pos="3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235" w:lineRule="exact"/>
        <w:rPr>
          <w:rFonts w:ascii="Arial" w:cs="Arial" w:eastAsia="Arial" w:hAnsi="Arial"/>
          <w:sz w:val="20"/>
          <w:szCs w:val="20"/>
          <w:b w:val="1"/>
          <w:bCs w:val="1"/>
          <w:color w:val="auto"/>
        </w:rPr>
      </w:pPr>
    </w:p>
    <w:p>
      <w:pPr>
        <w:jc w:val="right"/>
        <w:ind w:left="1300" w:hanging="644"/>
        <w:spacing w:after="0" w:line="255" w:lineRule="auto"/>
        <w:tabs>
          <w:tab w:leader="none" w:pos="1023" w:val="left"/>
        </w:tabs>
        <w:numPr>
          <w:ilvl w:val="1"/>
          <w:numId w:val="25"/>
        </w:numPr>
        <w:rPr>
          <w:rFonts w:ascii="Arial" w:cs="Arial" w:eastAsia="Arial" w:hAnsi="Arial"/>
          <w:sz w:val="18"/>
          <w:szCs w:val="18"/>
          <w:color w:val="auto"/>
        </w:rPr>
      </w:pPr>
      <w:r>
        <w:rPr>
          <w:rFonts w:ascii="Arial" w:cs="Arial" w:eastAsia="Arial" w:hAnsi="Arial"/>
          <w:sz w:val="18"/>
          <w:szCs w:val="18"/>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w:t>
      </w:r>
    </w:p>
    <w:p>
      <w:pPr>
        <w:jc w:val="both"/>
        <w:ind w:left="1300" w:firstLine="4"/>
        <w:spacing w:after="0" w:line="245" w:lineRule="auto"/>
        <w:tabs>
          <w:tab w:leader="none" w:pos="1580" w:val="left"/>
        </w:tabs>
        <w:numPr>
          <w:ilvl w:val="2"/>
          <w:numId w:val="25"/>
        </w:numPr>
        <w:rPr>
          <w:rFonts w:ascii="Arial" w:cs="Arial" w:eastAsia="Arial" w:hAnsi="Arial"/>
          <w:sz w:val="19"/>
          <w:szCs w:val="19"/>
          <w:color w:val="auto"/>
        </w:rPr>
      </w:pPr>
      <w:r>
        <w:rPr>
          <w:rFonts w:ascii="Arial" w:cs="Arial" w:eastAsia="Arial" w:hAnsi="Arial"/>
          <w:sz w:val="19"/>
          <w:szCs w:val="19"/>
          <w:color w:val="auto"/>
        </w:rPr>
        <w:t>Contractor’s and/or Mr. Hanft’s commission of an act of fraud or bad faith toward Scotts, or (f) Contractor’s and/or Mr. Hanft’s misappropriation of any funds, property or rights of Scotts. Contractor shall be permitted to terminate this Agreement and its consulting relationship with Scotts upon Contractor’s 30 day advance written notice to Scotts.</w:t>
      </w:r>
    </w:p>
    <w:p>
      <w:pPr>
        <w:spacing w:after="0" w:line="205" w:lineRule="exact"/>
        <w:rPr>
          <w:rFonts w:ascii="Arial" w:cs="Arial" w:eastAsia="Arial" w:hAnsi="Arial"/>
          <w:sz w:val="19"/>
          <w:szCs w:val="19"/>
          <w:color w:val="auto"/>
        </w:rPr>
      </w:pPr>
    </w:p>
    <w:p>
      <w:pPr>
        <w:ind w:left="1300" w:hanging="644"/>
        <w:spacing w:after="0" w:line="275" w:lineRule="auto"/>
        <w:tabs>
          <w:tab w:leader="none" w:pos="10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that Scotts terminates this Agreement for any reason other than those listed in Section V.1(b)-(f), Scotts will pay Contractor the total value of this Agreement, including RSUs, less any amounts already paid pursuant to this Agreement, as well as any expenses Contractor has incurred pursuant to the terms of this Agreement prior to the date of such termination.</w:t>
      </w:r>
    </w:p>
    <w:p>
      <w:pPr>
        <w:spacing w:after="0" w:line="179" w:lineRule="exact"/>
        <w:rPr>
          <w:rFonts w:ascii="Arial" w:cs="Arial" w:eastAsia="Arial" w:hAnsi="Arial"/>
          <w:sz w:val="18"/>
          <w:szCs w:val="18"/>
          <w:color w:val="auto"/>
        </w:rPr>
      </w:pPr>
    </w:p>
    <w:p>
      <w:pPr>
        <w:ind w:left="1300" w:hanging="644"/>
        <w:spacing w:after="0" w:line="232" w:lineRule="auto"/>
        <w:tabs>
          <w:tab w:leader="none" w:pos="1111"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 the event that Contractor terminates this Agreement and its consulting relationship with Scotts or Scotts terminates this Agreement and its consulting relationship with Contractor for any reason listed in Section V.1(b)-(f) of this Agreement, such termination shall not affect Scotts’ obligation to pay Contractor for the cash fees Contractor has earned prior to the date of such termination or reimburse Contractor for the expenses Contractor has incurred pursuant to the terms of this Agreement prior to the date of such termination.</w:t>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8, 2022</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 LLC</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18"/>
          <w:szCs w:val="18"/>
          <w:b w:val="1"/>
          <w:bCs w:val="1"/>
          <w:color w:val="auto"/>
        </w:rPr>
        <w:t>Confidential Information and Insider Trading</w:t>
      </w:r>
    </w:p>
    <w:p>
      <w:pPr>
        <w:spacing w:after="0" w:line="235" w:lineRule="exact"/>
        <w:rPr>
          <w:sz w:val="20"/>
          <w:szCs w:val="20"/>
          <w:color w:val="auto"/>
        </w:rPr>
      </w:pPr>
    </w:p>
    <w:p>
      <w:pPr>
        <w:ind w:left="1300" w:hanging="644"/>
        <w:spacing w:after="0" w:line="258" w:lineRule="auto"/>
        <w:tabs>
          <w:tab w:leader="none" w:pos="10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providing the consulting services contemplated herein, Contractor will receive 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97" w:lineRule="exact"/>
        <w:rPr>
          <w:rFonts w:ascii="Arial" w:cs="Arial" w:eastAsia="Arial" w:hAnsi="Arial"/>
          <w:sz w:val="18"/>
          <w:szCs w:val="18"/>
          <w:color w:val="auto"/>
        </w:rPr>
      </w:pPr>
    </w:p>
    <w:p>
      <w:pPr>
        <w:ind w:left="1300" w:hanging="644"/>
        <w:spacing w:after="0" w:line="237" w:lineRule="auto"/>
        <w:tabs>
          <w:tab w:leader="none" w:pos="1064"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209" w:lineRule="exact"/>
        <w:rPr>
          <w:rFonts w:ascii="Arial" w:cs="Arial" w:eastAsia="Arial" w:hAnsi="Arial"/>
          <w:sz w:val="20"/>
          <w:szCs w:val="20"/>
          <w:color w:val="auto"/>
        </w:rPr>
      </w:pPr>
    </w:p>
    <w:p>
      <w:pPr>
        <w:ind w:left="1300" w:hanging="644"/>
        <w:spacing w:after="0" w:line="257" w:lineRule="auto"/>
        <w:tabs>
          <w:tab w:leader="none" w:pos="10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 effort to avoid the appearance of impropriety, you agree to follow all laws and regulations concerning insider trading, as well as the Scotts Insider Trading policy (attached), during the term of this Agreement. Further, you agree that you will not engage in any transaction of Scotts securities during the term of this Agreement except while the Scotts trading window is open and only after having obtained pre-clearance of the transaction per the procedure described in the Scotts Insider Trading policy. Following the termination of this Agreement, you agree that you remain subject to the Scotts Insider Trading policy if you are still serving as a member of the Board; if not, you agree that you remain subject to the Scotts Insider Trading policy until the next scheduled open trading window period and will not engage in any transaction of Scotts securities until then, and then only if you are not in possession of material, non-public information.</w:t>
      </w:r>
    </w:p>
    <w:p>
      <w:pPr>
        <w:spacing w:after="0" w:line="197" w:lineRule="exact"/>
        <w:rPr>
          <w:rFonts w:ascii="Arial" w:cs="Arial" w:eastAsia="Arial" w:hAnsi="Arial"/>
          <w:sz w:val="18"/>
          <w:szCs w:val="18"/>
          <w:color w:val="auto"/>
        </w:rPr>
      </w:pPr>
    </w:p>
    <w:p>
      <w:pPr>
        <w:ind w:left="1300" w:hanging="644"/>
        <w:spacing w:after="0" w:line="246" w:lineRule="auto"/>
        <w:tabs>
          <w:tab w:leader="none" w:pos="1119"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203" w:lineRule="exact"/>
        <w:rPr>
          <w:rFonts w:ascii="Arial" w:cs="Arial" w:eastAsia="Arial" w:hAnsi="Arial"/>
          <w:sz w:val="20"/>
          <w:szCs w:val="20"/>
          <w:color w:val="auto"/>
        </w:rPr>
      </w:pPr>
    </w:p>
    <w:p>
      <w:pPr>
        <w:ind w:left="1300" w:hanging="644"/>
        <w:spacing w:after="0" w:line="246" w:lineRule="auto"/>
        <w:tabs>
          <w:tab w:leader="none" w:pos="85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VII.</w:t>
      </w:r>
      <w:r>
        <w:rPr>
          <w:sz w:val="20"/>
          <w:szCs w:val="20"/>
          <w:color w:val="auto"/>
        </w:rPr>
        <w:tab/>
      </w:r>
      <w:r>
        <w:rPr>
          <w:rFonts w:ascii="Arial" w:cs="Arial" w:eastAsia="Arial" w:hAnsi="Arial"/>
          <w:sz w:val="16"/>
          <w:szCs w:val="16"/>
          <w:b w:val="1"/>
          <w:bCs w:val="1"/>
          <w:color w:val="auto"/>
        </w:rPr>
        <w:t>Conflicts of Interest</w:t>
      </w:r>
    </w:p>
    <w:p>
      <w:pPr>
        <w:spacing w:after="0" w:line="235" w:lineRule="exact"/>
        <w:rPr>
          <w:sz w:val="20"/>
          <w:szCs w:val="20"/>
          <w:color w:val="auto"/>
        </w:rPr>
      </w:pPr>
    </w:p>
    <w:p>
      <w:pPr>
        <w:jc w:val="both"/>
        <w:ind w:left="660"/>
        <w:spacing w:after="0" w:line="246" w:lineRule="auto"/>
        <w:rPr>
          <w:sz w:val="20"/>
          <w:szCs w:val="20"/>
          <w:color w:val="auto"/>
        </w:rPr>
      </w:pPr>
      <w:r>
        <w:rPr>
          <w:rFonts w:ascii="Arial" w:cs="Arial" w:eastAsia="Arial" w:hAnsi="Arial"/>
          <w:sz w:val="19"/>
          <w:szCs w:val="19"/>
          <w:color w:val="auto"/>
        </w:rPr>
        <w:t>While Contractor is not restricted from having other clients during the term of this Agreement, it is important to the Company that Contractor avoids actual or potential conflicts of interest. As such, Contractor agrees that Contractor has no business, professional, personal or other interest, including but not limited to representation of other clients, that conflicts in any manner or degree with the performance of Contractor’s obligations under this Agreement. If any such actual or potential conflict of interest arises under this Agreement, Contractor shall immediately inform the Company in writing of such conflict.</w:t>
      </w:r>
    </w:p>
    <w:p>
      <w:pPr>
        <w:spacing w:after="0" w:line="203" w:lineRule="exact"/>
        <w:rPr>
          <w:sz w:val="20"/>
          <w:szCs w:val="20"/>
          <w:color w:val="auto"/>
        </w:rPr>
      </w:pPr>
    </w:p>
    <w:p>
      <w:pPr>
        <w:jc w:val="both"/>
        <w:ind w:left="660" w:right="20"/>
        <w:spacing w:after="0" w:line="300" w:lineRule="auto"/>
        <w:rPr>
          <w:sz w:val="20"/>
          <w:szCs w:val="20"/>
          <w:color w:val="auto"/>
        </w:rPr>
      </w:pPr>
      <w:r>
        <w:rPr>
          <w:rFonts w:ascii="Arial" w:cs="Arial" w:eastAsia="Arial" w:hAnsi="Arial"/>
          <w:sz w:val="18"/>
          <w:szCs w:val="18"/>
          <w:color w:val="auto"/>
        </w:rPr>
        <w:t>If, in the reasonable judgment of the Company, such conflict poses a material conflict to and with the performance of Contractor’s obligations under this Agreement, then the Company may terminate this Agreement in accordance with Section V above.</w:t>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color w:val="auto"/>
        </w:rPr>
        <w:t>Mr. Adam Hanft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8, 2022</w:t>
      </w:r>
    </w:p>
    <w:p>
      <w:pPr>
        <w:spacing w:after="0" w:line="46" w:lineRule="exact"/>
        <w:rPr>
          <w:sz w:val="20"/>
          <w:szCs w:val="20"/>
          <w:color w:val="auto"/>
        </w:rPr>
      </w:pPr>
    </w:p>
    <w:p>
      <w:pPr>
        <w:sectPr>
          <w:pgSz w:w="11900" w:h="16838" w:orient="portrait"/>
          <w:cols w:equalWidth="0" w:num="3">
            <w:col w:w="1380" w:space="720"/>
            <w:col w:w="540" w:space="720"/>
            <w:col w:w="7880"/>
          </w:cols>
          <w:pgMar w:left="320" w:top="125" w:right="339" w:bottom="1440" w:gutter="0" w:footer="0" w:header="0"/>
        </w:sect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Hanft Ideas LLC</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18"/>
          <w:szCs w:val="18"/>
          <w:b w:val="1"/>
          <w:bCs w:val="1"/>
          <w:color w:val="auto"/>
        </w:rPr>
        <w:t>Cooperation with Litigation</w:t>
      </w:r>
    </w:p>
    <w:p>
      <w:pPr>
        <w:spacing w:after="0" w:line="235" w:lineRule="exact"/>
        <w:rPr>
          <w:sz w:val="20"/>
          <w:szCs w:val="20"/>
          <w:color w:val="auto"/>
        </w:rPr>
      </w:pPr>
    </w:p>
    <w:p>
      <w:pPr>
        <w:ind w:left="660" w:right="20"/>
        <w:spacing w:after="0" w:line="296" w:lineRule="auto"/>
        <w:rPr>
          <w:sz w:val="20"/>
          <w:szCs w:val="20"/>
          <w:color w:val="auto"/>
        </w:rPr>
      </w:pPr>
      <w:r>
        <w:rPr>
          <w:rFonts w:ascii="Arial" w:cs="Arial" w:eastAsia="Arial" w:hAnsi="Arial"/>
          <w:sz w:val="16"/>
          <w:szCs w:val="16"/>
          <w:color w:val="auto"/>
        </w:rPr>
        <w:t>Contractor agrees to cooperate fully with Scotts in its defense of any lawsuit filed over matters that occurred while Contractor was or is a consultant to Scotts. Contractor agrees to provide full and accurate information with respect to the same. Contractor further agrees not to assist any party in maintaining any lawsuit against Scotts or any of its employees, officers or agents, and that Contractor will not provide any information to anyone concerning Scotts or its employees, directors, officers or agents, unless compelled to do so by valid subpoena or other court order, and in such case only after first notifying Scotts sufficiently in advance of such subpoena or court order to reasonably allow Scotts an opportunity to object to same. In the event that Contractor’s cooperation is necessary under this paragraph, Contractor and Scotts shall agree on a reasonable rate for Contractor’s time in providing that cooperation.</w:t>
      </w:r>
    </w:p>
    <w:p>
      <w:pPr>
        <w:spacing w:after="0" w:line="161"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18"/>
          <w:szCs w:val="18"/>
          <w:b w:val="1"/>
          <w:bCs w:val="1"/>
          <w:color w:val="auto"/>
        </w:rPr>
        <w:t>Other</w:t>
      </w:r>
    </w:p>
    <w:p>
      <w:pPr>
        <w:spacing w:after="0" w:line="235" w:lineRule="exact"/>
        <w:rPr>
          <w:sz w:val="20"/>
          <w:szCs w:val="20"/>
          <w:color w:val="auto"/>
        </w:rPr>
      </w:pPr>
    </w:p>
    <w:p>
      <w:pPr>
        <w:ind w:left="1300" w:hanging="644"/>
        <w:spacing w:after="0" w:line="300" w:lineRule="auto"/>
        <w:tabs>
          <w:tab w:leader="none" w:pos="10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57" w:lineRule="exact"/>
        <w:rPr>
          <w:rFonts w:ascii="Arial" w:cs="Arial" w:eastAsia="Arial" w:hAnsi="Arial"/>
          <w:sz w:val="18"/>
          <w:szCs w:val="18"/>
          <w:color w:val="auto"/>
        </w:rPr>
      </w:pPr>
    </w:p>
    <w:p>
      <w:pPr>
        <w:ind w:left="1000" w:hanging="344"/>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229" w:lineRule="exact"/>
        <w:rPr>
          <w:rFonts w:ascii="Arial" w:cs="Arial" w:eastAsia="Arial" w:hAnsi="Arial"/>
          <w:sz w:val="20"/>
          <w:szCs w:val="20"/>
          <w:color w:val="auto"/>
        </w:rPr>
      </w:pPr>
    </w:p>
    <w:p>
      <w:pPr>
        <w:ind w:left="1300" w:hanging="644"/>
        <w:spacing w:after="0" w:line="325" w:lineRule="auto"/>
        <w:tabs>
          <w:tab w:leader="none" w:pos="10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spacing w:after="0" w:line="200" w:lineRule="exact"/>
        <w:rPr>
          <w:sz w:val="20"/>
          <w:szCs w:val="20"/>
          <w:color w:val="auto"/>
        </w:rPr>
      </w:pPr>
    </w:p>
    <w:p>
      <w:pPr>
        <w:spacing w:after="0" w:line="241"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27305</wp:posOffset>
            </wp:positionV>
            <wp:extent cx="34290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Denise Stump</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EVP, Global Human Resources &amp; Chief Ethics Officer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4201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Adam Hanft, Chief Executive Officer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Hanft Ideas LLC</w:t>
      </w:r>
    </w:p>
    <w:p>
      <w:pPr>
        <w:sectPr>
          <w:pgSz w:w="11900" w:h="16838" w:orient="portrait"/>
          <w:cols w:equalWidth="0" w:num="1">
            <w:col w:w="11240"/>
          </w:cols>
          <w:pgMar w:left="320" w:top="125" w:right="3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Directly owned subsidiaries, as of April 2, 2022, are located at the left margin, each subsidiary tier thereunder is indented. Subsidiaries are listed under the names of their respective parent entities. Unless otherwise noted, the subsidiaries are wholly-owned.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32" w:lineRule="auto"/>
        <w:tabs>
          <w:tab w:leader="none" w:pos="1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244"/>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04"/>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275"/>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39"/>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32" w:lineRule="auto"/>
        <w:tabs>
          <w:tab w:leader="none" w:pos="1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205" w:lineRule="auto"/>
        <w:tabs>
          <w:tab w:leader="none" w:pos="10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Scotts Company LLC owns 0.5% and Scotts-Sierra Investments LLC owns the remaining 99.5%.</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333333"/>
        </w:rPr>
        <w:t>The following subsidiaries of The Scotts Miracle-Gro Company (the "Company") were, as of April 2, 2022, guarantors of the Company's 5.250% Senior Notes due 2026, 4.500% Senior Notes due 2029, 4.000% Senior Notes due 2031 and 4.375% Senior Notes due 2032: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1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2, 2022;</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May 11, 2022</w:t>
            </w:r>
          </w:p>
        </w:tc>
        <w:tc>
          <w:tcPr>
            <w:tcW w:w="5740" w:type="dxa"/>
            <w:vAlign w:val="bottom"/>
            <w:gridSpan w:val="2"/>
          </w:tcPr>
          <w:p>
            <w:pPr>
              <w:ind w:left="1680"/>
              <w:spacing w:after="0"/>
              <w:rPr>
                <w:sz w:val="20"/>
                <w:szCs w:val="20"/>
                <w:color w:val="auto"/>
              </w:rPr>
            </w:pPr>
            <w:r>
              <w:rPr>
                <w:rFonts w:ascii="Arial" w:cs="Arial" w:eastAsia="Arial" w:hAnsi="Arial"/>
                <w:sz w:val="18"/>
                <w:szCs w:val="18"/>
                <w:color w:val="auto"/>
              </w:rPr>
              <w:t>By:    /s/ JAMES HAGEDORN</w:t>
            </w:r>
          </w:p>
        </w:tc>
      </w:tr>
      <w:tr>
        <w:trPr>
          <w:trHeight w:val="222"/>
        </w:trPr>
        <w:tc>
          <w:tcPr>
            <w:tcW w:w="3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176"/>
        </w:trPr>
        <w:tc>
          <w:tcPr>
            <w:tcW w:w="3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60" w:type="dxa"/>
            <w:vAlign w:val="bottom"/>
          </w:tcPr>
          <w:p>
            <w:pPr>
              <w:ind w:left="160"/>
              <w:spacing w:after="0" w:line="176" w:lineRule="exact"/>
              <w:rPr>
                <w:sz w:val="20"/>
                <w:szCs w:val="20"/>
                <w:color w:val="auto"/>
              </w:rPr>
            </w:pPr>
            <w:r>
              <w:rPr>
                <w:rFonts w:ascii="Arial" w:cs="Arial" w:eastAsia="Arial" w:hAnsi="Arial"/>
                <w:sz w:val="18"/>
                <w:szCs w:val="18"/>
                <w:color w:val="auto"/>
                <w:w w:val="95"/>
              </w:rPr>
              <w:t>Title: Chief Executive Officer and Chairman of</w:t>
            </w:r>
          </w:p>
        </w:tc>
      </w:tr>
      <w:tr>
        <w:trPr>
          <w:trHeight w:val="230"/>
        </w:trPr>
        <w:tc>
          <w:tcPr>
            <w:tcW w:w="3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April 2, 2022;</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11, 2022</w:t>
            </w:r>
          </w:p>
        </w:tc>
        <w:tc>
          <w:tcPr>
            <w:tcW w:w="2180" w:type="dxa"/>
            <w:vAlign w:val="bottom"/>
          </w:tcPr>
          <w:p>
            <w:pPr>
              <w:ind w:left="17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CORY J. MILLER</w:t>
            </w:r>
          </w:p>
        </w:tc>
      </w:tr>
      <w:tr>
        <w:trPr>
          <w:trHeight w:val="222"/>
        </w:trPr>
        <w:tc>
          <w:tcPr>
            <w:tcW w:w="32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3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April 2, 2022 as filed with the Securities and Exchange Commission on the date hereof (the “Report”), the undersigned James Hagedorn, Chief Executive Officer and Chairman of the Board of the Company, and Cory J. Miller,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440" w:hanging="3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760" w:right="280" w:hanging="652"/>
        <w:spacing w:after="0" w:line="273" w:lineRule="auto"/>
        <w:tabs>
          <w:tab w:leader="none" w:pos="4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/s/ CORY J. MILLER</w:t>
            </w:r>
          </w:p>
        </w:tc>
      </w:tr>
      <w:tr>
        <w:trPr>
          <w:trHeight w:val="20"/>
        </w:trPr>
        <w:tc>
          <w:tcPr>
            <w:tcW w:w="100" w:type="dxa"/>
            <w:vAlign w:val="bottom"/>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nted Name: 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Printed Name: Cory J. Miller</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le: Chief Executive Officer and Chairman of the Board</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1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y 11, 2022</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May 11, 2022</w:t>
            </w:r>
          </w:p>
        </w:tc>
      </w:tr>
    </w:tbl>
    <w:p>
      <w:pPr>
        <w:spacing w:after="0" w:line="296" w:lineRule="exact"/>
        <w:rPr>
          <w:sz w:val="20"/>
          <w:szCs w:val="20"/>
          <w:color w:val="auto"/>
        </w:rPr>
      </w:pPr>
    </w:p>
    <w:p>
      <w:pPr>
        <w:ind w:left="780" w:right="40" w:hanging="654"/>
        <w:spacing w:after="0" w:line="273"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340"/>
      </w:cols>
      <w:pgMar w:left="2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upperLetter"/>
      <w:start w:val="9"/>
    </w:lvl>
  </w:abstractNum>
  <w:abstractNum w:abstractNumId="19">
    <w:nsid w:val="71F32454"/>
    <w:multiLevelType w:val="hybridMultilevel"/>
    <w:lvl w:ilvl="0">
      <w:lvlJc w:val="left"/>
      <w:lvlText w:val="%1."/>
      <w:numFmt w:val="decimal"/>
      <w:start w:val="1"/>
    </w:lvl>
    <w:lvl w:ilvl="1">
      <w:lvlJc w:val="left"/>
      <w:lvlText w:val="•"/>
      <w:numFmt w:val="bullet"/>
      <w:start w:val="1"/>
    </w:lvl>
  </w:abstractNum>
  <w:abstractNum w:abstractNumId="20">
    <w:nsid w:val="2CA88611"/>
    <w:multiLevelType w:val="hybridMultilevel"/>
    <w:lvl w:ilvl="0">
      <w:lvlJc w:val="left"/>
      <w:lvlText w:val="%1."/>
      <w:numFmt w:val="upperLetter"/>
      <w:start w:val="35"/>
    </w:lvl>
  </w:abstractNum>
  <w:abstractNum w:abstractNumId="21">
    <w:nsid w:val="836C40E"/>
    <w:multiLevelType w:val="hybridMultilevel"/>
    <w:lvl w:ilvl="0">
      <w:lvlJc w:val="left"/>
      <w:lvlText w:val="%1."/>
      <w:numFmt w:val="decimal"/>
      <w:start w:val="1"/>
    </w:lvl>
    <w:lvl w:ilvl="1">
      <w:lvlJc w:val="left"/>
      <w:lvlText w:val="%2."/>
      <w:numFmt w:val="lowerLetter"/>
      <w:start w:val="1"/>
    </w:lvl>
  </w:abstractNum>
  <w:abstractNum w:abstractNumId="22">
    <w:nsid w:val="2901D8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3A95F87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4">
    <w:nsid w:val="8138641"/>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bullet"/>
      <w:start w:val="1"/>
    </w:lvl>
  </w:abstractNum>
  <w:abstractNum w:abstractNumId="28">
    <w:nsid w:val="6CEAF087"/>
    <w:multiLevelType w:val="hybridMultilevel"/>
    <w:lvl w:ilvl="0">
      <w:lvlJc w:val="left"/>
      <w:lvlText w:val="2"/>
      <w:numFmt w:val="bullet"/>
      <w:start w:val="1"/>
    </w:lvl>
  </w:abstractNum>
  <w:abstractNum w:abstractNumId="29">
    <w:nsid w:val="22221A70"/>
    <w:multiLevelType w:val="hybridMultilevel"/>
    <w:lvl w:ilvl="0">
      <w:lvlJc w:val="left"/>
      <w:lvlText w:val="3"/>
      <w:numFmt w:val="bullet"/>
      <w:start w:val="1"/>
    </w:lvl>
  </w:abstractNum>
  <w:abstractNum w:abstractNumId="30">
    <w:nsid w:val="4516DDE9"/>
    <w:multiLevelType w:val="hybridMultilevel"/>
    <w:lvl w:ilvl="0">
      <w:lvlJc w:val="left"/>
      <w:lvlText w:val="4"/>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jpeg"/><Relationship Id="rId63" Type="http://schemas.openxmlformats.org/officeDocument/2006/relationships/image" Target="media/image51.png"/><Relationship Id="rId64" Type="http://schemas.openxmlformats.org/officeDocument/2006/relationships/image" Target="media/image52.png"/><Relationship Id="rId56" Type="http://schemas.openxmlformats.org/officeDocument/2006/relationships/hyperlink" Target="http://www.sec.gov/Archives/edgar/data/825542/000144398422000019/smg2022-01x278xkxex101ltip.htm" TargetMode="External"/><Relationship Id="rId57" Type="http://schemas.openxmlformats.org/officeDocument/2006/relationships/hyperlink" Target="http://www.sec.gov/Archives/edgar/data/825542/000154638022000007/exhibit101smg20220101.htm" TargetMode="External"/><Relationship Id="rId58" Type="http://schemas.openxmlformats.org/officeDocument/2006/relationships/hyperlink" Target="http://www.sec.gov/Archives/edgar/data/825542/000154638022000007/exhibit102smg20220101.htm" TargetMode="External"/><Relationship Id="rId59" Type="http://schemas.openxmlformats.org/officeDocument/2006/relationships/hyperlink" Target="http://www.sec.gov/Archives/edgar/data/825542/000144398422000125/exhibit101smg2022-04x148xk.htm" TargetMode="External"/><Relationship Id="rId60" Type="http://schemas.openxmlformats.org/officeDocument/2006/relationships/hyperlink" Target="http://www.sec.gov/Archives/edgar/data/825542/000144398422000125/exhibit102smg2022-04x14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2022-05-11T15:31:10Z</dcterms:created>
  <dcterms:modified xsi:type="dcterms:W3CDTF">2022-05-11T15:31:10Z</dcterms:modified>
</cp:coreProperties>
</file>