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For the quarterly period ended July 2, 2016</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4" w:right="239" w:bottom="1440" w:gutter="0" w:footer="0" w:header="0"/>
        </w:sectPr>
      </w:pPr>
    </w:p>
    <w:p>
      <w:pPr>
        <w:spacing w:after="0" w:line="205"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2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2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680"/>
            <w:col w:w="5180" w:space="720"/>
            <w:col w:w="2120" w:space="720"/>
            <w:col w:w="340"/>
          </w:cols>
          <w:pgMar w:left="240" w:top="23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69" w:lineRule="exact"/>
        <w:rPr>
          <w:sz w:val="24"/>
          <w:szCs w:val="24"/>
          <w:color w:val="auto"/>
        </w:rPr>
      </w:pPr>
    </w:p>
    <w:p>
      <w:pPr>
        <w:sectPr>
          <w:pgSz w:w="11900" w:h="16838" w:orient="portrait"/>
          <w:cols w:equalWidth="0" w:num="4">
            <w:col w:w="1620" w:space="720"/>
            <w:col w:w="5180" w:space="720"/>
            <w:col w:w="2120" w:space="720"/>
            <w:col w:w="34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4">
            <w:col w:w="8180" w:space="180"/>
            <w:col w:w="440" w:space="220"/>
            <w:col w:w="220" w:space="100"/>
            <w:col w:w="2080"/>
          </w:cols>
          <w:pgMar w:left="240" w:top="2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91"/>
              </w:rPr>
              <w:t>Outstanding at August 5, 2016</w:t>
            </w:r>
          </w:p>
        </w:tc>
      </w:tr>
      <w:tr>
        <w:trPr>
          <w:trHeight w:val="27"/>
        </w:trPr>
        <w:tc>
          <w:tcPr>
            <w:tcW w:w="480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89"/>
              </w:rPr>
              <w:t>60,606,902 Common Shares</w:t>
            </w:r>
          </w:p>
        </w:tc>
      </w:tr>
      <w:tr>
        <w:trPr>
          <w:trHeight w:val="486"/>
        </w:trPr>
        <w:tc>
          <w:tcPr>
            <w:tcW w:w="4800" w:type="dxa"/>
            <w:vAlign w:val="bottom"/>
          </w:tcPr>
          <w:p>
            <w:pPr>
              <w:spacing w:after="0"/>
              <w:rPr>
                <w:sz w:val="24"/>
                <w:szCs w:val="24"/>
                <w:color w:val="auto"/>
              </w:rPr>
            </w:pPr>
          </w:p>
        </w:tc>
        <w:tc>
          <w:tcPr>
            <w:tcW w:w="2860" w:type="dxa"/>
            <w:vAlign w:val="bottom"/>
          </w:tcPr>
          <w:p>
            <w:pPr>
              <w:jc w:val="right"/>
              <w:ind w:right="1930"/>
              <w:spacing w:after="0"/>
              <w:rPr>
                <w:sz w:val="20"/>
                <w:szCs w:val="20"/>
                <w:color w:val="auto"/>
              </w:rPr>
            </w:pPr>
            <w:r>
              <w:rPr>
                <w:rFonts w:ascii="Arial" w:cs="Arial" w:eastAsia="Arial" w:hAnsi="Arial"/>
                <w:sz w:val="18"/>
                <w:szCs w:val="18"/>
                <w:color w:val="auto"/>
              </w:rPr>
              <w:t>1</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4"/>
          </w:tcPr>
          <w:p>
            <w:pPr>
              <w:ind w:left="20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240" w:type="dxa"/>
            <w:vAlign w:val="bottom"/>
            <w:gridSpan w:val="15"/>
            <w:vMerge w:val="restart"/>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240" w:type="dxa"/>
            <w:vAlign w:val="bottom"/>
            <w:gridSpan w:val="15"/>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8"/>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320" w:type="dxa"/>
            <w:vAlign w:val="bottom"/>
            <w:gridSpan w:val="13"/>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80" w:type="dxa"/>
            <w:vAlign w:val="bottom"/>
            <w:gridSpan w:val="1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Operations — Three and nine months ended July 2, 2016 and June 27, 2015</w:t>
              </w:r>
            </w:hyperlink>
          </w:p>
        </w:tc>
        <w:tc>
          <w:tcPr>
            <w:tcW w:w="1140" w:type="dxa"/>
            <w:vAlign w:val="bottom"/>
            <w:gridSpan w:val="4"/>
          </w:tcPr>
          <w:p>
            <w:pPr>
              <w:jc w:val="right"/>
              <w:ind w:righ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1"/>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Comprehensive Income (Loss) — Three and nine months ended July 2, 2016 and</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June 27, 2015</w:t>
              </w:r>
            </w:hyperlink>
          </w:p>
        </w:tc>
        <w:tc>
          <w:tcPr>
            <w:tcW w:w="260" w:type="dxa"/>
            <w:vAlign w:val="bottom"/>
          </w:tcPr>
          <w:p>
            <w:pPr>
              <w:spacing w:after="0"/>
              <w:rPr>
                <w:sz w:val="17"/>
                <w:szCs w:val="17"/>
                <w:color w:val="auto"/>
              </w:rPr>
            </w:pPr>
          </w:p>
        </w:tc>
        <w:tc>
          <w:tcPr>
            <w:tcW w:w="1140" w:type="dxa"/>
            <w:vAlign w:val="bottom"/>
            <w:gridSpan w:val="4"/>
          </w:tcPr>
          <w:p>
            <w:pPr>
              <w:jc w:val="right"/>
              <w:ind w:right="20"/>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 Nine months ended July 2, 2016 and June 27, 2015</w:t>
              </w:r>
            </w:hyperlink>
          </w:p>
        </w:tc>
        <w:tc>
          <w:tcPr>
            <w:tcW w:w="130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Balance Sheets — July 2, 2016, June 27, 2015 and September 30, 2015</w:t>
              </w:r>
            </w:hyperlink>
          </w:p>
        </w:tc>
        <w:tc>
          <w:tcPr>
            <w:tcW w:w="1140" w:type="dxa"/>
            <w:vAlign w:val="bottom"/>
            <w:gridSpan w:val="4"/>
          </w:tcPr>
          <w:p>
            <w:pPr>
              <w:jc w:val="right"/>
              <w:ind w:right="20"/>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Condensed Consolidated Financial Statements</w:t>
              </w:r>
            </w:hyperlink>
          </w:p>
        </w:tc>
        <w:tc>
          <w:tcPr>
            <w:tcW w:w="3020" w:type="dxa"/>
            <w:vAlign w:val="bottom"/>
            <w:tcBorders>
              <w:top w:val="single" w:sz="8" w:color="0000EE"/>
            </w:tcBorders>
            <w:gridSpan w:val="2"/>
          </w:tcPr>
          <w:p>
            <w:pPr>
              <w:spacing w:after="0"/>
              <w:rPr>
                <w:sz w:val="21"/>
                <w:szCs w:val="21"/>
                <w:color w:val="auto"/>
              </w:rPr>
            </w:pPr>
          </w:p>
        </w:tc>
        <w:tc>
          <w:tcPr>
            <w:tcW w:w="200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rFonts w:ascii="Arial" w:cs="Arial" w:eastAsia="Arial" w:hAnsi="Arial"/>
                <w:sz w:val="18"/>
                <w:szCs w:val="18"/>
                <w:color w:val="auto"/>
                <w:w w:val="79"/>
              </w:rPr>
            </w:pPr>
            <w:hyperlink w:anchor="page8">
              <w:r>
                <w:rPr>
                  <w:rFonts w:ascii="Arial" w:cs="Arial" w:eastAsia="Arial" w:hAnsi="Arial"/>
                  <w:sz w:val="18"/>
                  <w:szCs w:val="18"/>
                  <w:color w:val="auto"/>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3">
              <w:r>
                <w:rPr>
                  <w:rFonts w:ascii="Arial" w:cs="Arial" w:eastAsia="Arial" w:hAnsi="Arial"/>
                  <w:sz w:val="18"/>
                  <w:szCs w:val="18"/>
                  <w:color w:val="auto"/>
                </w:rPr>
                <w:t>Item 2.</w:t>
              </w:r>
            </w:hyperlink>
          </w:p>
        </w:tc>
        <w:tc>
          <w:tcPr>
            <w:tcW w:w="6460" w:type="dxa"/>
            <w:vAlign w:val="bottom"/>
            <w:gridSpan w:val="8"/>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5">
              <w:r>
                <w:rPr>
                  <w:rFonts w:ascii="Arial" w:cs="Arial" w:eastAsia="Arial" w:hAnsi="Arial"/>
                  <w:sz w:val="18"/>
                  <w:szCs w:val="18"/>
                  <w:color w:val="auto"/>
                </w:rPr>
                <w:t>Item 3.</w:t>
              </w:r>
            </w:hyperlink>
          </w:p>
        </w:tc>
        <w:tc>
          <w:tcPr>
            <w:tcW w:w="6460" w:type="dxa"/>
            <w:vAlign w:val="bottom"/>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5">
              <w:r>
                <w:rPr>
                  <w:rFonts w:ascii="Arial" w:cs="Arial" w:eastAsia="Arial" w:hAnsi="Arial"/>
                  <w:sz w:val="18"/>
                  <w:szCs w:val="18"/>
                  <w:color w:val="auto"/>
                </w:rPr>
                <w:t>Item 4.</w:t>
              </w:r>
            </w:hyperlink>
          </w:p>
        </w:tc>
        <w:tc>
          <w:tcPr>
            <w:tcW w:w="430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55">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40" w:type="dxa"/>
            <w:vAlign w:val="bottom"/>
            <w:gridSpan w:val="15"/>
          </w:tcPr>
          <w:p>
            <w:pPr>
              <w:spacing w:after="0"/>
              <w:rPr>
                <w:rFonts w:ascii="Arial" w:cs="Arial" w:eastAsia="Arial" w:hAnsi="Arial"/>
                <w:sz w:val="18"/>
                <w:szCs w:val="18"/>
                <w:color w:val="auto"/>
              </w:rPr>
            </w:pPr>
            <w:hyperlink w:anchor="page56">
              <w:r>
                <w:rPr>
                  <w:rFonts w:ascii="Arial" w:cs="Arial" w:eastAsia="Arial" w:hAnsi="Arial"/>
                  <w:sz w:val="18"/>
                  <w:szCs w:val="18"/>
                  <w:color w:val="auto"/>
                </w:rPr>
                <w:t>PART II. OTHER INFORMATION:</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1.</w:t>
              </w:r>
            </w:hyperlink>
          </w:p>
        </w:tc>
        <w:tc>
          <w:tcPr>
            <w:tcW w:w="9320" w:type="dxa"/>
            <w:vAlign w:val="bottom"/>
            <w:gridSpan w:val="1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1140" w:type="dxa"/>
            <w:vAlign w:val="bottom"/>
            <w:gridSpan w:val="4"/>
          </w:tcPr>
          <w:p>
            <w:pPr>
              <w:jc w:val="right"/>
              <w:ind w:right="20"/>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6">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Risk Factors</w:t>
              </w:r>
            </w:hyperlink>
          </w:p>
        </w:tc>
        <w:tc>
          <w:tcPr>
            <w:tcW w:w="420" w:type="dxa"/>
            <w:vAlign w:val="bottom"/>
          </w:tcPr>
          <w:p>
            <w:pPr>
              <w:spacing w:after="0"/>
              <w:rPr>
                <w:sz w:val="21"/>
                <w:szCs w:val="21"/>
                <w:color w:val="auto"/>
              </w:rPr>
            </w:pPr>
          </w:p>
        </w:tc>
        <w:tc>
          <w:tcPr>
            <w:tcW w:w="800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7">
              <w:r>
                <w:rPr>
                  <w:rFonts w:ascii="Arial" w:cs="Arial" w:eastAsia="Arial" w:hAnsi="Arial"/>
                  <w:sz w:val="18"/>
                  <w:szCs w:val="18"/>
                  <w:color w:val="auto"/>
                </w:rPr>
                <w:t>Item 2.</w:t>
              </w:r>
            </w:hyperlink>
          </w:p>
        </w:tc>
        <w:tc>
          <w:tcPr>
            <w:tcW w:w="9320" w:type="dxa"/>
            <w:vAlign w:val="bottom"/>
            <w:gridSpan w:val="1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8"/>
                <w:szCs w:val="18"/>
                <w:color w:val="auto"/>
              </w:rPr>
            </w:pPr>
            <w:hyperlink w:anchor="page57">
              <w:r>
                <w:rPr>
                  <w:rFonts w:ascii="Arial" w:cs="Arial" w:eastAsia="Arial" w:hAnsi="Arial"/>
                  <w:sz w:val="18"/>
                  <w:szCs w:val="18"/>
                  <w:color w:val="auto"/>
                </w:rPr>
                <w:t>56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8">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Exhibits</w:t>
              </w:r>
            </w:hyperlink>
          </w:p>
        </w:tc>
        <w:tc>
          <w:tcPr>
            <w:tcW w:w="3700" w:type="dxa"/>
            <w:vAlign w:val="bottom"/>
            <w:gridSpan w:val="4"/>
          </w:tcPr>
          <w:p>
            <w:pPr>
              <w:spacing w:after="0"/>
              <w:rPr>
                <w:sz w:val="21"/>
                <w:szCs w:val="21"/>
                <w:color w:val="auto"/>
              </w:rPr>
            </w:pPr>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59">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Index to Exhibits</w:t>
              </w:r>
            </w:hyperlink>
          </w:p>
        </w:tc>
        <w:tc>
          <w:tcPr>
            <w:tcW w:w="9000" w:type="dxa"/>
            <w:vAlign w:val="bottom"/>
            <w:gridSpan w:val="1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140" w:type="dxa"/>
            <w:vAlign w:val="bottom"/>
            <w:gridSpan w:val="7"/>
          </w:tcPr>
          <w:p>
            <w:pPr>
              <w:jc w:val="right"/>
              <w:ind w:right="166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3"/>
                <w:szCs w:val="13"/>
                <w:color w:val="auto"/>
              </w:rPr>
            </w:pPr>
          </w:p>
        </w:tc>
        <w:tc>
          <w:tcPr>
            <w:tcW w:w="1120" w:type="dxa"/>
            <w:vAlign w:val="bottom"/>
          </w:tcPr>
          <w:p>
            <w:pPr>
              <w:jc w:val="right"/>
              <w:ind w:right="311"/>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1,532.6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1,531.8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Equity in loss of unconsolidated affiliates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Diluted income per common share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62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9"/>
              </w:rPr>
              <w:t>Weighted-average common shares outstanding during the period plus</w:t>
            </w: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potential common shares</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0.470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27,</w:t>
            </w:r>
          </w:p>
        </w:tc>
        <w:tc>
          <w:tcPr>
            <w:tcW w:w="240" w:type="dxa"/>
            <w:vAlign w:val="bottom"/>
          </w:tcPr>
          <w:p>
            <w:pPr>
              <w:spacing w:after="0"/>
              <w:rPr>
                <w:sz w:val="13"/>
                <w:szCs w:val="13"/>
                <w:color w:val="auto"/>
              </w:rPr>
            </w:pPr>
          </w:p>
        </w:tc>
        <w:tc>
          <w:tcPr>
            <w:tcW w:w="11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JULY 2,</w:t>
            </w:r>
          </w:p>
        </w:tc>
        <w:tc>
          <w:tcPr>
            <w:tcW w:w="220" w:type="dxa"/>
            <w:vAlign w:val="bottom"/>
          </w:tcPr>
          <w:p>
            <w:pPr>
              <w:spacing w:after="0"/>
              <w:rPr>
                <w:sz w:val="13"/>
                <w:szCs w:val="13"/>
                <w:color w:val="auto"/>
              </w:rPr>
            </w:pPr>
          </w:p>
        </w:tc>
        <w:tc>
          <w:tcPr>
            <w:tcW w:w="104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JUNE 27,</w:t>
            </w:r>
          </w:p>
        </w:tc>
      </w:tr>
      <w:tr>
        <w:trPr>
          <w:trHeight w:val="192"/>
        </w:trPr>
        <w:tc>
          <w:tcPr>
            <w:tcW w:w="6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6060" w:type="dxa"/>
            <w:vAlign w:val="bottom"/>
          </w:tcPr>
          <w:p>
            <w:pPr>
              <w:ind w:left="500"/>
              <w:spacing w:after="0"/>
              <w:rPr>
                <w:sz w:val="20"/>
                <w:szCs w:val="20"/>
                <w:color w:val="auto"/>
              </w:rPr>
            </w:pPr>
            <w:r>
              <w:rPr>
                <w:rFonts w:ascii="Arial" w:cs="Arial" w:eastAsia="Arial" w:hAnsi="Arial"/>
                <w:sz w:val="18"/>
                <w:szCs w:val="18"/>
                <w:color w:val="auto"/>
                <w:w w:val="91"/>
              </w:rPr>
              <w:t>Net unrealized (gain) loss on derivative instruments, net of tax of $0.7, $0.3,</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060" w:type="dxa"/>
            <w:vAlign w:val="bottom"/>
          </w:tcPr>
          <w:p>
            <w:pPr>
              <w:ind w:left="500"/>
              <w:spacing w:after="0"/>
              <w:rPr>
                <w:sz w:val="20"/>
                <w:szCs w:val="20"/>
                <w:color w:val="auto"/>
              </w:rPr>
            </w:pPr>
            <w:r>
              <w:rPr>
                <w:rFonts w:ascii="Arial" w:cs="Arial" w:eastAsia="Arial" w:hAnsi="Arial"/>
                <w:sz w:val="18"/>
                <w:szCs w:val="18"/>
                <w:color w:val="auto"/>
              </w:rPr>
              <w:t>$1.7 and $2.7, respectively</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1"/>
              </w:rPr>
              <w:t>Reclassification of net unrealized losses on derivatives to net income, net of</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of $1.1, $1.4, $3.3 and $3.5,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r>
      <w:tr>
        <w:trPr>
          <w:trHeight w:val="229"/>
        </w:trPr>
        <w:tc>
          <w:tcPr>
            <w:tcW w:w="6060" w:type="dxa"/>
            <w:vAlign w:val="bottom"/>
          </w:tcPr>
          <w:p>
            <w:pPr>
              <w:ind w:left="500"/>
              <w:spacing w:after="0"/>
              <w:rPr>
                <w:sz w:val="20"/>
                <w:szCs w:val="20"/>
                <w:color w:val="auto"/>
              </w:rPr>
            </w:pPr>
            <w:r>
              <w:rPr>
                <w:rFonts w:ascii="Arial" w:cs="Arial" w:eastAsia="Arial" w:hAnsi="Arial"/>
                <w:sz w:val="18"/>
                <w:szCs w:val="18"/>
                <w:color w:val="auto"/>
              </w:rPr>
              <w:t>Reclassification of net pension and post-retirement benefit loss to net</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060" w:type="dxa"/>
            <w:vAlign w:val="bottom"/>
          </w:tcPr>
          <w:p>
            <w:pPr>
              <w:ind w:left="500"/>
              <w:spacing w:after="0"/>
              <w:rPr>
                <w:sz w:val="20"/>
                <w:szCs w:val="20"/>
                <w:color w:val="auto"/>
              </w:rPr>
            </w:pPr>
            <w:r>
              <w:rPr>
                <w:rFonts w:ascii="Arial" w:cs="Arial" w:eastAsia="Arial" w:hAnsi="Arial"/>
                <w:sz w:val="18"/>
                <w:szCs w:val="18"/>
                <w:color w:val="auto"/>
              </w:rPr>
              <w:t>income, net of tax of $0.6, $0.5, $1.0 and $1.4, respectively</w:t>
            </w:r>
          </w:p>
        </w:tc>
        <w:tc>
          <w:tcPr>
            <w:tcW w:w="2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178.0</w:t>
            </w:r>
          </w:p>
        </w:tc>
      </w:tr>
      <w:tr>
        <w:trPr>
          <w:trHeight w:val="27"/>
        </w:trPr>
        <w:tc>
          <w:tcPr>
            <w:tcW w:w="6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jc w:val="right"/>
              <w:ind w:right="897"/>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44"/>
        </w:trPr>
        <w:tc>
          <w:tcPr>
            <w:tcW w:w="8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ind w:left="240"/>
              <w:spacing w:after="0" w:line="144" w:lineRule="exact"/>
              <w:rPr>
                <w:sz w:val="20"/>
                <w:szCs w:val="20"/>
                <w:color w:val="auto"/>
              </w:rPr>
            </w:pPr>
            <w:r>
              <w:rPr>
                <w:rFonts w:ascii="Arial" w:cs="Arial" w:eastAsia="Arial" w:hAnsi="Arial"/>
                <w:sz w:val="13"/>
                <w:szCs w:val="13"/>
                <w:b w:val="1"/>
                <w:bCs w:val="1"/>
                <w:color w:val="auto"/>
              </w:rPr>
              <w:t>JULY 2,</w:t>
            </w:r>
          </w:p>
        </w:tc>
        <w:tc>
          <w:tcPr>
            <w:tcW w:w="300" w:type="dxa"/>
            <w:vAlign w:val="bottom"/>
          </w:tcPr>
          <w:p>
            <w:pPr>
              <w:spacing w:after="0"/>
              <w:rPr>
                <w:sz w:val="12"/>
                <w:szCs w:val="12"/>
                <w:color w:val="auto"/>
              </w:rPr>
            </w:pPr>
          </w:p>
        </w:tc>
        <w:tc>
          <w:tcPr>
            <w:tcW w:w="1280" w:type="dxa"/>
            <w:vAlign w:val="bottom"/>
          </w:tcPr>
          <w:p>
            <w:pPr>
              <w:jc w:val="right"/>
              <w:ind w:right="477"/>
              <w:spacing w:after="0" w:line="144" w:lineRule="exact"/>
              <w:rPr>
                <w:sz w:val="20"/>
                <w:szCs w:val="20"/>
                <w:color w:val="auto"/>
              </w:rPr>
            </w:pPr>
            <w:r>
              <w:rPr>
                <w:rFonts w:ascii="Arial" w:cs="Arial" w:eastAsia="Arial" w:hAnsi="Arial"/>
                <w:sz w:val="13"/>
                <w:szCs w:val="13"/>
                <w:b w:val="1"/>
                <w:bCs w:val="1"/>
                <w:color w:val="auto"/>
              </w:rPr>
              <w:t>JUNE 27,</w:t>
            </w:r>
          </w:p>
        </w:tc>
        <w:tc>
          <w:tcPr>
            <w:tcW w:w="0" w:type="dxa"/>
            <w:vAlign w:val="bottom"/>
          </w:tcPr>
          <w:p>
            <w:pPr>
              <w:spacing w:after="0"/>
              <w:rPr>
                <w:sz w:val="1"/>
                <w:szCs w:val="1"/>
                <w:color w:val="auto"/>
              </w:rPr>
            </w:pPr>
          </w:p>
        </w:tc>
      </w:tr>
      <w:tr>
        <w:trPr>
          <w:trHeight w:val="174"/>
        </w:trPr>
        <w:tc>
          <w:tcPr>
            <w:tcW w:w="8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160"/>
        </w:trPr>
        <w:tc>
          <w:tcPr>
            <w:tcW w:w="81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ACTIVITIES</w:t>
            </w: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8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380"/>
              <w:spacing w:after="0"/>
              <w:rPr>
                <w:sz w:val="20"/>
                <w:szCs w:val="20"/>
                <w:color w:val="auto"/>
              </w:rPr>
            </w:pPr>
            <w:r>
              <w:rPr>
                <w:rFonts w:ascii="Arial" w:cs="Arial" w:eastAsia="Arial" w:hAnsi="Arial"/>
                <w:sz w:val="13"/>
                <w:szCs w:val="13"/>
                <w:color w:val="auto"/>
              </w:rPr>
              <w:t>Net income</w:t>
            </w:r>
          </w:p>
        </w:tc>
        <w:tc>
          <w:tcPr>
            <w:tcW w:w="320" w:type="dxa"/>
            <w:vAlign w:val="bottom"/>
            <w:vMerge w:val="restart"/>
          </w:tcPr>
          <w:p>
            <w:pPr>
              <w:jc w:val="right"/>
              <w:ind w:right="177"/>
              <w:spacing w:after="0"/>
              <w:rPr>
                <w:sz w:val="20"/>
                <w:szCs w:val="20"/>
                <w:color w:val="auto"/>
              </w:rPr>
            </w:pPr>
            <w:r>
              <w:rPr>
                <w:rFonts w:ascii="Arial" w:cs="Arial" w:eastAsia="Arial" w:hAnsi="Arial"/>
                <w:sz w:val="13"/>
                <w:szCs w:val="13"/>
                <w:color w:val="auto"/>
                <w:w w:val="82"/>
              </w:rPr>
              <w:t>$</w:t>
            </w:r>
          </w:p>
        </w:tc>
        <w:tc>
          <w:tcPr>
            <w:tcW w:w="1300" w:type="dxa"/>
            <w:vAlign w:val="bottom"/>
            <w:vMerge w:val="restart"/>
          </w:tcPr>
          <w:p>
            <w:pPr>
              <w:jc w:val="right"/>
              <w:ind w:right="57"/>
              <w:spacing w:after="0"/>
              <w:rPr>
                <w:sz w:val="20"/>
                <w:szCs w:val="20"/>
                <w:color w:val="auto"/>
              </w:rPr>
            </w:pPr>
            <w:r>
              <w:rPr>
                <w:rFonts w:ascii="Arial" w:cs="Arial" w:eastAsia="Arial" w:hAnsi="Arial"/>
                <w:sz w:val="13"/>
                <w:szCs w:val="13"/>
                <w:color w:val="auto"/>
              </w:rPr>
              <w:t>341.7</w:t>
            </w:r>
          </w:p>
        </w:tc>
        <w:tc>
          <w:tcPr>
            <w:tcW w:w="100" w:type="dxa"/>
            <w:vAlign w:val="bottom"/>
          </w:tcPr>
          <w:p>
            <w:pPr>
              <w:spacing w:after="0"/>
              <w:rPr>
                <w:sz w:val="15"/>
                <w:szCs w:val="15"/>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183.3</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Adjustments to reconcile net income to net cash used in operating activities:</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720"/>
              <w:spacing w:after="0"/>
              <w:rPr>
                <w:sz w:val="20"/>
                <w:szCs w:val="20"/>
                <w:color w:val="auto"/>
              </w:rPr>
            </w:pPr>
            <w:r>
              <w:rPr>
                <w:rFonts w:ascii="Arial" w:cs="Arial" w:eastAsia="Arial" w:hAnsi="Arial"/>
                <w:sz w:val="13"/>
                <w:szCs w:val="13"/>
                <w:color w:val="auto"/>
              </w:rPr>
              <w:t>Impairment, restructuring and other</w:t>
            </w:r>
          </w:p>
        </w:tc>
        <w:tc>
          <w:tcPr>
            <w:tcW w:w="320" w:type="dxa"/>
            <w:vAlign w:val="bottom"/>
          </w:tcPr>
          <w:p>
            <w:pPr>
              <w:spacing w:after="0"/>
              <w:rPr>
                <w:sz w:val="15"/>
                <w:szCs w:val="15"/>
                <w:color w:val="auto"/>
              </w:rPr>
            </w:pPr>
          </w:p>
        </w:tc>
        <w:tc>
          <w:tcPr>
            <w:tcW w:w="1300" w:type="dxa"/>
            <w:vAlign w:val="bottom"/>
            <w:vMerge w:val="restart"/>
          </w:tcPr>
          <w:p>
            <w:pPr>
              <w:jc w:val="right"/>
              <w:ind w:right="5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Costs related to refinancing</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720"/>
              <w:spacing w:after="0"/>
              <w:rPr>
                <w:sz w:val="20"/>
                <w:szCs w:val="20"/>
                <w:color w:val="auto"/>
              </w:rPr>
            </w:pPr>
            <w:r>
              <w:rPr>
                <w:rFonts w:ascii="Arial" w:cs="Arial" w:eastAsia="Arial" w:hAnsi="Arial"/>
                <w:sz w:val="13"/>
                <w:szCs w:val="13"/>
                <w:color w:val="auto"/>
              </w:rPr>
              <w:t>Share-based compensation expense</w:t>
            </w:r>
          </w:p>
        </w:tc>
        <w:tc>
          <w:tcPr>
            <w:tcW w:w="320" w:type="dxa"/>
            <w:vAlign w:val="bottom"/>
          </w:tcPr>
          <w:p>
            <w:pPr>
              <w:spacing w:after="0"/>
              <w:rPr>
                <w:sz w:val="15"/>
                <w:szCs w:val="15"/>
                <w:color w:val="auto"/>
              </w:rPr>
            </w:pPr>
          </w:p>
        </w:tc>
        <w:tc>
          <w:tcPr>
            <w:tcW w:w="1300" w:type="dxa"/>
            <w:vAlign w:val="bottom"/>
            <w:vMerge w:val="restart"/>
          </w:tcPr>
          <w:p>
            <w:pPr>
              <w:jc w:val="right"/>
              <w:ind w:right="57"/>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Depreciation</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720"/>
              <w:spacing w:after="0"/>
              <w:rPr>
                <w:sz w:val="20"/>
                <w:szCs w:val="20"/>
                <w:color w:val="auto"/>
              </w:rPr>
            </w:pPr>
            <w:r>
              <w:rPr>
                <w:rFonts w:ascii="Arial" w:cs="Arial" w:eastAsia="Arial" w:hAnsi="Arial"/>
                <w:sz w:val="13"/>
                <w:szCs w:val="13"/>
                <w:color w:val="auto"/>
              </w:rPr>
              <w:t>Amortization</w:t>
            </w:r>
          </w:p>
        </w:tc>
        <w:tc>
          <w:tcPr>
            <w:tcW w:w="320" w:type="dxa"/>
            <w:vAlign w:val="bottom"/>
          </w:tcPr>
          <w:p>
            <w:pPr>
              <w:spacing w:after="0"/>
              <w:rPr>
                <w:sz w:val="15"/>
                <w:szCs w:val="15"/>
                <w:color w:val="auto"/>
              </w:rPr>
            </w:pPr>
          </w:p>
        </w:tc>
        <w:tc>
          <w:tcPr>
            <w:tcW w:w="1300" w:type="dxa"/>
            <w:vAlign w:val="bottom"/>
            <w:vMerge w:val="restart"/>
          </w:tcPr>
          <w:p>
            <w:pPr>
              <w:jc w:val="right"/>
              <w:ind w:right="57"/>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(Gain) loss on sale of assets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720"/>
              <w:spacing w:after="0"/>
              <w:rPr>
                <w:sz w:val="20"/>
                <w:szCs w:val="20"/>
                <w:color w:val="auto"/>
              </w:rPr>
            </w:pPr>
            <w:r>
              <w:rPr>
                <w:rFonts w:ascii="Arial" w:cs="Arial" w:eastAsia="Arial" w:hAnsi="Arial"/>
                <w:sz w:val="13"/>
                <w:szCs w:val="13"/>
                <w:color w:val="auto"/>
              </w:rPr>
              <w:t>Gain on contribution of SLS Business</w:t>
            </w:r>
          </w:p>
        </w:tc>
        <w:tc>
          <w:tcPr>
            <w:tcW w:w="32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(142.6)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Equity in loss of unconsolidated affiliates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720"/>
              <w:spacing w:after="0"/>
              <w:rPr>
                <w:sz w:val="20"/>
                <w:szCs w:val="20"/>
                <w:color w:val="auto"/>
              </w:rPr>
            </w:pPr>
            <w:r>
              <w:rPr>
                <w:rFonts w:ascii="Arial" w:cs="Arial" w:eastAsia="Arial" w:hAnsi="Arial"/>
                <w:sz w:val="13"/>
                <w:szCs w:val="13"/>
                <w:color w:val="auto"/>
              </w:rPr>
              <w:t>Changes in assets and liabilities, net of acquired businesses:</w:t>
            </w: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8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Accounts receivable</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(447.8)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(475.6)</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1140"/>
              <w:spacing w:after="0"/>
              <w:rPr>
                <w:sz w:val="20"/>
                <w:szCs w:val="20"/>
                <w:color w:val="auto"/>
              </w:rPr>
            </w:pPr>
            <w:r>
              <w:rPr>
                <w:rFonts w:ascii="Arial" w:cs="Arial" w:eastAsia="Arial" w:hAnsi="Arial"/>
                <w:sz w:val="13"/>
                <w:szCs w:val="13"/>
                <w:color w:val="auto"/>
              </w:rPr>
              <w:t>Inventories</w:t>
            </w:r>
          </w:p>
        </w:tc>
        <w:tc>
          <w:tcPr>
            <w:tcW w:w="32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Prepaid and other assets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1140"/>
              <w:spacing w:after="0"/>
              <w:rPr>
                <w:sz w:val="20"/>
                <w:szCs w:val="20"/>
                <w:color w:val="auto"/>
              </w:rPr>
            </w:pPr>
            <w:r>
              <w:rPr>
                <w:rFonts w:ascii="Arial" w:cs="Arial" w:eastAsia="Arial" w:hAnsi="Arial"/>
                <w:sz w:val="13"/>
                <w:szCs w:val="13"/>
                <w:color w:val="auto"/>
              </w:rPr>
              <w:t>Accounts payable</w:t>
            </w:r>
          </w:p>
        </w:tc>
        <w:tc>
          <w:tcPr>
            <w:tcW w:w="320" w:type="dxa"/>
            <w:vAlign w:val="bottom"/>
          </w:tcPr>
          <w:p>
            <w:pPr>
              <w:spacing w:after="0"/>
              <w:rPr>
                <w:sz w:val="15"/>
                <w:szCs w:val="15"/>
                <w:color w:val="auto"/>
              </w:rPr>
            </w:pPr>
          </w:p>
        </w:tc>
        <w:tc>
          <w:tcPr>
            <w:tcW w:w="1300" w:type="dxa"/>
            <w:vAlign w:val="bottom"/>
            <w:vMerge w:val="restart"/>
          </w:tcPr>
          <w:p>
            <w:pPr>
              <w:jc w:val="right"/>
              <w:ind w:right="57"/>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125.8</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Other current liabilities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147.2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114.4</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1140"/>
              <w:spacing w:after="0"/>
              <w:rPr>
                <w:sz w:val="20"/>
                <w:szCs w:val="20"/>
                <w:color w:val="auto"/>
              </w:rPr>
            </w:pPr>
            <w:r>
              <w:rPr>
                <w:rFonts w:ascii="Arial" w:cs="Arial" w:eastAsia="Arial" w:hAnsi="Arial"/>
                <w:sz w:val="13"/>
                <w:szCs w:val="13"/>
                <w:color w:val="auto"/>
              </w:rPr>
              <w:t>Restructuring reserves</w:t>
            </w:r>
          </w:p>
        </w:tc>
        <w:tc>
          <w:tcPr>
            <w:tcW w:w="32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1140"/>
              <w:spacing w:after="0"/>
              <w:rPr>
                <w:sz w:val="20"/>
                <w:szCs w:val="20"/>
                <w:color w:val="auto"/>
              </w:rPr>
            </w:pPr>
            <w:r>
              <w:rPr>
                <w:rFonts w:ascii="Arial" w:cs="Arial" w:eastAsia="Arial" w:hAnsi="Arial"/>
                <w:sz w:val="13"/>
                <w:szCs w:val="13"/>
                <w:color w:val="auto"/>
              </w:rPr>
              <w:t>Other non-current items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44.8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1140"/>
              <w:spacing w:after="0"/>
              <w:rPr>
                <w:sz w:val="20"/>
                <w:szCs w:val="20"/>
                <w:color w:val="auto"/>
              </w:rPr>
            </w:pPr>
            <w:r>
              <w:rPr>
                <w:rFonts w:ascii="Arial" w:cs="Arial" w:eastAsia="Arial" w:hAnsi="Arial"/>
                <w:sz w:val="13"/>
                <w:szCs w:val="13"/>
                <w:color w:val="auto"/>
              </w:rPr>
              <w:t>Other, net</w:t>
            </w:r>
          </w:p>
        </w:tc>
        <w:tc>
          <w:tcPr>
            <w:tcW w:w="32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91"/>
        </w:trPr>
        <w:tc>
          <w:tcPr>
            <w:tcW w:w="8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8120" w:type="dxa"/>
            <w:vAlign w:val="bottom"/>
            <w:shd w:val="clear" w:color="auto" w:fill="CCEEFF"/>
          </w:tcPr>
          <w:p>
            <w:pPr>
              <w:ind w:left="1460"/>
              <w:spacing w:after="0"/>
              <w:rPr>
                <w:sz w:val="20"/>
                <w:szCs w:val="20"/>
                <w:color w:val="auto"/>
              </w:rPr>
            </w:pPr>
            <w:r>
              <w:rPr>
                <w:rFonts w:ascii="Arial" w:cs="Arial" w:eastAsia="Arial" w:hAnsi="Arial"/>
                <w:sz w:val="13"/>
                <w:szCs w:val="13"/>
                <w:color w:val="auto"/>
              </w:rPr>
              <w:t>Net cash (used in) provided by operating activities</w:t>
            </w:r>
          </w:p>
        </w:tc>
        <w:tc>
          <w:tcPr>
            <w:tcW w:w="3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91"/>
        </w:trPr>
        <w:tc>
          <w:tcPr>
            <w:tcW w:w="8120" w:type="dxa"/>
            <w:vAlign w:val="bottom"/>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128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81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INVESTING ACTIVITIES</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380"/>
              <w:spacing w:after="0"/>
              <w:rPr>
                <w:sz w:val="20"/>
                <w:szCs w:val="20"/>
                <w:color w:val="auto"/>
              </w:rPr>
            </w:pPr>
            <w:r>
              <w:rPr>
                <w:rFonts w:ascii="Arial" w:cs="Arial" w:eastAsia="Arial" w:hAnsi="Arial"/>
                <w:sz w:val="13"/>
                <w:szCs w:val="13"/>
                <w:color w:val="auto"/>
              </w:rPr>
              <w:t>Proceeds from sale of long-lived assets</w:t>
            </w:r>
          </w:p>
        </w:tc>
        <w:tc>
          <w:tcPr>
            <w:tcW w:w="320" w:type="dxa"/>
            <w:vAlign w:val="bottom"/>
          </w:tcPr>
          <w:p>
            <w:pPr>
              <w:spacing w:after="0"/>
              <w:rPr>
                <w:sz w:val="15"/>
                <w:szCs w:val="15"/>
                <w:color w:val="auto"/>
              </w:rPr>
            </w:pPr>
          </w:p>
        </w:tc>
        <w:tc>
          <w:tcPr>
            <w:tcW w:w="1300" w:type="dxa"/>
            <w:vAlign w:val="bottom"/>
            <w:vMerge w:val="restart"/>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Investments in property, plant and equipment</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380"/>
              <w:spacing w:after="0"/>
              <w:rPr>
                <w:sz w:val="20"/>
                <w:szCs w:val="20"/>
                <w:color w:val="auto"/>
              </w:rPr>
            </w:pPr>
            <w:r>
              <w:rPr>
                <w:rFonts w:ascii="Arial" w:cs="Arial" w:eastAsia="Arial" w:hAnsi="Arial"/>
                <w:sz w:val="13"/>
                <w:szCs w:val="13"/>
                <w:color w:val="auto"/>
              </w:rPr>
              <w:t>Investments in loans receivable</w:t>
            </w:r>
          </w:p>
        </w:tc>
        <w:tc>
          <w:tcPr>
            <w:tcW w:w="32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Net distributions from unconsolidated affiliates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194.1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380"/>
              <w:spacing w:after="0"/>
              <w:rPr>
                <w:sz w:val="20"/>
                <w:szCs w:val="20"/>
                <w:color w:val="auto"/>
              </w:rPr>
            </w:pPr>
            <w:r>
              <w:rPr>
                <w:rFonts w:ascii="Arial" w:cs="Arial" w:eastAsia="Arial" w:hAnsi="Arial"/>
                <w:sz w:val="13"/>
                <w:szCs w:val="13"/>
                <w:color w:val="auto"/>
              </w:rPr>
              <w:t>Cash contributed to Joint Venture</w:t>
            </w:r>
          </w:p>
        </w:tc>
        <w:tc>
          <w:tcPr>
            <w:tcW w:w="32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Investments in acquired businesses, net of cash acquired</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(161.4)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(179.1)</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3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2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8120" w:type="dxa"/>
            <w:vAlign w:val="bottom"/>
          </w:tcPr>
          <w:p>
            <w:pPr>
              <w:ind w:left="1440"/>
              <w:spacing w:after="0"/>
              <w:rPr>
                <w:sz w:val="20"/>
                <w:szCs w:val="20"/>
                <w:color w:val="auto"/>
              </w:rPr>
            </w:pPr>
            <w:r>
              <w:rPr>
                <w:rFonts w:ascii="Arial" w:cs="Arial" w:eastAsia="Arial" w:hAnsi="Arial"/>
                <w:sz w:val="13"/>
                <w:szCs w:val="13"/>
                <w:color w:val="auto"/>
              </w:rPr>
              <w:t>Net cash used in investing activities</w:t>
            </w:r>
          </w:p>
        </w:tc>
        <w:tc>
          <w:tcPr>
            <w:tcW w:w="320" w:type="dxa"/>
            <w:vAlign w:val="bottom"/>
          </w:tcPr>
          <w:p>
            <w:pPr>
              <w:spacing w:after="0"/>
              <w:rPr>
                <w:sz w:val="13"/>
                <w:szCs w:val="13"/>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(114.8)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(215.0)</w:t>
            </w:r>
          </w:p>
        </w:tc>
        <w:tc>
          <w:tcPr>
            <w:tcW w:w="0" w:type="dxa"/>
            <w:vAlign w:val="bottom"/>
          </w:tcPr>
          <w:p>
            <w:pPr>
              <w:spacing w:after="0"/>
              <w:rPr>
                <w:sz w:val="1"/>
                <w:szCs w:val="1"/>
                <w:color w:val="auto"/>
              </w:rPr>
            </w:pPr>
          </w:p>
        </w:tc>
      </w:tr>
      <w:tr>
        <w:trPr>
          <w:trHeight w:val="91"/>
        </w:trPr>
        <w:tc>
          <w:tcPr>
            <w:tcW w:w="8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40"/>
              <w:spacing w:after="0"/>
              <w:rPr>
                <w:sz w:val="20"/>
                <w:szCs w:val="20"/>
                <w:color w:val="auto"/>
              </w:rPr>
            </w:pPr>
            <w:r>
              <w:rPr>
                <w:rFonts w:ascii="Arial" w:cs="Arial" w:eastAsia="Arial" w:hAnsi="Arial"/>
                <w:sz w:val="13"/>
                <w:szCs w:val="13"/>
                <w:b w:val="1"/>
                <w:bCs w:val="1"/>
                <w:color w:val="auto"/>
              </w:rPr>
              <w:t>FINANCING ACTIVITIES</w:t>
            </w: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8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Borrowings under revolving and bank lines of credit and term loans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1,882.6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1,440.7</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380"/>
              <w:spacing w:after="0"/>
              <w:rPr>
                <w:sz w:val="20"/>
                <w:szCs w:val="20"/>
                <w:color w:val="auto"/>
              </w:rPr>
            </w:pPr>
            <w:r>
              <w:rPr>
                <w:rFonts w:ascii="Arial" w:cs="Arial" w:eastAsia="Arial" w:hAnsi="Arial"/>
                <w:sz w:val="13"/>
                <w:szCs w:val="13"/>
                <w:color w:val="auto"/>
              </w:rPr>
              <w:t>Repayments under revolving and bank lines of credit and term loans</w:t>
            </w:r>
          </w:p>
        </w:tc>
        <w:tc>
          <w:tcPr>
            <w:tcW w:w="32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(1,762.9)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(1,175.9)</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Proceeds from issuance of 6.000% Senior Notes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380"/>
              <w:spacing w:after="0"/>
              <w:rPr>
                <w:sz w:val="20"/>
                <w:szCs w:val="20"/>
                <w:color w:val="auto"/>
              </w:rPr>
            </w:pPr>
            <w:r>
              <w:rPr>
                <w:rFonts w:ascii="Arial" w:cs="Arial" w:eastAsia="Arial" w:hAnsi="Arial"/>
                <w:sz w:val="13"/>
                <w:szCs w:val="13"/>
                <w:color w:val="auto"/>
              </w:rPr>
              <w:t>Repayment of 6.625% Senior Notes</w:t>
            </w:r>
          </w:p>
        </w:tc>
        <w:tc>
          <w:tcPr>
            <w:tcW w:w="32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Financing and issuance fees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380"/>
              <w:spacing w:after="0"/>
              <w:rPr>
                <w:sz w:val="20"/>
                <w:szCs w:val="20"/>
                <w:color w:val="auto"/>
              </w:rPr>
            </w:pPr>
            <w:r>
              <w:rPr>
                <w:rFonts w:ascii="Arial" w:cs="Arial" w:eastAsia="Arial" w:hAnsi="Arial"/>
                <w:sz w:val="13"/>
                <w:szCs w:val="13"/>
                <w:color w:val="auto"/>
              </w:rPr>
              <w:t>Dividends paid</w:t>
            </w:r>
          </w:p>
        </w:tc>
        <w:tc>
          <w:tcPr>
            <w:tcW w:w="32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(86.4)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(82.4)</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Purchase of Common Shares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380"/>
              <w:spacing w:after="0"/>
              <w:rPr>
                <w:sz w:val="20"/>
                <w:szCs w:val="20"/>
                <w:color w:val="auto"/>
              </w:rPr>
            </w:pPr>
            <w:r>
              <w:rPr>
                <w:rFonts w:ascii="Arial" w:cs="Arial" w:eastAsia="Arial" w:hAnsi="Arial"/>
                <w:sz w:val="13"/>
                <w:szCs w:val="13"/>
                <w:color w:val="auto"/>
              </w:rPr>
              <w:t>Payments on seller notes</w:t>
            </w:r>
          </w:p>
        </w:tc>
        <w:tc>
          <w:tcPr>
            <w:tcW w:w="32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Excess tax benefits from share-based payment arrangements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380"/>
              <w:spacing w:after="0"/>
              <w:rPr>
                <w:sz w:val="20"/>
                <w:szCs w:val="20"/>
                <w:color w:val="auto"/>
              </w:rPr>
            </w:pPr>
            <w:r>
              <w:rPr>
                <w:rFonts w:ascii="Arial" w:cs="Arial" w:eastAsia="Arial" w:hAnsi="Arial"/>
                <w:sz w:val="13"/>
                <w:szCs w:val="13"/>
                <w:color w:val="auto"/>
              </w:rPr>
              <w:t>Cash received from the exercise of stock options</w:t>
            </w:r>
          </w:p>
        </w:tc>
        <w:tc>
          <w:tcPr>
            <w:tcW w:w="320" w:type="dxa"/>
            <w:vAlign w:val="bottom"/>
          </w:tcPr>
          <w:p>
            <w:pPr>
              <w:spacing w:after="0"/>
              <w:rPr>
                <w:sz w:val="15"/>
                <w:szCs w:val="15"/>
                <w:color w:val="auto"/>
              </w:rPr>
            </w:pPr>
          </w:p>
        </w:tc>
        <w:tc>
          <w:tcPr>
            <w:tcW w:w="1300" w:type="dxa"/>
            <w:vAlign w:val="bottom"/>
            <w:vMerge w:val="restart"/>
          </w:tcPr>
          <w:p>
            <w:pPr>
              <w:jc w:val="right"/>
              <w:ind w:right="57"/>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91"/>
        </w:trPr>
        <w:tc>
          <w:tcPr>
            <w:tcW w:w="8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8120" w:type="dxa"/>
            <w:vAlign w:val="bottom"/>
            <w:shd w:val="clear" w:color="auto" w:fill="CCEEFF"/>
          </w:tcPr>
          <w:p>
            <w:pPr>
              <w:ind w:left="1460"/>
              <w:spacing w:after="0"/>
              <w:rPr>
                <w:sz w:val="20"/>
                <w:szCs w:val="20"/>
                <w:color w:val="auto"/>
              </w:rPr>
            </w:pPr>
            <w:r>
              <w:rPr>
                <w:rFonts w:ascii="Arial" w:cs="Arial" w:eastAsia="Arial" w:hAnsi="Arial"/>
                <w:sz w:val="13"/>
                <w:szCs w:val="13"/>
                <w:color w:val="auto"/>
              </w:rPr>
              <w:t>Net cash provided by financing activities</w:t>
            </w:r>
          </w:p>
        </w:tc>
        <w:tc>
          <w:tcPr>
            <w:tcW w:w="3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152.8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186.2</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3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12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8120" w:type="dxa"/>
            <w:vAlign w:val="bottom"/>
          </w:tcPr>
          <w:p>
            <w:pPr>
              <w:ind w:left="40"/>
              <w:spacing w:after="0"/>
              <w:rPr>
                <w:sz w:val="20"/>
                <w:szCs w:val="20"/>
                <w:color w:val="auto"/>
              </w:rPr>
            </w:pPr>
            <w:r>
              <w:rPr>
                <w:rFonts w:ascii="Arial" w:cs="Arial" w:eastAsia="Arial" w:hAnsi="Arial"/>
                <w:sz w:val="13"/>
                <w:szCs w:val="13"/>
                <w:color w:val="auto"/>
              </w:rPr>
              <w:t>Effect of exchange rate changes on cash</w:t>
            </w:r>
          </w:p>
        </w:tc>
        <w:tc>
          <w:tcPr>
            <w:tcW w:w="320" w:type="dxa"/>
            <w:vAlign w:val="bottom"/>
          </w:tcPr>
          <w:p>
            <w:pPr>
              <w:spacing w:after="0"/>
              <w:rPr>
                <w:sz w:val="13"/>
                <w:szCs w:val="13"/>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91"/>
        </w:trPr>
        <w:tc>
          <w:tcPr>
            <w:tcW w:w="8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8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increase in cash and cash equivalents</w:t>
            </w:r>
          </w:p>
        </w:tc>
        <w:tc>
          <w:tcPr>
            <w:tcW w:w="3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40"/>
              <w:spacing w:after="0"/>
              <w:rPr>
                <w:sz w:val="20"/>
                <w:szCs w:val="20"/>
                <w:color w:val="auto"/>
              </w:rPr>
            </w:pPr>
            <w:r>
              <w:rPr>
                <w:rFonts w:ascii="Arial" w:cs="Arial" w:eastAsia="Arial" w:hAnsi="Arial"/>
                <w:sz w:val="13"/>
                <w:szCs w:val="13"/>
                <w:color w:val="auto"/>
              </w:rPr>
              <w:t>Cash and cash equivalents at beginning of period</w:t>
            </w:r>
          </w:p>
        </w:tc>
        <w:tc>
          <w:tcPr>
            <w:tcW w:w="320" w:type="dxa"/>
            <w:vAlign w:val="bottom"/>
          </w:tcPr>
          <w:p>
            <w:pPr>
              <w:spacing w:after="0"/>
              <w:rPr>
                <w:sz w:val="15"/>
                <w:szCs w:val="15"/>
                <w:color w:val="auto"/>
              </w:rPr>
            </w:pPr>
          </w:p>
        </w:tc>
        <w:tc>
          <w:tcPr>
            <w:tcW w:w="1300" w:type="dxa"/>
            <w:vAlign w:val="bottom"/>
            <w:vMerge w:val="restart"/>
          </w:tcPr>
          <w:p>
            <w:pPr>
              <w:jc w:val="right"/>
              <w:ind w:right="57"/>
              <w:spacing w:after="0"/>
              <w:rPr>
                <w:sz w:val="20"/>
                <w:szCs w:val="20"/>
                <w:color w:val="auto"/>
              </w:rPr>
            </w:pPr>
            <w:r>
              <w:rPr>
                <w:rFonts w:ascii="Arial" w:cs="Arial" w:eastAsia="Arial" w:hAnsi="Arial"/>
                <w:sz w:val="13"/>
                <w:szCs w:val="13"/>
                <w:color w:val="auto"/>
              </w:rPr>
              <w:t>71.4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ind w:right="37"/>
              <w:spacing w:after="0"/>
              <w:rPr>
                <w:sz w:val="20"/>
                <w:szCs w:val="20"/>
                <w:color w:val="auto"/>
              </w:rPr>
            </w:pPr>
            <w:r>
              <w:rPr>
                <w:rFonts w:ascii="Arial" w:cs="Arial" w:eastAsia="Arial" w:hAnsi="Arial"/>
                <w:sz w:val="13"/>
                <w:szCs w:val="13"/>
                <w:color w:val="auto"/>
              </w:rPr>
              <w:t>89.3</w:t>
            </w:r>
          </w:p>
        </w:tc>
        <w:tc>
          <w:tcPr>
            <w:tcW w:w="0" w:type="dxa"/>
            <w:vAlign w:val="bottom"/>
          </w:tcPr>
          <w:p>
            <w:pPr>
              <w:spacing w:after="0"/>
              <w:rPr>
                <w:sz w:val="1"/>
                <w:szCs w:val="1"/>
                <w:color w:val="auto"/>
              </w:rPr>
            </w:pPr>
          </w:p>
        </w:tc>
      </w:tr>
      <w:tr>
        <w:trPr>
          <w:trHeight w:val="91"/>
        </w:trPr>
        <w:tc>
          <w:tcPr>
            <w:tcW w:w="8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81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and cash equivalents at end of period</w:t>
            </w:r>
          </w:p>
        </w:tc>
        <w:tc>
          <w:tcPr>
            <w:tcW w:w="320" w:type="dxa"/>
            <w:vAlign w:val="bottom"/>
            <w:vMerge w:val="restart"/>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3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79.9</w:t>
            </w:r>
          </w:p>
        </w:tc>
        <w:tc>
          <w:tcPr>
            <w:tcW w:w="0" w:type="dxa"/>
            <w:vAlign w:val="bottom"/>
          </w:tcPr>
          <w:p>
            <w:pPr>
              <w:spacing w:after="0"/>
              <w:rPr>
                <w:sz w:val="1"/>
                <w:szCs w:val="1"/>
                <w:color w:val="auto"/>
              </w:rPr>
            </w:pPr>
          </w:p>
        </w:tc>
      </w:tr>
      <w:tr>
        <w:trPr>
          <w:trHeight w:val="77"/>
        </w:trPr>
        <w:tc>
          <w:tcPr>
            <w:tcW w:w="812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81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SUPPLEMENTAL CASH FLOW INFORMATION</w:t>
            </w:r>
          </w:p>
        </w:tc>
        <w:tc>
          <w:tcPr>
            <w:tcW w:w="3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380"/>
              <w:spacing w:after="0"/>
              <w:rPr>
                <w:sz w:val="20"/>
                <w:szCs w:val="20"/>
                <w:color w:val="auto"/>
              </w:rPr>
            </w:pPr>
            <w:r>
              <w:rPr>
                <w:rFonts w:ascii="Arial" w:cs="Arial" w:eastAsia="Arial" w:hAnsi="Arial"/>
                <w:sz w:val="13"/>
                <w:szCs w:val="13"/>
                <w:color w:val="auto"/>
              </w:rPr>
              <w:t>Interest paid</w:t>
            </w:r>
          </w:p>
        </w:tc>
        <w:tc>
          <w:tcPr>
            <w:tcW w:w="320" w:type="dxa"/>
            <w:vAlign w:val="bottom"/>
            <w:vMerge w:val="restart"/>
          </w:tcPr>
          <w:p>
            <w:pPr>
              <w:jc w:val="right"/>
              <w:ind w:right="177"/>
              <w:spacing w:after="0"/>
              <w:rPr>
                <w:sz w:val="20"/>
                <w:szCs w:val="20"/>
                <w:color w:val="auto"/>
              </w:rPr>
            </w:pPr>
            <w:r>
              <w:rPr>
                <w:rFonts w:ascii="Arial" w:cs="Arial" w:eastAsia="Arial" w:hAnsi="Arial"/>
                <w:sz w:val="13"/>
                <w:szCs w:val="13"/>
                <w:color w:val="auto"/>
                <w:w w:val="82"/>
              </w:rPr>
              <w:t>$</w:t>
            </w: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(48.1)</w:t>
            </w:r>
          </w:p>
        </w:tc>
        <w:tc>
          <w:tcPr>
            <w:tcW w:w="100" w:type="dxa"/>
            <w:vAlign w:val="bottom"/>
          </w:tcPr>
          <w:p>
            <w:pPr>
              <w:spacing w:after="0"/>
              <w:rPr>
                <w:sz w:val="15"/>
                <w:szCs w:val="15"/>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(39.3)</w:t>
            </w:r>
          </w:p>
        </w:tc>
        <w:tc>
          <w:tcPr>
            <w:tcW w:w="0" w:type="dxa"/>
            <w:vAlign w:val="bottom"/>
          </w:tcPr>
          <w:p>
            <w:pPr>
              <w:spacing w:after="0"/>
              <w:rPr>
                <w:sz w:val="1"/>
                <w:szCs w:val="1"/>
                <w:color w:val="auto"/>
              </w:rPr>
            </w:pPr>
          </w:p>
        </w:tc>
      </w:tr>
      <w:tr>
        <w:trPr>
          <w:trHeight w:val="89"/>
        </w:trPr>
        <w:tc>
          <w:tcPr>
            <w:tcW w:w="81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1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Call premium on 6.625% Senior Notes</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8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3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8120" w:type="dxa"/>
            <w:vAlign w:val="bottom"/>
          </w:tcPr>
          <w:p>
            <w:pPr>
              <w:ind w:left="380"/>
              <w:spacing w:after="0"/>
              <w:rPr>
                <w:sz w:val="20"/>
                <w:szCs w:val="20"/>
                <w:color w:val="auto"/>
              </w:rPr>
            </w:pPr>
            <w:r>
              <w:rPr>
                <w:rFonts w:ascii="Arial" w:cs="Arial" w:eastAsia="Arial" w:hAnsi="Arial"/>
                <w:sz w:val="13"/>
                <w:szCs w:val="13"/>
                <w:color w:val="auto"/>
              </w:rPr>
              <w:t>Income taxes paid</w:t>
            </w:r>
          </w:p>
        </w:tc>
        <w:tc>
          <w:tcPr>
            <w:tcW w:w="320" w:type="dxa"/>
            <w:vAlign w:val="bottom"/>
          </w:tcPr>
          <w:p>
            <w:pPr>
              <w:spacing w:after="0"/>
              <w:rPr>
                <w:sz w:val="15"/>
                <w:szCs w:val="15"/>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(53.7)</w:t>
            </w:r>
          </w:p>
        </w:tc>
        <w:tc>
          <w:tcPr>
            <w:tcW w:w="0" w:type="dxa"/>
            <w:vAlign w:val="bottom"/>
          </w:tcPr>
          <w:p>
            <w:pPr>
              <w:spacing w:after="0"/>
              <w:rPr>
                <w:sz w:val="1"/>
                <w:szCs w:val="1"/>
                <w:color w:val="auto"/>
              </w:rPr>
            </w:pPr>
          </w:p>
        </w:tc>
      </w:tr>
      <w:tr>
        <w:trPr>
          <w:trHeight w:val="81"/>
        </w:trPr>
        <w:tc>
          <w:tcPr>
            <w:tcW w:w="8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420"/>
          </w:cols>
          <w:pgMar w:left="240" w:top="125" w:right="239" w:bottom="0" w:gutter="0" w:footer="0" w:header="0"/>
        </w:sect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ectPr>
          <w:pgSz w:w="11900" w:h="16838" w:orient="portrait"/>
          <w:cols w:equalWidth="0" w:num="1">
            <w:col w:w="11420"/>
          </w:cols>
          <w:pgMar w:left="240" w:top="125"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125" w:right="1440" w:bottom="1440" w:gutter="0" w:footer="0" w:header="0"/>
        </w:sectPr>
      </w:pPr>
    </w:p>
    <w:bookmarkStart w:id="6" w:name="page7"/>
    <w:bookmarkEnd w:id="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2,</w:t>
            </w: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27,</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29"/>
        </w:trPr>
        <w:tc>
          <w:tcPr>
            <w:tcW w:w="536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71.4</w:t>
            </w:r>
          </w:p>
        </w:tc>
      </w:tr>
      <w:tr>
        <w:trPr>
          <w:trHeight w:val="27"/>
        </w:trPr>
        <w:tc>
          <w:tcPr>
            <w:tcW w:w="67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$10.5, $9.2 and $6.5, respectively</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435.1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152.9</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395.8</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220.3</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3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3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1,119.2</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360" w:type="dxa"/>
            <w:vAlign w:val="bottom"/>
          </w:tcPr>
          <w:p>
            <w:pPr>
              <w:ind w:left="40"/>
              <w:spacing w:after="0"/>
              <w:rPr>
                <w:sz w:val="20"/>
                <w:szCs w:val="20"/>
                <w:color w:val="auto"/>
              </w:rPr>
            </w:pPr>
            <w:r>
              <w:rPr>
                <w:rFonts w:ascii="Arial" w:cs="Arial" w:eastAsia="Arial" w:hAnsi="Arial"/>
                <w:sz w:val="18"/>
                <w:szCs w:val="18"/>
                <w:color w:val="auto"/>
                <w:w w:val="90"/>
              </w:rPr>
              <w:t>Property, plant and equipment, net of accumulated depreciation of $623.5</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$605.6 and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$593.9, respectively</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449.6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444.1</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283.8</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655.1</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3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3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3,259.7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3,018.1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r>
      <w:tr>
        <w:trPr>
          <w:trHeight w:val="67"/>
        </w:trPr>
        <w:tc>
          <w:tcPr>
            <w:tcW w:w="6740" w:type="dxa"/>
            <w:vAlign w:val="bottom"/>
            <w:tcBorders>
              <w:bottom w:val="single" w:sz="8" w:color="CCEEFF"/>
            </w:tcBorders>
            <w:gridSpan w:val="2"/>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64"/>
        </w:trPr>
        <w:tc>
          <w:tcPr>
            <w:tcW w:w="53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43"/>
        </w:trPr>
        <w:tc>
          <w:tcPr>
            <w:tcW w:w="70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LIABILITIES AND EQUITY</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132.6</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193.1</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Marketing and license agreement obligation</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251.2</w:t>
            </w:r>
          </w:p>
        </w:tc>
      </w:tr>
      <w:tr>
        <w:trPr>
          <w:trHeight w:val="27"/>
        </w:trPr>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618.6</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1,130.3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1,025.0</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3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3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1,894.1</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(Note 12)</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7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3"/>
              </w:rPr>
              <w:t>Common shares and capital in excess of $.01 stated value per share; 60.8, 61.3 and 61.4</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 issued and outstanding, respectively</w:t>
            </w:r>
          </w:p>
        </w:tc>
        <w:tc>
          <w:tcPr>
            <w:tcW w:w="1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400.4</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938.6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684.2</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 7.3, 6.9 and 6.7 shares, respectively</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43"/>
        </w:trPr>
        <w:tc>
          <w:tcPr>
            <w:tcW w:w="53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7"/>
        </w:trPr>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 - controlling interest</w:t>
            </w:r>
          </w:p>
        </w:tc>
        <w:tc>
          <w:tcPr>
            <w:tcW w:w="1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12.4</w:t>
            </w:r>
          </w:p>
        </w:tc>
      </w:tr>
      <w:tr>
        <w:trPr>
          <w:trHeight w:val="27"/>
        </w:trPr>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3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r>
      <w:tr>
        <w:trPr>
          <w:trHeight w:val="237"/>
        </w:trPr>
        <w:tc>
          <w:tcPr>
            <w:tcW w:w="536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3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3,259.7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3,018.1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Scotts Miracle-Gro Company (“Scotts Miracle-Gro” or “Parent”)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food and drug stores, and indoor gardening and hydroponic stores. The Company’s products are sold primarily in North America and the European Union.</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Prior to April 13, 2016, the Company operated the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“SLS Business”), which provides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the Company completed the contribution of the SLS Business to a newly formed subsidiary of TruGreen Holdings (the “Joint Venture”) in exchange for a minority equity interest of approximately 30% in the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See “NOTE 2. DISCONTINUED OPERATIONS” for further discussion. Prior to being reported as discontinued operations, the SLS Business was included as its own reportable segment. Refer to “NOTE 15. SEGMENT INFORMATION” for discussion of the Company’s new reportable segments identified effective in the second quarter of fiscal 2016.</w:t>
      </w:r>
    </w:p>
    <w:p>
      <w:pPr>
        <w:spacing w:after="0" w:line="11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10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follows a 13-week quarterly accounting cycle pursuant to which the first three fiscal quarters end on a Saturday and the fiscal year always ends on September 30. This fiscal calendar convention requires the Company to cycle forward the first three fiscal quarter ends every six years. Fiscal 2016 is the most recent year impacted by this process and, as a result, the first quarter of fiscal 2016 had six additional days and the fourth quarter of fiscal 2016 will have five less days compared to the corresponding quarters of fiscal 2015. In addition, the third quarter of fiscal 2016 began six days later than the third quarter of fiscal 2015 and these six days occurred during the Company’s peak selling season. The Company’s third quarter of fiscal 2016 ended on July 2, 2016 while the Company’s third quarter of fiscal 2015 ended on June 27, 2015.</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unaudited condensed consolidated financial statements for the three and nine months ended July 2, 2016 and June 27, 2015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and Gavita Holdings B.V., and its subsidiaries (collectively, “Gavita”), in which the Company has controlling interests, are consolidated, with the equity owned by other shareholders shown as noncontrolling interest in the Condensed Consolidated Balance Sheets, and the other shareholders’ portion of net earnings and other comprehensive income shown as net income (loss) or comprehensive income attributable to noncontrolling interest in the Condensed Consolidated Statements of Operations and Condensed Consolidated Statements of Comprehensive Income (Loss), respectively. In the opinion of management, interim results reflect all normal and recurring adjustments and are not necessarily indicative of results for a full year.</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2015 (the “2015 Annual Report”), which includes a complete set of footnote disclosures, including the Company’s significant accounting policies.</w:t>
      </w:r>
    </w:p>
    <w:p>
      <w:pPr>
        <w:spacing w:after="0" w:line="10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2015 has been derived from the Company’s audited Consolidated Balance Sheet at that date, but does not include all of the information and footnotes required by GAAP for complete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condensed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retail customer. Provisions for estimated returns and allowances are recorded at the time revenue is recognized based on historical rates and are periodically adjusted for known changes in return levels. Outbound shipping and handling costs are included in cost of sales.</w:t>
      </w:r>
    </w:p>
    <w:p>
      <w:pPr>
        <w:spacing w:after="0" w:line="1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Under the terms of the Amended and Restated Exclusive Agency and Marketing Agreement (the “Marketing Agreement”) pursuant to which the Company has served, since its 1998 fiscal year, as the exclusive agent to the Monsanto Company (“Monsanto”) for the marketing and distribution of consumer Roundup</w:t>
      </w:r>
      <w:r>
        <w:rPr>
          <w:rFonts w:ascii="Arial" w:cs="Arial" w:eastAsia="Arial" w:hAnsi="Arial"/>
          <w:sz w:val="17"/>
          <w:szCs w:val="17"/>
          <w:color w:val="auto"/>
          <w:vertAlign w:val="superscript"/>
        </w:rPr>
        <w:t>®</w:t>
      </w:r>
      <w:r>
        <w:rPr>
          <w:rFonts w:ascii="Arial" w:cs="Arial" w:eastAsia="Arial" w:hAnsi="Arial"/>
          <w:sz w:val="17"/>
          <w:szCs w:val="17"/>
          <w:color w:val="auto"/>
        </w:rPr>
        <w:t xml:space="preserve"> herbicide products, the Company performs certain functions, primarily manufacturing conversion services (in North America), distribution and logistics, and selling and marketing support, on behalf of Monsanto in the conduct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14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Under the terms of the Marketing, R&amp;D and Ancillary Services Agreement (the “Services Agreement”) with Bonnie Plants, Inc. (“Bonnie”) and its sole shareholder, Alabama Farmers Cooperative (“AFC”), entered into in the second quarter of fiscal 2016, the Company provides marketing, research and development and certain ancillary services to Bonnie for reimbursement of certain costs and a commission fee earned based on a percentage of the growth in actual earnings before interest, income taxes and amortization of Bonnie’s business of planting, growing, developing, manufacturing, distributing, marketing, and selling live plants, plant food, fertilizer and potting soil (the “Bonnie Business”). The commission earned under the Services Agreement is included in the “Net sales” line in the Condensed Consolidated Statements of Operations. Additionally, the Company records costs incurred under the Services Agreement for which the Company is the primary obligor on a gross basis, recognizing such costs in the “Cost of sales” line and the reimbursement of these costs in the “Net sales” line, with no effect on gross profit dollars or net income.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Loans receivable are carried at outstanding principal amount, and are recognized in the “Other assets” line in the Condensed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and classified as “Impairment, restructuring and other charges” within “Operating expenses” in the Condensed Consolidated Statements of Operations.</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income is recorded on an accrual basis, and is recognized in the “Other income, net” line in the Condensed Consolidated Statements of Operations. Interest income was $1.7 million and $2.2 million for the three and nine months ended July 2,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$1.9 million and $1.6 million during the nine months ended July 2, 2016 and June 27, 2015, respectively, representing unpaid liabilities incurred during each period to acquire property, plant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the “cumulative earnings” approach for determining cash flow presentation of distributions from unconsolidated affiliates. Distributions received are included in the Condensed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Condensed Consolidated Statements of Cash Flows.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May 2014, the Financial Accounting Standards Board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 The provisions are effective for the Company’s financial statements no later than the fiscal year beginning October 1, 2018. The standard allows for either a full retrospective or a modified retrospective transition method. The Company is currently evaluating the impact of this standard on its consolidated results of operations, financial position and cash flows.</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April 2015, the FASB issued an accounting standard update that requires debt issuance costs related to a recognized debt liability to be presented in the balance sheet as a direct deduction from the corresponding debt liability rather than as an asset. The provisions are effective retrospectively for the Company’s financial statements for the fiscal year beginning October 1, 2016. The adoption of the amended guidance impacts presentation and disclosure of debt issuance costs and is not expected to have a significant impact on the Company’s consolidated financial position, results of operations or cash flows.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September 2015, the FASB issued an accounting standard update to simplify the accounting for measurement-period adjustments by requiring an acquirer to recognize adjustments to provisional amounts that are identified during the measurement period in the reporting period in which the adjustment amounts are determined, and requiring disclosure of the portion of the amount recorded in current period earnings by line item that would have been recorded in previous reporting periods if the adjustment to the provisional amounts had been recognized as of the acquisition date. The provisions are effective prospectively for the Company’s financial statements no later than the fiscal year beginning October 1, 2016 and are not expected to have a significant impact on the Company’s consolidated financial position, results of operations or cash flows.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November 2015, the FASB issued an accounting standard update to simplify the presentation of deferred income taxes by requiring that deferred income tax liabilities and assets be classified as noncurrent in a classified statement of financial position. The provisions are effective for the Company’s financial statements no later than the fiscal year beginning October 1, 2017. The standard allows for either a retrospective or prospective transition method and is not expected to have a significant impact on the Company’s consolidated financial position, results of operations or cash flows.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February 2016, the FASB issued an accounting standard update which significantly changes the accounting for leases.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or are entered into after the beginning of the earliest comparative period presented in the financial statements. The Company is currently evaluating the impact of this standard on its consolidated results of operations, financial position and cash flows.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Stock Compensation</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March 2016, the FASB issued an accounting standard update that simplifies several aspects of the accounting for employee share-based payment transactions, including the accounting for income taxes, forfeitures, and statutory tax withholding requirements, as well as classification in the statement of cash flows. The provisions are effective for the Company’s financial statements no later than the fiscal year beginning October 1, 2017. The Company is currently evaluating the impact of this standard on its consolidated results of operations, financial position and cash flows.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April 13, 2016, pursuant to the terms of the Contribution Agreement, the Company completed the contribution of the SLS Business to the Joint Venture in exchange for a minority equity interest of approximately 30% in the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The Company’s gain on the contribution of $142.6 million, partially offset by the provision for deferred income taxes of $56.2 million, has been recorded in the third quarter of fiscal 2016 within results from discontinued operations. This amount is subject to further post-closing adjustments including working capital adjustments and finalization of the fair value of the approximately 30% interest in the Joint Venture.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results of the SLS Business within discontinued operations for each of the periods presented: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38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3"/>
                <w:szCs w:val="13"/>
                <w:color w:val="auto"/>
              </w:rPr>
            </w:pPr>
          </w:p>
        </w:tc>
        <w:tc>
          <w:tcPr>
            <w:tcW w:w="11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JUNE 27,</w:t>
            </w: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2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177.0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contribution of SLS Business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Income from discontinued operations before income taxes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major classes of assets and liabilities of the SLS Business for each of the periods presented: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80" w:type="dxa"/>
            <w:vAlign w:val="bottom"/>
          </w:tcPr>
          <w:p>
            <w:pPr>
              <w:jc w:val="right"/>
              <w:ind w:right="56"/>
              <w:spacing w:after="0"/>
              <w:rPr>
                <w:sz w:val="20"/>
                <w:szCs w:val="20"/>
                <w:color w:val="auto"/>
              </w:rPr>
            </w:pPr>
            <w:r>
              <w:rPr>
                <w:rFonts w:ascii="Arial" w:cs="Arial" w:eastAsia="Arial" w:hAnsi="Arial"/>
                <w:sz w:val="14"/>
                <w:szCs w:val="14"/>
                <w:b w:val="1"/>
                <w:bCs w:val="1"/>
                <w:color w:val="auto"/>
              </w:rPr>
              <w:t>JULY 2,</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4"/>
                <w:szCs w:val="14"/>
                <w:color w:val="auto"/>
              </w:rPr>
            </w:pPr>
          </w:p>
        </w:tc>
        <w:tc>
          <w:tcPr>
            <w:tcW w:w="1420" w:type="dxa"/>
            <w:vAlign w:val="bottom"/>
          </w:tcPr>
          <w:p>
            <w:pPr>
              <w:jc w:val="right"/>
              <w:ind w:right="17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1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11.8</w:t>
            </w:r>
          </w:p>
        </w:tc>
      </w:tr>
      <w:tr>
        <w:trPr>
          <w:trHeight w:val="27"/>
        </w:trPr>
        <w:tc>
          <w:tcPr>
            <w:tcW w:w="6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assets</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9.6</w:t>
            </w:r>
          </w:p>
        </w:tc>
      </w:tr>
      <w:tr>
        <w:trPr>
          <w:trHeight w:val="27"/>
        </w:trPr>
        <w:tc>
          <w:tcPr>
            <w:tcW w:w="6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net</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157.0</w:t>
            </w: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1180" w:type="dxa"/>
            <w:vAlign w:val="bottom"/>
            <w:tcBorders>
              <w:top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220.3</w:t>
            </w:r>
          </w:p>
        </w:tc>
      </w:tr>
      <w:tr>
        <w:trPr>
          <w:trHeight w:val="67"/>
        </w:trPr>
        <w:tc>
          <w:tcPr>
            <w:tcW w:w="640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305"/>
        </w:trPr>
        <w:tc>
          <w:tcPr>
            <w:tcW w:w="6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portion of debt</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7"/>
        </w:trPr>
        <w:tc>
          <w:tcPr>
            <w:tcW w:w="6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1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29.2</w:t>
            </w:r>
          </w:p>
        </w:tc>
      </w:tr>
      <w:tr>
        <w:trPr>
          <w:trHeight w:val="27"/>
        </w:trPr>
        <w:tc>
          <w:tcPr>
            <w:tcW w:w="6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18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6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provided by operating activities from the SLS Business was $38.9 million and $30.1 million for the nine months ended July 2, 2016 and June 27, 2015, respectively. Cash used in investing activities related to the SLS Business was $1.4 million and $23.4 million for the nine months ended July 2, 2016 and June 27, 2015,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INVESTMENTS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144"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On May 26, 2016, the Company, through its subsidiary The Hawthorne Gardening Company, acquired majority control and a 75% economic interest in Gavita for $136.2 million. The remaining 25% interest was retained by Gavita’s former ownership group. This transaction provides the Company’s Other segment with a presence in the lighting category of indoor and urban gardening, which is a part of the Company’s long-term growth strategy. Gavita, which is based in the Netherlands, is a leading producer and marketer of indoor lighting used in the greenhouse and hydroponic markets, predominately in the United States and Europe. The purchase price includes contingent consideration with an estimated fair value of $2.5 million, the payment of which will depend on the performance of the business through calendar year 2019. The preliminary valuation of the acquired assets included (i) $35.0 million of inventory and accounts receivable, (ii) $1.5 million in fixed assets, (iii) $13.6 million of accounts payable and other current liabilities, (iv) $5.5 million of short term debt,</w:t>
      </w:r>
    </w:p>
    <w:p>
      <w:pPr>
        <w:spacing w:after="0" w:line="3" w:lineRule="exact"/>
        <w:rPr>
          <w:sz w:val="20"/>
          <w:szCs w:val="20"/>
          <w:color w:val="auto"/>
        </w:rPr>
      </w:pPr>
    </w:p>
    <w:p>
      <w:pPr>
        <w:jc w:val="both"/>
        <w:ind w:firstLine="8"/>
        <w:spacing w:after="0" w:line="268" w:lineRule="auto"/>
        <w:tabs>
          <w:tab w:leader="none" w:pos="282" w:val="left"/>
        </w:tabs>
        <w:numPr>
          <w:ilvl w:val="0"/>
          <w:numId w:val="3"/>
        </w:numPr>
        <w:rPr>
          <w:rFonts w:ascii="Arial" w:cs="Arial" w:eastAsia="Arial" w:hAnsi="Arial"/>
          <w:sz w:val="17"/>
          <w:szCs w:val="17"/>
          <w:color w:val="auto"/>
        </w:rPr>
      </w:pPr>
      <w:r>
        <w:rPr>
          <w:rFonts w:ascii="Arial" w:cs="Arial" w:eastAsia="Arial" w:hAnsi="Arial"/>
          <w:sz w:val="17"/>
          <w:szCs w:val="17"/>
          <w:color w:val="auto"/>
        </w:rPr>
        <w:t>$97.6 million of finite-lived identifiable intangible assets, and (vi) $60.2 million of tax-deductible goodwill. Identifiable intangible assets included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Gavita included within the Other segment for the three and nine months ended July 2, 2016 were $7.0 million. Gavita’s former ownership group has retained a 25% noncontrolling interest in Gavita consisting of ownership of 5% of the outstanding shares of Gavita and a loan with interest payable based on annual profits of Gavita. The loan represents a non-cash financing activity and has been recorded at fair value in the “Long-term debt” line in the Condensed Consolidated Balance Sheets, with changes in fair value recognized in the “Other income (loss), net” line in the Condensed Consolidated Statements of Operations. The preliminary valuation of the loan was $37.7 million at July 2, 2016. The fair value measurement was classified in Level 3 of the fair value hierarchy.</w:t>
      </w:r>
    </w:p>
    <w:p>
      <w:pPr>
        <w:spacing w:after="0" w:line="10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the third quarter of fiscal 2016, the Company completed an acquisition within the Other segment to expand its Canadian growing media operations for an estimated purchase price of $34.4 million. The purchase price includes contingent consideration with an estimated fair value of $10.8 million, the payment of which will depend on the performance of the business in calendar years 2016 and 2017. The preliminary valuation of the acquired assets included</w:t>
      </w:r>
    </w:p>
    <w:p>
      <w:pPr>
        <w:jc w:val="both"/>
        <w:ind w:firstLine="8"/>
        <w:spacing w:after="0" w:line="252" w:lineRule="auto"/>
        <w:tabs>
          <w:tab w:leader="none" w:pos="215" w:val="left"/>
        </w:tabs>
        <w:numPr>
          <w:ilvl w:val="0"/>
          <w:numId w:val="4"/>
        </w:numPr>
        <w:rPr>
          <w:rFonts w:ascii="Arial" w:cs="Arial" w:eastAsia="Arial" w:hAnsi="Arial"/>
          <w:sz w:val="18"/>
          <w:szCs w:val="18"/>
          <w:color w:val="auto"/>
        </w:rPr>
      </w:pPr>
      <w:r>
        <w:rPr>
          <w:rFonts w:ascii="Arial" w:cs="Arial" w:eastAsia="Arial" w:hAnsi="Arial"/>
          <w:sz w:val="18"/>
          <w:szCs w:val="18"/>
          <w:color w:val="auto"/>
        </w:rPr>
        <w:t>$4.2 million of inventory and accounts receivable, (ii) $18.8 million in fixed assets, (iii) $11.5 million of finite-lived identifiable intangible assets, and (iv) $0.9 million of tax-deductible goodwill. Identifiable intangible assets included peat bog lease rights, tradenames, customer relationships and non-compete arrangements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related to this acquisition included within the Other segment for the three and nine months ended July 2, 2016 were $3.2 million.</w:t>
      </w:r>
    </w:p>
    <w:p>
      <w:pPr>
        <w:spacing w:after="0" w:line="11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These acquisitions include non-cash investing activities of $13.3 million representing contingent consideration. The payment of these amounts will depend on the future performance of the business, subject to adjustment for certain contractually defined metrics.</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Subsequent to July 2, 2016, the Company entered into a definitive agreement to acquire American Agritech, LLC d/b/a Botanicare, an Arizona-based leading producer of plant nutrients, plant supplements and growing systems used for hydroponic gardening. This acquisition is expected to close during calendar year 2016.</w:t>
      </w:r>
    </w:p>
    <w:p>
      <w:pPr>
        <w:spacing w:after="0" w:line="10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the second quarter of fiscal 2016, the Company entered into definitive agreements with Bonnie and its sole shareholder, AFC, providing for the Company’s participation in the Bonnie Business. The Company’s participation includes a Term Loan Agreement from the Company to AFC, with Bonnie as guarantor, in the amount of $72.0 million with a fixed coupon rate of 6.95% (the “Term Loan”) as well as a Services Agreement pursuant to which the Company will provide marketing, research and development and certain ancillary services to the Bonnie Business for a commission fee based on the profits of the Bonnie Business and the reimbursement of certain costs. These agreements also include options beginning in fiscal 2020 that provide for either (i) the Company to increase its economic interest in the Bonnie Business or (ii) AFC and Bonnie to repurchase the Company’s economic interest in the Bonnie Business. During the three and nine months ended July 2, 2016, the Company recognized commission fees of $3.1 million and recognized cost reimbursements of $0.4 million and $0.6 million, respectively.</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30, 2015, the Company acquired the assets of General Hydroponics, Inc. (“General Hydroponics”) and Bio-Organic Solutions, Inc. (“Vermicrop”) for $120.0 million and $15.0 million, respectively. This transaction provided the Company’s Other segment with an additional entry into the indoor and urban gardening market, which is a part of the Company’s long-term growth strategy. General Hydroponics and Vermicrop are leading producers of liquid plant food products, growing media,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accessories for the hydroponics markets. The General Hydroponics purchase price included non-cash investing activity of $1.0 million representing the deferral of a portion of the purchase price into fiscal 2016, of which $0.5 million was paid in the second quarter of fiscal 2016. The Vermicrop purchase price included $5.0 million of contingent consideration, which was paid during the third quarter of fiscal 2016. The Vermicrop purchase price and contingent consideration was paid in common shares of Scotts Miracle-Gro (“Common Shares”) based on the average share price at the time of payment. The valuation of the acquired assets was determined during the third quarter of fiscal 2015 and included (i) $14.2 million of inventory and accounts receivable, (ii) $5.7 million in fixed assets, (iii) $65.0 million of finite-lived identifiable intangible assets, and (iv) $53.9 million of tax-deductible goodwill. Identifiable intangible assets included tradenames, customer relationships and non-compete arrangements with useful lives ranging between 5 and 26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Net sales for General Hydroponics and Vermicrop included within the Other segment for the three and nine months ended July 2, 2016 were $20.0 million and $48.2 million, respectively.</w:t>
      </w:r>
    </w:p>
    <w:p>
      <w:pPr>
        <w:spacing w:after="0" w:line="8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During fiscal 2015, the Company completed four acquisitions of growing media operations, two within the U.S. Consumer segment and two within the Other segment, for an aggregate purchase price of $40.2 million. These acquisitions expand the Company’s growing media operations and distribution capabilities within its U.S. Consumer and Other segments. The valuation of the acquired assets for the transactions included (i) $10.1 million in finite-lived identifiable intangible assets, (ii) $11.4 million in fixed assets, (iii) $10.6 million in tax deductible goodwill, and (iv) $9.9 million of inventory and accounts receivable. Identifiable intangible assets include tradenames and customer relationships with useful lives ranging between 7 and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86" w:lineRule="exact"/>
        <w:rPr>
          <w:sz w:val="20"/>
          <w:szCs w:val="20"/>
          <w:color w:val="auto"/>
        </w:rPr>
      </w:pPr>
    </w:p>
    <w:p>
      <w:pPr>
        <w:ind w:right="340" w:firstLine="405"/>
        <w:spacing w:after="0" w:line="430" w:lineRule="auto"/>
        <w:rPr>
          <w:sz w:val="20"/>
          <w:szCs w:val="20"/>
          <w:color w:val="auto"/>
        </w:rPr>
      </w:pPr>
      <w:r>
        <w:rPr>
          <w:rFonts w:ascii="Arial" w:cs="Arial" w:eastAsia="Arial" w:hAnsi="Arial"/>
          <w:sz w:val="18"/>
          <w:szCs w:val="18"/>
          <w:color w:val="auto"/>
        </w:rPr>
        <w:t xml:space="preserve">The condensed consolidated financial statements include the results of operations for these business combinations from the date of each acquisition. </w:t>
      </w:r>
      <w:r>
        <w:rPr>
          <w:rFonts w:ascii="Arial" w:cs="Arial" w:eastAsia="Arial" w:hAnsi="Arial"/>
          <w:sz w:val="18"/>
          <w:szCs w:val="18"/>
          <w:b w:val="1"/>
          <w:bCs w:val="1"/>
          <w:color w:val="auto"/>
        </w:rPr>
        <w:t>NOTE 4. INVESTMENT IN UNCONSOLIDATED AFFILIATE</w:t>
      </w:r>
    </w:p>
    <w:p>
      <w:pPr>
        <w:spacing w:after="0" w:line="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of July 2, 2016, the Company held a minority equity interest of approximately 30% in the Joint Venture. This interest was initially recorded at an estimated fair value of $294.0 million on the transaction date and subsequently is accounted for using the equity method of accounting, with the Company's proportionate share of Joint Venture earnings reflected in the Condensed Consolidated Statements of Operations. In addition, the Company and TruGreen Holdings entered into a limited liability company agreement (the “LLC Agreement”) governing the management of the Joint Venture, as well as certain ancillary agreements including a transition services agreement and an employee leasing agreement. The LLC Agreement provides the Company with minority representation on the board of directors of the Joint Venture.</w:t>
      </w:r>
    </w:p>
    <w:p>
      <w:pPr>
        <w:spacing w:after="0" w:line="9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connection with the closing of the transactions contemplated by the Contribution Agreement on April 13, 2016, the Joint Venture obtained debt financing and made an excess distribution of $196.2 million to the Company which has been recorded as a return of investment and classified as a cash inflow from investing activities in the Condensed Consolidated Statement of Cash Flows. The Company also provided an $18.0 million investment in second lien term loan financing to the Joint Venture. The Company was reimbursed $5.5 million during the three months ended July 2, 2016 and has accounts receivable of $30.0 million at July 2, 2016 for expenses incurred pursuant to a short-term transition services agreement and an employee leasing agreement.</w:t>
      </w:r>
    </w:p>
    <w:p>
      <w:pPr>
        <w:spacing w:after="0" w:line="77" w:lineRule="exact"/>
        <w:rPr>
          <w:sz w:val="20"/>
          <w:szCs w:val="20"/>
          <w:color w:val="auto"/>
        </w:rPr>
      </w:pPr>
    </w:p>
    <w:p>
      <w:pPr>
        <w:jc w:val="both"/>
        <w:ind w:firstLine="219"/>
        <w:spacing w:after="0" w:line="257" w:lineRule="auto"/>
        <w:rPr>
          <w:sz w:val="20"/>
          <w:szCs w:val="20"/>
          <w:color w:val="auto"/>
        </w:rPr>
      </w:pPr>
      <w:r>
        <w:rPr>
          <w:rFonts w:ascii="Arial" w:cs="Arial" w:eastAsia="Arial" w:hAnsi="Arial"/>
          <w:sz w:val="18"/>
          <w:szCs w:val="18"/>
          <w:color w:val="auto"/>
        </w:rPr>
        <w:t>The Company recognized equity in losses of unconsolidated affiliates of $3.5 million for the three and nine months ended July 2, 2016. Included within losses of unconsolidated affiliates for the three and nine months ended July 2, 2016 is the Company’s share of impairment, restructuring and other charges of $17.0 million. These charges included $10.8 million for transaction costs, $0.6 million for nonrecurring integration and separation costs and $5.6 million for a non-cash fair value write-down adjustment on its deferred revenue. At July 2, 2016, consolidated retained earnings contained losses of $2.3 million, net of tax, of unconsolidated affiliates.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IMPAIRMENT, RESTRUCTURING AND OTHER</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Activity described herein is classified within the “Impairment, restructuring and other” and the “Income from discontinued operations, net of tax” lines in the Condensed Consolidated Statements of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27,</w:t>
            </w:r>
          </w:p>
        </w:tc>
        <w:tc>
          <w:tcPr>
            <w:tcW w:w="38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3"/>
                <w:szCs w:val="13"/>
                <w:color w:val="auto"/>
              </w:rPr>
            </w:pPr>
          </w:p>
        </w:tc>
        <w:tc>
          <w:tcPr>
            <w:tcW w:w="112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JUNE 27,</w:t>
            </w: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Restructuring and other (recoveries) charges from continuing operations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3"/>
              </w:rPr>
              <w:t>Restructuring and other (recoveries) charges from discontinued operations</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1.4</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impairment, restructuring and other (recoveries) charges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nine months ended July 2, 2016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at September 30, 2015</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9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98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at July 2, 2016</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the restructuring reserves as of July 2, 2016 is $1.9 million that is classified as long-term. Payments against the long-term reserves will be incurred as the employees covered by the restructuring plan retire or through the passage of time. The remaining amounts reserved will continue to be paid out over the course of the next twelve months.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Fiscal 2016</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the first quarter of fiscal 2016, the Company announced a series of initiatives called Project Focus designed to maximize the value of its non-core assets and focus on emerging categories of the lawn and garden industry in its core U.S. business. On April 13, 2016, as part of this project, the Company completed the contribution of the SLS Business to the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Refer to “NOTE 2: DISCONTINUED OPERATIONS” for more information. During the three and nine months ended July 2, 2016, the Company recognized zero and $9.0 million for the resolution of a prior SLS Business litigation matter, as well as zero and $4.4 million, respectively, in transaction related costs associated with the divestiture of the SLS Business within the “Income from discontinued operations, net of tax” line in the Condensed Consolidated Statements of Operations. In addition, during the three and nine months ended July 2, 2016, the Company recognized costs of $(0.3) million and $2.3 million, respectively, related to other transaction activity within the “Impairment, restructuring and other” line in the Condensed Consolidated Statements of Operations.</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During the third quarter of fiscal 2015, the Company’s U.S. Consumer segment began experiencing an increase in certain consumer complaints related to the reformulated Bonus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 fertilizer product sold in the southeastern United States during fiscal 2015 indicating customers were experiencing damage to their lawns after application. During the three and nine months ended July 2, 2016, the Company recognized $0.5 million and $6.9 million, respectively, in costs related to resolving these consumer complaints and the recognition of costs the Company expects to incur for current and expected consumer claims. Costs incurred to date since the inception of this matter, excluding insurance reimbursement recoveries, are $74.3 million. The Company has received reimbursement payments of $60.8 million through the third quarter of fiscal 2016, including $5.9 million and $40.9 million received during the three and nine months ended July 2, 2016, respectively. The Company recorded offsetting insurance reimbursement recoveries upon resolution of the insurer’s review of claim documentation in the amount of $4.9 million in the fourth quarter of fiscal 2015, $50.0 million in the second quarter of fiscal 2016 and $5.9 million in the third quarter of fiscal 2016.</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and nine months ended June 27, 2015, the Company recognized $6.6 million and $19.9 million, respectively, in restructuring costs related to termination benefits provided to U.S. and international personnel as part of the Company’s restructuring of its U.S. administrative and overhead functions, the continuation of the international profitability improvement initiative and the liquidation and exit from the U.K. Solus business. These restructuring charges included zero and $4.3 million of costs related to the acceleration of equity compensation expense for the three and nine months ended June 27, 2015, respectively.</w:t>
      </w:r>
    </w:p>
    <w:p>
      <w:pPr>
        <w:spacing w:after="0" w:line="107" w:lineRule="exact"/>
        <w:rPr>
          <w:sz w:val="20"/>
          <w:szCs w:val="20"/>
          <w:color w:val="auto"/>
        </w:rPr>
      </w:pPr>
    </w:p>
    <w:p>
      <w:pPr>
        <w:jc w:val="both"/>
        <w:ind w:right="20" w:firstLine="405"/>
        <w:spacing w:after="0" w:line="282" w:lineRule="auto"/>
        <w:rPr>
          <w:sz w:val="20"/>
          <w:szCs w:val="20"/>
          <w:color w:val="auto"/>
        </w:rPr>
      </w:pPr>
      <w:r>
        <w:rPr>
          <w:rFonts w:ascii="Arial" w:cs="Arial" w:eastAsia="Arial" w:hAnsi="Arial"/>
          <w:sz w:val="18"/>
          <w:szCs w:val="18"/>
          <w:color w:val="auto"/>
        </w:rPr>
        <w:t>During the third quarter of fiscal 2015, the Company recognized $37.7 million in costs related to consumer complaints and claims related to the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fertilizer product sold in the southeastern United States during fiscal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JULY 2,</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27,</w:t>
            </w:r>
          </w:p>
        </w:tc>
        <w:tc>
          <w:tcPr>
            <w:tcW w:w="180" w:type="dxa"/>
            <w:vAlign w:val="bottom"/>
          </w:tcPr>
          <w:p>
            <w:pPr>
              <w:spacing w:after="0"/>
              <w:rPr>
                <w:sz w:val="14"/>
                <w:szCs w:val="14"/>
                <w:color w:val="auto"/>
              </w:rPr>
            </w:pPr>
          </w:p>
        </w:tc>
        <w:tc>
          <w:tcPr>
            <w:tcW w:w="1420" w:type="dxa"/>
            <w:vAlign w:val="bottom"/>
          </w:tcPr>
          <w:p>
            <w:pPr>
              <w:jc w:val="right"/>
              <w:ind w:right="17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299.9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218.9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0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48.3</w:t>
            </w:r>
          </w:p>
        </w:tc>
      </w:tr>
      <w:tr>
        <w:trPr>
          <w:trHeight w:val="27"/>
        </w:trPr>
        <w:tc>
          <w:tcPr>
            <w:tcW w:w="6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0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080" w:type="dxa"/>
            <w:vAlign w:val="bottom"/>
            <w:tcBorders>
              <w:top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469.9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395.8</w:t>
            </w:r>
          </w:p>
        </w:tc>
      </w:tr>
      <w:tr>
        <w:trPr>
          <w:trHeight w:val="27"/>
        </w:trPr>
        <w:tc>
          <w:tcPr>
            <w:tcW w:w="6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$15.3 million at July 2, 2016, $20.9 million at June 27, 2015 and $17.8 million at September 30,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MARKETING AGREEMENT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Scotts Company LLC (“Scotts LLC”) and Monsanto are parties to the Marketing Agreement, pursuant to which the Company has served, since its</w:t>
      </w:r>
    </w:p>
    <w:p>
      <w:pPr>
        <w:spacing w:after="0" w:line="4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1998 fiscal year, as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herbicide products (with additional rights to new products containing glyphosate or other similar non-selective herbicides) in the consumer lawn and garden market.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the markets covered by the Marketing Agreement subject to the achievement of annual earnings thresholds. The Marketing Agreement also requires the Company to make annual payments of $20.0 million to Monsanto as a contribution against the overall expenses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From 1998 until May 15, 2015, the Marketing Agreement covered the United States and other specified countries, including Australia, Austria, Belgium, Canada, France, Germany, the Netherlands and the United Kingdom. On May 15, 2015, the territories were expanded to cover additional countries as outlined below.</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in 1998, the Company paid a marketing fee of $32 million to Monsanto. The Company deferred this amount on the basis that the payment will provide a future benefit through commissions that will be earned under the Marketing Agreement. The economic useful life over which the marketing fee is being amortized is twenty years, with a remaining unamortized amount of $1.8 million and remaining amortization period of less than three years as of July 2, 2016.</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15, 2015, the Company and Monsanto entered into an Amendment to the Marketing Agreement (the “Marketing Agreement Amendment”), a Lawn and Garden Brand Extension Agreement (the “Brand Extension Agreement”) and a Commercialization and Technology Agreement (the “Commercialization and Technology Agreement”). In consideration for these agreements, the Company paid $300.0 million to Monsanto on August 14, 2015 using borrowings under its credit facility.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Among other things, the Marketing Agreement Amendment amends the Marketing Agreement in the following significant respects:</w:t>
      </w:r>
    </w:p>
    <w:p>
      <w:pPr>
        <w:spacing w:after="0" w:line="144" w:lineRule="exact"/>
        <w:rPr>
          <w:sz w:val="20"/>
          <w:szCs w:val="20"/>
          <w:color w:val="auto"/>
        </w:rPr>
      </w:pPr>
    </w:p>
    <w:p>
      <w:pPr>
        <w:ind w:left="820" w:hanging="326"/>
        <w:spacing w:after="0" w:line="34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Expands the territories in which the Company may serve as Monsanto’s exclusive agent in the consumer lawn and garden market to include all countries other than Japan and countries subject to a comprehensive U.S. trade embargo or certain other embargoes and trade restrictions.</w:t>
      </w:r>
    </w:p>
    <w:p>
      <w:pPr>
        <w:spacing w:after="0" w:line="42" w:lineRule="exact"/>
        <w:rPr>
          <w:rFonts w:ascii="Arial" w:cs="Arial" w:eastAsia="Arial" w:hAnsi="Arial"/>
          <w:sz w:val="16"/>
          <w:szCs w:val="16"/>
          <w:color w:val="auto"/>
        </w:rPr>
      </w:pPr>
    </w:p>
    <w:p>
      <w:pPr>
        <w:ind w:left="820" w:hanging="326"/>
        <w:spacing w:after="0" w:line="277" w:lineRule="auto"/>
        <w:tabs>
          <w:tab w:leader="none" w:pos="8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Eliminates the initial and renewal terms that the original Marketing Agreement applied to European Union (“EU”) countries. As amended, the term of the Marketing Agreement will now continue indefinitely for all included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including EU countries within the included markets, unless and until otherwise terminated in accordance with the Marketing Agreement.</w:t>
      </w:r>
    </w:p>
    <w:p>
      <w:pPr>
        <w:spacing w:after="0" w:line="158" w:lineRule="exact"/>
        <w:rPr>
          <w:sz w:val="20"/>
          <w:szCs w:val="20"/>
          <w:color w:val="auto"/>
        </w:rPr>
      </w:pPr>
    </w:p>
    <w:p>
      <w:pPr>
        <w:jc w:val="both"/>
        <w:ind w:left="820" w:hanging="326"/>
        <w:spacing w:after="0" w:line="210" w:lineRule="auto"/>
        <w:tabs>
          <w:tab w:leader="none" w:pos="820" w:val="left"/>
        </w:tabs>
        <w:numPr>
          <w:ilvl w:val="0"/>
          <w:numId w:val="6"/>
        </w:numPr>
        <w:rPr>
          <w:rFonts w:ascii="Arial" w:cs="Arial" w:eastAsia="Arial" w:hAnsi="Arial"/>
          <w:sz w:val="17"/>
          <w:szCs w:val="17"/>
          <w:i w:val="1"/>
          <w:iCs w:val="1"/>
          <w:color w:val="auto"/>
        </w:rPr>
      </w:pPr>
      <w:r>
        <w:rPr>
          <w:rFonts w:ascii="Arial" w:cs="Arial" w:eastAsia="Arial" w:hAnsi="Arial"/>
          <w:sz w:val="17"/>
          <w:szCs w:val="17"/>
          <w:color w:val="auto"/>
        </w:rPr>
        <w:t>Revises the procedures of the Marketing Agreement relating to a potential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(1) require Monsanto to negotiate exclusively with the Company with respect to any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for 60 days after the Company receives notice from Monsanto regarding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and (2) provide the Company with a right of first offer and a right of last look in connection with a potential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to a third party. In addition, if the Company makes a bid in connection with a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 the then-applicable termination fee would serve as a credit against the purchase price and the Monsanto board of directors would not be permitted to discount the value of the Company’s bid compared to a competing bid as a result of the termination fee discount.</w:t>
      </w:r>
    </w:p>
    <w:p>
      <w:pPr>
        <w:spacing w:after="0" w:line="123" w:lineRule="exact"/>
        <w:rPr>
          <w:rFonts w:ascii="Arial" w:cs="Arial" w:eastAsia="Arial" w:hAnsi="Arial"/>
          <w:sz w:val="17"/>
          <w:szCs w:val="17"/>
          <w:i w:val="1"/>
          <w:iCs w:val="1"/>
          <w:color w:val="auto"/>
        </w:rPr>
      </w:pPr>
    </w:p>
    <w:p>
      <w:pPr>
        <w:ind w:left="820" w:hanging="326"/>
        <w:spacing w:after="0" w:line="277" w:lineRule="auto"/>
        <w:tabs>
          <w:tab w:leader="none" w:pos="8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Requires the Company to (1) provide notice to Monsanto of certain proposals and processes that may result in a sale of the Company and (2) conduct non-exclusive negotiations with Monsanto with respect to such a sale.</w:t>
      </w:r>
    </w:p>
    <w:p>
      <w:pPr>
        <w:spacing w:after="0" w:line="89" w:lineRule="exact"/>
        <w:rPr>
          <w:rFonts w:ascii="Arial" w:cs="Arial" w:eastAsia="Arial" w:hAnsi="Arial"/>
          <w:sz w:val="18"/>
          <w:szCs w:val="18"/>
          <w:i w:val="1"/>
          <w:iCs w:val="1"/>
          <w:color w:val="auto"/>
        </w:rPr>
      </w:pPr>
    </w:p>
    <w:p>
      <w:pPr>
        <w:jc w:val="both"/>
        <w:ind w:left="820" w:hanging="326"/>
        <w:spacing w:after="0" w:line="264" w:lineRule="auto"/>
        <w:tabs>
          <w:tab w:leader="none" w:pos="8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Increases the minimum termination fee payable under the Marketing Agreement to the greater of (1) $200.0 million or (2) four times (A) the average of the program earnings before interest or income taxes for the three trailing program years prior to the year of termination, minus (B) the 2015 program earnings before interest or income taxes.</w:t>
      </w:r>
    </w:p>
    <w:p>
      <w:pPr>
        <w:spacing w:after="0" w:line="100" w:lineRule="exact"/>
        <w:rPr>
          <w:rFonts w:ascii="Arial" w:cs="Arial" w:eastAsia="Arial" w:hAnsi="Arial"/>
          <w:sz w:val="18"/>
          <w:szCs w:val="18"/>
          <w:i w:val="1"/>
          <w:iCs w:val="1"/>
          <w:color w:val="auto"/>
        </w:rPr>
      </w:pPr>
    </w:p>
    <w:p>
      <w:pPr>
        <w:ind w:left="820" w:hanging="326"/>
        <w:spacing w:after="0"/>
        <w:tabs>
          <w:tab w:leader="none" w:pos="82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Amends Monsanto’s termination rights and provides additional rights to the Company in the event of a termination, as follows:</w:t>
      </w:r>
    </w:p>
    <w:p>
      <w:pPr>
        <w:spacing w:after="0" w:line="144" w:lineRule="exact"/>
        <w:rPr>
          <w:rFonts w:ascii="Arial" w:cs="Arial" w:eastAsia="Arial" w:hAnsi="Arial"/>
          <w:sz w:val="18"/>
          <w:szCs w:val="18"/>
          <w:i w:val="1"/>
          <w:iCs w:val="1"/>
          <w:color w:val="auto"/>
        </w:rPr>
      </w:pPr>
    </w:p>
    <w:p>
      <w:pPr>
        <w:jc w:val="both"/>
        <w:ind w:left="1300" w:hanging="320"/>
        <w:spacing w:after="0" w:line="226"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delays the effectiveness of a notice of termination given by Monsanto as a result of a change of control with respect to Monsanto or a sale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 third party from (1) the end of the later of 12 months or the next program year to (2) the end of the fifth full program year after Monsanto gives such notice;</w:t>
      </w:r>
    </w:p>
    <w:p>
      <w:pPr>
        <w:spacing w:after="0" w:line="122"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eliminates Monsanto’s termination rights for a regional performance default, a change of significant ownership of the Company or an uncured or incurable egregious injury (as each is defined in the Marketing Agreement); and</w:t>
      </w:r>
    </w:p>
    <w:p>
      <w:pPr>
        <w:spacing w:after="0" w:line="89"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eliminates Monsanto’s termination rights in connection with a change in control of the Company or Scotts Miracle-Gro as long as the Company has determined, in its reasonable commercial opinion, that the acquirer can and will fully perform the duties and obligations of the Company under the Marketing Agreement.</w:t>
      </w:r>
    </w:p>
    <w:p>
      <w:pPr>
        <w:spacing w:after="0" w:line="10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Expands the Company’s termination rights to include termination for a brand decline event (as defined in the Marketing Agreement Amendment) occurring before program year 2023.</w:t>
      </w:r>
    </w:p>
    <w:p>
      <w:pPr>
        <w:spacing w:after="0" w:line="89" w:lineRule="exact"/>
        <w:rPr>
          <w:rFonts w:ascii="Arial" w:cs="Arial" w:eastAsia="Arial" w:hAnsi="Arial"/>
          <w:sz w:val="18"/>
          <w:szCs w:val="18"/>
          <w:color w:val="auto"/>
        </w:rPr>
      </w:pPr>
    </w:p>
    <w:p>
      <w:pPr>
        <w:ind w:left="820" w:right="20" w:hanging="326"/>
        <w:spacing w:after="0" w:line="308" w:lineRule="auto"/>
        <w:tabs>
          <w:tab w:leader="none" w:pos="820" w:val="left"/>
        </w:tabs>
        <w:numPr>
          <w:ilvl w:val="0"/>
          <w:numId w:val="6"/>
        </w:numPr>
        <w:rPr>
          <w:rFonts w:ascii="Arial" w:cs="Arial" w:eastAsia="Arial" w:hAnsi="Arial"/>
          <w:sz w:val="17"/>
          <w:szCs w:val="17"/>
          <w:i w:val="1"/>
          <w:iCs w:val="1"/>
          <w:color w:val="auto"/>
        </w:rPr>
      </w:pPr>
      <w:r>
        <w:rPr>
          <w:rFonts w:ascii="Arial" w:cs="Arial" w:eastAsia="Arial" w:hAnsi="Arial"/>
          <w:sz w:val="17"/>
          <w:szCs w:val="17"/>
          <w:color w:val="auto"/>
        </w:rPr>
        <w:t>Expands the Company’s assignment rights to allow the Company to transfer its rights, interests and obligations under the Marketing Agreement with respect to (1) the North America territories and (2) one or more other included markets for up to three other assignments.</w:t>
      </w:r>
    </w:p>
    <w:p>
      <w:pPr>
        <w:spacing w:after="0" w:line="65" w:lineRule="exact"/>
        <w:rPr>
          <w:rFonts w:ascii="Arial" w:cs="Arial" w:eastAsia="Arial" w:hAnsi="Arial"/>
          <w:sz w:val="17"/>
          <w:szCs w:val="17"/>
          <w:i w:val="1"/>
          <w:iCs w:val="1"/>
          <w:color w:val="auto"/>
        </w:rPr>
      </w:pPr>
    </w:p>
    <w:p>
      <w:pPr>
        <w:jc w:val="both"/>
        <w:ind w:left="820" w:hanging="326"/>
        <w:spacing w:after="0" w:line="312" w:lineRule="auto"/>
        <w:tabs>
          <w:tab w:leader="none" w:pos="820" w:val="left"/>
        </w:tabs>
        <w:numPr>
          <w:ilvl w:val="0"/>
          <w:numId w:val="6"/>
        </w:numPr>
        <w:rPr>
          <w:rFonts w:ascii="Arial" w:cs="Arial" w:eastAsia="Arial" w:hAnsi="Arial"/>
          <w:sz w:val="16"/>
          <w:szCs w:val="16"/>
          <w:i w:val="1"/>
          <w:iCs w:val="1"/>
          <w:color w:val="auto"/>
        </w:rPr>
      </w:pPr>
      <w:r>
        <w:rPr>
          <w:rFonts w:ascii="Arial" w:cs="Arial" w:eastAsia="Arial" w:hAnsi="Arial"/>
          <w:sz w:val="16"/>
          <w:szCs w:val="16"/>
          <w:color w:val="auto"/>
        </w:rPr>
        <w:t>Amends the commission structure by (1) eliminating the commission threshold for program years 2016, 2017 and 2018, (2) setting the commission threshold for the subsequent program years at $40 million and (3) establishing the commission payable by Monsanto to the Company for each program year at an amount equal to 50% of the program earnings before interest and income taxes for such program year.</w:t>
      </w:r>
    </w:p>
    <w:p>
      <w:pPr>
        <w:spacing w:after="0" w:line="66" w:lineRule="exact"/>
        <w:rPr>
          <w:sz w:val="20"/>
          <w:szCs w:val="20"/>
          <w:color w:val="auto"/>
        </w:rPr>
      </w:pPr>
    </w:p>
    <w:p>
      <w:pPr>
        <w:jc w:val="both"/>
        <w:ind w:firstLine="405"/>
        <w:spacing w:after="0" w:line="224" w:lineRule="auto"/>
        <w:rPr>
          <w:sz w:val="20"/>
          <w:szCs w:val="20"/>
          <w:color w:val="auto"/>
        </w:rPr>
      </w:pPr>
      <w:r>
        <w:rPr>
          <w:rFonts w:ascii="Arial" w:cs="Arial" w:eastAsia="Arial" w:hAnsi="Arial"/>
          <w:sz w:val="18"/>
          <w:szCs w:val="18"/>
          <w:color w:val="auto"/>
        </w:rPr>
        <w:t>The Brand Extension Agreement provides the Company a worldwide, exclusive license to use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on additional products offered by the Company outside of the non-selective weed category within the residential lawn and garden market. The application of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to these additional products is subject to a product review and approval process developed between the Company and Monsanto. Monsanto will maintain oversight of its brand, the handling of brand registrations covering these new products and new territories, as well as primary responsibility for brand enforcement. The Brand Extension Agreement has an initial term of twenty years, which will automatically renew for additional successive twenty year terms, at the Company’s sole option, for no additional monetary consideration.</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Commercialization and Technology Agreement provides for the Company and Monsanto to further develop and commercialize new products and technology developed at Monsanto and intended for introduction into the residential lawn and garden market. Under the Commercialization and Technology Agreement, the Company receives an exclusive first look at new Monsanto technology and products and an annual review of Monsanto’s developing products and technologies. The Commercialization and Technology Agreement has a term of thirty years (subject to early termination upon a termination event under the Marketing Agreement or the Brand Extension Agreement).</w:t>
      </w:r>
    </w:p>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recorded the $300.0 million consideration paid by the Company to Monsanto in connection with the entry into the Marketing Agreement Amendment, the Brand Extension Agreement and the Commercialization and Technology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intangible assets and the related economic useful life of such assets is indefinite. The identifiable intangible assets include the Marketing Agreement Amendment and the Brand Extension Agreement with allocated fair value of $188.3 million and $111.7 million, respectively.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90"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17"/>
          <w:szCs w:val="17"/>
          <w:color w:val="auto"/>
        </w:rPr>
        <w:t>Under the terms of the Marketing Agreement, the Company performs certain functions, primarily manufacturing conversion services (in North America), distribution and logistics, and selling and marketing support, on behalf of Monsanto in the conduct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11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gross commission earned under the Marketing Agreement, the contribution payments to Monsanto and the amortization of the initial marketing fee paid to Monsanto in 1998 are included in the calculation of net sales in the Company’s Condensed Consolidated Statements of Operations. The elements of the net commission and reimbursements earned under the Marketing Agreement and included in “Net sales”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5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9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JULY 2,</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right"/>
              <w:ind w:right="319"/>
              <w:spacing w:after="0" w:line="153" w:lineRule="exact"/>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3"/>
          </w:tcPr>
          <w:p>
            <w:pPr>
              <w:jc w:val="right"/>
              <w:ind w:right="340"/>
              <w:spacing w:after="0" w:line="153" w:lineRule="exact"/>
              <w:rPr>
                <w:sz w:val="20"/>
                <w:szCs w:val="20"/>
                <w:color w:val="auto"/>
              </w:rPr>
            </w:pPr>
            <w:r>
              <w:rPr>
                <w:rFonts w:ascii="Arial" w:cs="Arial" w:eastAsia="Arial" w:hAnsi="Arial"/>
                <w:sz w:val="14"/>
                <w:szCs w:val="14"/>
                <w:b w:val="1"/>
                <w:bCs w:val="1"/>
                <w:color w:val="auto"/>
              </w:rPr>
              <w:t>JULY 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6"/>
          </w:tcPr>
          <w:p>
            <w:pPr>
              <w:ind w:left="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1"/>
              </w:rPr>
              <w:t>37.4</w:t>
            </w:r>
          </w:p>
        </w:tc>
        <w:tc>
          <w:tcPr>
            <w:tcW w:w="1020" w:type="dxa"/>
            <w:vAlign w:val="bottom"/>
            <w:tcBorders>
              <w:bottom w:val="single" w:sz="8" w:color="CCEEFF"/>
            </w:tcBorders>
            <w:gridSpan w:val="2"/>
            <w:shd w:val="clear" w:color="auto" w:fill="CCEEFF"/>
          </w:tcPr>
          <w:p>
            <w:pPr>
              <w:jc w:val="center"/>
              <w:ind w:right="5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1"/>
              </w:rPr>
              <w:t>42.2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color w:val="auto"/>
                <w:w w:val="91"/>
              </w:rPr>
              <w:t>37.0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1"/>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1"/>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780" w:type="dxa"/>
            <w:vAlign w:val="bottom"/>
            <w:tcBorders>
              <w:top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1"/>
              </w:rPr>
              <w:t>50.6</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center"/>
              <w:ind w:right="6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8"/>
                <w:szCs w:val="18"/>
                <w:color w:val="auto"/>
                <w:w w:val="91"/>
              </w:rPr>
              <w:t>53.2</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NOTE 8. DEBT</w:t>
            </w: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20" w:type="dxa"/>
            <w:vAlign w:val="bottom"/>
          </w:tcPr>
          <w:p>
            <w:pPr>
              <w:ind w:left="420"/>
              <w:spacing w:after="0"/>
              <w:rPr>
                <w:sz w:val="20"/>
                <w:szCs w:val="20"/>
                <w:color w:val="auto"/>
              </w:rPr>
            </w:pPr>
            <w:r>
              <w:rPr>
                <w:rFonts w:ascii="Arial" w:cs="Arial" w:eastAsia="Arial" w:hAnsi="Arial"/>
                <w:sz w:val="18"/>
                <w:szCs w:val="18"/>
                <w:color w:val="auto"/>
              </w:rPr>
              <w:t>The components of long-term debt are as follows: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center"/>
              <w:ind w:right="116"/>
              <w:spacing w:after="0"/>
              <w:rPr>
                <w:sz w:val="20"/>
                <w:szCs w:val="20"/>
                <w:color w:val="auto"/>
              </w:rPr>
            </w:pPr>
            <w:r>
              <w:rPr>
                <w:rFonts w:ascii="Arial" w:cs="Arial" w:eastAsia="Arial" w:hAnsi="Arial"/>
                <w:sz w:val="14"/>
                <w:szCs w:val="14"/>
                <w:b w:val="1"/>
                <w:bCs w:val="1"/>
                <w:color w:val="auto"/>
                <w:w w:val="97"/>
              </w:rPr>
              <w:t>JULY 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24"/>
                <w:szCs w:val="24"/>
                <w:color w:val="auto"/>
              </w:rPr>
            </w:pPr>
          </w:p>
        </w:tc>
        <w:tc>
          <w:tcPr>
            <w:tcW w:w="148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51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Revolving loans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404.9</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loans</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 6.625%</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6.000%</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36"/>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1,512.8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1,048.9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382.5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8"/>
                <w:szCs w:val="18"/>
                <w:color w:val="auto"/>
              </w:rPr>
              <w:t>1,130.3</w:t>
            </w:r>
          </w:p>
        </w:tc>
        <w:tc>
          <w:tcPr>
            <w:tcW w:w="100" w:type="dxa"/>
            <w:vAlign w:val="bottom"/>
          </w:tcPr>
          <w:p>
            <w:pPr>
              <w:spacing w:after="0"/>
              <w:rPr>
                <w:sz w:val="20"/>
                <w:szCs w:val="20"/>
                <w:color w:val="auto"/>
              </w:rPr>
            </w:pPr>
          </w:p>
        </w:tc>
        <w:tc>
          <w:tcPr>
            <w:tcW w:w="3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734.9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December 20, 2013, the Company entered into the third amended and restated credit agreement, providing the Company and certain of its subsidiaries with a five-year senior secured revolving loan facility in the aggregate principal amount of up to $1.7 billion (the “former credit facility”). On October 29, 2015, the Company entered into the fourth amended and restated credit agreement (the “new credit agreement”), providing the Company and certain of its subsidiaries with five-year senior secured loan facilities in the aggregate principal amount of $1.9 billion, comprised of a revolving credit facility of $1.6 billion and a term loan in the original principal amount of $300.0 million (the “new credit facilities”). The new credit agreement also provides the Company with the right to seek additional committed credit under the agreement in an aggregate amount of up to $500.0 million plus an unlimited additional amount, subject to certain specified financial and other conditions. Under the new credit agreement,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Company has the ability to obtain letters of credit up to $100.0 million. The new credit agreement replaces the former credit facility, and will terminate on October 29, 2020. Borrowings on the revolving credit facility may be made in various currencies, including U.S. dollars, euro, British pounds, Australian dollars and Canadian dollars. The terms of the new credit agreement include customary representations and warranties, affirmative and negative covenants, financial covenants, and events of default. The proceeds of borrowings on the new credit facilities may be used: (i) to finance working capital requirements and other general corporate purposes of the Company and its subsidiaries; and (ii) to refinance the amounts outstanding under the former credit facility.</w:t>
      </w:r>
    </w:p>
    <w:p>
      <w:pPr>
        <w:spacing w:after="0" w:line="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terms of the new credit agreement, loans bear interest, at the Company’s election, at a rate per annum equal to either the ABR or Adjusted LIBO Rate (both as defined in the new credit agreement) plus the applicable margin. The new credit facilities are guaranteed by substantially all of the Company’s domestic subsidiaries, and are secured by (i) a perfected first priority security interest in all of the accounts receivable, inventory and equipment of the Company and the Company’s domestic subsidiaries that are guarantors and (ii) the pledge of all of the capital stock of the Company’s domestic subsidiaries that are guarantors.</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July 2, 2016, the Company had letters of credit outstanding in the aggregate principal amount of $26.8 million, and $1.1 billion of availability under the new credit agreement, subject to the Company’s continued compliance with the covenants discussed below. The weighted average interest rates on average borrowings under the new credit agreement and the former credit facility were 3.9% and 4.1% for the nine months ended July 2, 2016 and June 27, 2015, respectively.</w:t>
      </w:r>
    </w:p>
    <w:p>
      <w:pPr>
        <w:spacing w:after="0" w:line="10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new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new credit agreement (“Adjusted EBITDA”). The maximum leverage ratio was 4.50 as of July 2, 2016. The Company’s leverage ratio was 2.96 at July 2, 2016. The new credit agreement also includes an affirmative covenant regarding its interest coverage ratio. The interest coverage ratio is calculated as Adjusted EBITDA divided by interest expense, as described in the new credit agreement, and excludes costs related to refinancings. The minimum interest coverage ratio was 3.00 for the twelve months ended July 2, 2016. The Company’s interest coverage ratio was 8.22 for the twelve months ended July 2, 2016. The new credit agreement allows the Company to make unlimited restricted payments (as defined in the new credit agreement), including increased or one-time dividend payments and Common Share repurchases, as long as the leverage ratio resulting from the making of such restricted payments is 4.00 or less. Otherwise the Company may only make restricted payments in an aggregate amount for each fiscal year not to exceed the amount set forth in the new credit agreement for such fiscal year ($175.0 million for 2016 and 2017 and $200.0 million for 2018 and each fiscal year thereafter).</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- 6.625%</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December 15, 2015, Scotts Miracle-Gro redeemed all $200.0 million aggregate principal amount of its outstanding 6.625% senior notes due 2020 (the “6.625% Senior Notes”) paying a redemption price of $213.2 million, comprised of $6.6 million of accrued and unpaid interest, $6.6 million of call premium and $200.0 million for outstanding principal amount. The $6.6 million call premium charge was recognized within the “Costs related to refinancing” line on the Condensed Consolidated Statement of Operations in the first quarter of fiscal 2016. Additionally, the Company had $2.2 million in unamortized bond discount and issuance costs associated with the 6.625% Senior Notes that were written off and recognized in the “Costs related to refinancing” line on the Condensed Consolidated Statement of Operations in the first quarter of fiscal 2016.</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 - 6.000%</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October 13, 2015, Scotts Miracle-Gro issued $400.0 million aggregate principal amount of 6.000% senior notes due 2023 (the “6.000% Senior Notes”). The net proceeds of the offering were used to repay outstanding borrowings under the former credit facility. The 6.000% Senior Notes represent general unsecured senior obligations and rank equal in right of payment with the Company’s existing and future unsecured senior debt. The 6.000% Senior Notes have interest payment dates of April 15 and October 15 of each year. The 6.000% Senior Notes may be redeemed, in whole or in part, on or after October 15, 2018 at applicable redemption premiums. The 6.000% Senior Notes contain customary covenants and events of default and mature on October 15, 2023. Substantially all of Scotts Miracle-Gro’s domestic subsidiaries serve as guarantors of the 6.000% Senior Notes.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maintains a Master Accounts Receivable Purchase Agreement (“MARP Agreement”), which provides for the discretionary sale by the Company, and the discretionary purchase (outside of the commitment period specified in the MARP Agreement) by the participating banks, on a revolving basis, of accounts receivable generated by sales to three specified account debtors in an aggregate amount not to exceed $400.0 million. The MARP Agreement is subject to renewal by mutual agreement at least annually.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March 23, 2016, Scotts Miracle-Gro and Scotts LLC entered into a Waiver and First Amendment to the MARP Agreement that amends the MARP Agreement in the following significant respects: (1) includes subsidiaries and affiliates of the approved debtors in the definition of approved debtors; (2) requires Scotts LLC to repurchase all receivables (including any defaulted receivables) from the banks on each settlement date; and (3) provides the administrative agent and the banks with full recourse to Scotts LLC in case of non-payment of any purchased receivable on the maturity date thereof, regardless of the reason for such non-payment. Under the terms of the amended MARP Agreement, the banks have the opportunity to purchase those accounts receivable offered by the Company at a discount (from the agreed base value thereof) effectively equal to the one-week LIBO rate plus 0.95%.</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accounts for the sale of receivables under the MARP Agreement (as amended) as short-term debt and continues to carry the receivables on its Condensed Consolidated Balance Sheet, primarily as a result of the Company’s requirement to repurchase receivables sold. There were $348.0 million and $301.1 million in borrowings or receivables pledged as collateral under the MARP Agreement as of July 2, 2016 and June 27, 2015, respectively. The carrying value of the receivables pledged as collateral was $435.1 million as of July 2, 2016 and $376.4 million as of June 27, 2015. As of July 2, 2016, there was $26.7 million of availability under the MARP Agreement.</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connection with the acquisition of a controlling interest in Gavita, the Company recorded a loan with interest payable based on the annual profits of Gavita from the noncontrolling ownership group. The loan has been recorded at fair value, with changes in fair value recognized in the “Other income (loss), net” line in the Condensed Consolidated Statements of Operations. The preliminary valuation of the loan was $37.7 million at July 2, 2016.</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has outstanding interest rate swap agreements with major financial institutions that effectively convert a portion of the Company’s variable-rate debt to a fixed rate. The swap agreements had a total U.S. dollar equivalent notional amount of $650.0 million at July 2, 2016 and $1,300.0 million at June 27, 2015 and September 30, 2015.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160" w:type="dxa"/>
            <w:vAlign w:val="bottom"/>
          </w:tcPr>
          <w:p>
            <w:pPr>
              <w:jc w:val="right"/>
              <w:ind w:right="695"/>
              <w:spacing w:after="0"/>
              <w:rPr>
                <w:sz w:val="20"/>
                <w:szCs w:val="20"/>
                <w:color w:val="auto"/>
              </w:rPr>
            </w:pPr>
            <w:r>
              <w:rPr>
                <w:rFonts w:ascii="Arial" w:cs="Arial" w:eastAsia="Arial" w:hAnsi="Arial"/>
                <w:sz w:val="14"/>
                <w:szCs w:val="14"/>
                <w:b w:val="1"/>
                <w:bCs w:val="1"/>
                <w:color w:val="auto"/>
              </w:rPr>
              <w:t>Notional Amount</w:t>
            </w:r>
          </w:p>
        </w:tc>
        <w:tc>
          <w:tcPr>
            <w:tcW w:w="340" w:type="dxa"/>
            <w:vAlign w:val="bottom"/>
          </w:tcPr>
          <w:p>
            <w:pPr>
              <w:spacing w:after="0"/>
              <w:rPr>
                <w:sz w:val="14"/>
                <w:szCs w:val="14"/>
                <w:color w:val="auto"/>
              </w:rPr>
            </w:pPr>
          </w:p>
        </w:tc>
        <w:tc>
          <w:tcPr>
            <w:tcW w:w="1740" w:type="dxa"/>
            <w:vAlign w:val="bottom"/>
          </w:tcPr>
          <w:p>
            <w:pPr>
              <w:jc w:val="center"/>
              <w:ind w:left="888"/>
              <w:spacing w:after="0"/>
              <w:rPr>
                <w:sz w:val="20"/>
                <w:szCs w:val="20"/>
                <w:color w:val="auto"/>
              </w:rPr>
            </w:pPr>
            <w:r>
              <w:rPr>
                <w:rFonts w:ascii="Arial" w:cs="Arial" w:eastAsia="Arial" w:hAnsi="Arial"/>
                <w:sz w:val="14"/>
                <w:szCs w:val="14"/>
                <w:b w:val="1"/>
                <w:bCs w:val="1"/>
                <w:color w:val="auto"/>
                <w:w w:val="92"/>
              </w:rPr>
              <w:t>Effective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2"/>
          </w:tcPr>
          <w:p>
            <w:pPr>
              <w:ind w:left="1020"/>
              <w:spacing w:after="0"/>
              <w:rPr>
                <w:sz w:val="20"/>
                <w:szCs w:val="20"/>
                <w:color w:val="auto"/>
              </w:rPr>
            </w:pPr>
            <w:r>
              <w:rPr>
                <w:rFonts w:ascii="Arial" w:cs="Arial" w:eastAsia="Arial" w:hAnsi="Arial"/>
                <w:sz w:val="14"/>
                <w:szCs w:val="14"/>
                <w:b w:val="1"/>
                <w:bCs w:val="1"/>
                <w:color w:val="auto"/>
              </w:rPr>
              <w:t>Expiration</w:t>
            </w:r>
          </w:p>
        </w:tc>
        <w:tc>
          <w:tcPr>
            <w:tcW w:w="2800" w:type="dxa"/>
            <w:vAlign w:val="bottom"/>
          </w:tcPr>
          <w:p>
            <w:pPr>
              <w:jc w:val="right"/>
              <w:ind w:right="1155"/>
              <w:spacing w:after="0"/>
              <w:rPr>
                <w:sz w:val="20"/>
                <w:szCs w:val="20"/>
                <w:color w:val="auto"/>
              </w:rPr>
            </w:pPr>
            <w:r>
              <w:rPr>
                <w:rFonts w:ascii="Arial" w:cs="Arial" w:eastAsia="Arial" w:hAnsi="Arial"/>
                <w:sz w:val="14"/>
                <w:szCs w:val="14"/>
                <w:b w:val="1"/>
                <w:bCs w:val="1"/>
                <w:color w:val="auto"/>
              </w:rPr>
              <w:t>Fixed</w:t>
            </w:r>
          </w:p>
        </w:tc>
      </w:tr>
      <w:tr>
        <w:trPr>
          <w:trHeight w:val="192"/>
        </w:trPr>
        <w:tc>
          <w:tcPr>
            <w:tcW w:w="4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ind w:left="888"/>
              <w:spacing w:after="0"/>
              <w:rPr>
                <w:sz w:val="20"/>
                <w:szCs w:val="20"/>
                <w:color w:val="auto"/>
              </w:rPr>
            </w:pPr>
            <w:r>
              <w:rPr>
                <w:rFonts w:ascii="Arial" w:cs="Arial" w:eastAsia="Arial" w:hAnsi="Arial"/>
                <w:sz w:val="14"/>
                <w:szCs w:val="14"/>
                <w:b w:val="1"/>
                <w:bCs w:val="1"/>
                <w:color w:val="auto"/>
                <w:w w:val="97"/>
              </w:rPr>
              <w:t>Date (a)</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right"/>
              <w:ind w:right="1135"/>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tcPr>
          <w:p>
            <w:pPr>
              <w:jc w:val="right"/>
              <w:ind w:right="1175"/>
              <w:spacing w:after="0"/>
              <w:rPr>
                <w:sz w:val="20"/>
                <w:szCs w:val="20"/>
                <w:color w:val="auto"/>
              </w:rPr>
            </w:pPr>
            <w:r>
              <w:rPr>
                <w:rFonts w:ascii="Arial" w:cs="Arial" w:eastAsia="Arial" w:hAnsi="Arial"/>
                <w:sz w:val="14"/>
                <w:szCs w:val="14"/>
                <w:b w:val="1"/>
                <w:bCs w:val="1"/>
                <w:color w:val="auto"/>
              </w:rPr>
              <w:t>Rate</w:t>
            </w:r>
          </w:p>
        </w:tc>
      </w:tr>
      <w:tr>
        <w:trPr>
          <w:trHeight w:val="250"/>
        </w:trPr>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9/6/2017</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5"/>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2/7/2014</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11/7/2017</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w:t>
            </w:r>
          </w:p>
        </w:tc>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460" w:type="dxa"/>
            <w:vAlign w:val="bottom"/>
          </w:tcPr>
          <w:p>
            <w:pPr>
              <w:spacing w:after="0"/>
              <w:rPr>
                <w:sz w:val="21"/>
                <w:szCs w:val="21"/>
                <w:color w:val="auto"/>
              </w:rPr>
            </w:pPr>
          </w:p>
        </w:tc>
        <w:tc>
          <w:tcPr>
            <w:tcW w:w="2160" w:type="dxa"/>
            <w:vAlign w:val="bottom"/>
          </w:tcPr>
          <w:p>
            <w:pPr>
              <w:jc w:val="right"/>
              <w:ind w:right="35"/>
              <w:spacing w:after="0"/>
              <w:rPr>
                <w:sz w:val="20"/>
                <w:szCs w:val="20"/>
                <w:color w:val="auto"/>
              </w:rPr>
            </w:pPr>
            <w:r>
              <w:rPr>
                <w:rFonts w:ascii="Arial" w:cs="Arial" w:eastAsia="Arial" w:hAnsi="Arial"/>
                <w:sz w:val="18"/>
                <w:szCs w:val="18"/>
                <w:color w:val="auto"/>
              </w:rPr>
              <w:t>50</w:t>
            </w:r>
          </w:p>
        </w:tc>
        <w:tc>
          <w:tcPr>
            <w:tcW w:w="2080" w:type="dxa"/>
            <w:vAlign w:val="bottom"/>
            <w:gridSpan w:val="2"/>
          </w:tcPr>
          <w:p>
            <w:pPr>
              <w:ind w:left="20"/>
              <w:spacing w:after="0"/>
              <w:rPr>
                <w:sz w:val="20"/>
                <w:szCs w:val="20"/>
                <w:color w:val="auto"/>
              </w:rPr>
            </w:pPr>
            <w:r>
              <w:rPr>
                <w:rFonts w:ascii="Arial" w:cs="Arial" w:eastAsia="Arial" w:hAnsi="Arial"/>
                <w:sz w:val="13"/>
                <w:szCs w:val="13"/>
                <w:color w:val="auto"/>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2/7/2017</w:t>
            </w:r>
          </w:p>
        </w:tc>
        <w:tc>
          <w:tcPr>
            <w:tcW w:w="1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5/7/2019</w:t>
            </w:r>
          </w:p>
        </w:tc>
        <w:tc>
          <w:tcPr>
            <w:tcW w:w="12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43"/>
        </w:trPr>
        <w:tc>
          <w:tcPr>
            <w:tcW w:w="460" w:type="dxa"/>
            <w:vAlign w:val="bottom"/>
            <w:shd w:val="clear" w:color="auto" w:fill="CCEEFF"/>
          </w:tcPr>
          <w:p>
            <w:pPr>
              <w:spacing w:after="0"/>
              <w:rPr>
                <w:sz w:val="21"/>
                <w:szCs w:val="21"/>
                <w:color w:val="auto"/>
              </w:rPr>
            </w:pPr>
          </w:p>
        </w:tc>
        <w:tc>
          <w:tcPr>
            <w:tcW w:w="2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2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12/20/2016</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6/20/2019</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4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34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5"/>
          <w:szCs w:val="15"/>
          <w:color w:val="auto"/>
        </w:rPr>
      </w:pPr>
    </w:p>
    <w:p>
      <w:pPr>
        <w:ind w:left="660" w:hanging="652"/>
        <w:spacing w:after="0"/>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interest rate currently available to the Company fluctuates with the applicable LIBO rate, prime rate or Federal Funds Effective Rate and thus the carrying value is a reasonable estimate of fair value. The fair value measurement for the new credit facilities was classified in Level 2 of the fair value hierarchy.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6.000% Senior Notes can be determined based on the trading of the 6.000% Senior Notes in the open market. The difference between the carrying value and the fair value of the 6.000% Senior Notes represents the premium or discount on that date. Based on the trading value on or around July 2, 2016, the fair value of the 6.000% Senior Notes was approximately $424.0 million. The fair value measurement for the 6.000%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 rate and thus the carrying value is a reasonable estimate of fair value. The fair value measurement for the MARP Agreement was classified in Level 2 of the fair value hierarchy.</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weighted average interest rates on the Company’s debt were 4.3% and 4.2% for the nine months ended July 2, 2016 and June 27, 2015,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the weighted average interest rate is due to the higher proportion of long-term fixed-rate borrowing in the Company’s debt mix in fiscal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AND RETIREE MEDICAL PLANS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summarizes the components of net periodic benefit cost for the retirement and retiree medical plans sponsored by the Company: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JULY 2, 2016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JUNE 27, 2015</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0.3</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JULY 2, 2016</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JUNE 27, 2015</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1.0</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9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11, 2014, the Company announced that the Scotts Miracle-Gro Board of Directors approved a share repurchase authorization effective November 1, 2014, which will expire on September 30, 2019, to repurchase up to $500.0 million of Common Shares. On August 3, 2016, the Company announced that the Scotts Miracle-Gro Board of Directors approved a $500.0 million increase to the current share repurchase authorization. The amended authorization allows for repurchases of Common Shares of $1.0 billion through September 30, 2019. During the three and nine months ended July 2, 2016, Scotts Miracle-Gro repurchased 0.5 million and 1.2 million of its Common Shares for $38.4 million and $81.2 million, respectively. From the inception of this share repurchase program in the fourth quarter of fiscal 2014 through July 2, 2016, Scotts Miracle-Gro has repurchased approximately 1.4 million Common Shares for $96.0 million.</w:t>
      </w:r>
    </w:p>
    <w:p>
      <w:pPr>
        <w:spacing w:after="0" w:line="1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August 3, 2016, the Company announced that the Scotts Miracle-Gro Board of Directors approved an increase in the quarterly cash dividend from $0.47 to $0.50 per Common 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shareholders’ equity attributable to controlling interest, and equity attributable to noncontrolling interests for the nine months ended July 2, 2016 and June 27, 2015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30, 2014</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36" w:lineRule="exact"/>
        <w:rPr>
          <w:sz w:val="20"/>
          <w:szCs w:val="20"/>
          <w:color w:val="auto"/>
        </w:rPr>
      </w:pPr>
    </w:p>
    <w:p>
      <w:pPr>
        <w:ind w:left="40"/>
        <w:spacing w:after="0" w:line="382" w:lineRule="auto"/>
        <w:rPr>
          <w:sz w:val="20"/>
          <w:szCs w:val="20"/>
          <w:color w:val="auto"/>
        </w:rPr>
      </w:pPr>
      <w:r>
        <w:rPr>
          <w:rFonts w:ascii="Arial" w:cs="Arial" w:eastAsia="Arial" w:hAnsi="Arial"/>
          <w:sz w:val="14"/>
          <w:szCs w:val="14"/>
          <w:color w:val="auto"/>
        </w:rPr>
        <w:t>Dividends declared ($1.3500 per share) Treasury share purchases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Treasury share issuances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June 27, 2015</w:t>
      </w:r>
    </w:p>
    <w:p>
      <w:pPr>
        <w:spacing w:after="0" w:line="200" w:lineRule="exact"/>
        <w:rPr>
          <w:sz w:val="20"/>
          <w:szCs w:val="20"/>
          <w:color w:val="auto"/>
        </w:r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September 30, 2015</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Dividends declared ($1.4100 per share)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Treasury share purchases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Treasury share issuances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at July 2, 2016</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Total Shareholders’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35"/>
        </w:trPr>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74"/>
        </w:trPr>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280" w:type="dxa"/>
            <w:vAlign w:val="bottom"/>
            <w:gridSpan w:val="3"/>
          </w:tcPr>
          <w:p>
            <w:pPr>
              <w:ind w:left="80"/>
              <w:spacing w:after="0"/>
              <w:rPr>
                <w:sz w:val="20"/>
                <w:szCs w:val="20"/>
                <w:color w:val="auto"/>
              </w:rPr>
            </w:pPr>
            <w:r>
              <w:rPr>
                <w:rFonts w:ascii="Arial" w:cs="Arial" w:eastAsia="Arial" w:hAnsi="Arial"/>
                <w:sz w:val="13"/>
                <w:szCs w:val="13"/>
                <w:b w:val="1"/>
                <w:bCs w:val="1"/>
                <w:color w:val="auto"/>
              </w:rPr>
              <w:t>Retained Earnings</w:t>
            </w:r>
          </w:p>
        </w:tc>
        <w:tc>
          <w:tcPr>
            <w:tcW w:w="12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rPr>
              <w:t>Treasury 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5"/>
                <w:szCs w:val="15"/>
                <w:color w:val="auto"/>
              </w:rPr>
            </w:pPr>
          </w:p>
        </w:tc>
        <w:tc>
          <w:tcPr>
            <w:tcW w:w="960" w:type="dxa"/>
            <w:vAlign w:val="bottom"/>
          </w:tcPr>
          <w:p>
            <w:pPr>
              <w:jc w:val="right"/>
              <w:ind w:right="149"/>
              <w:spacing w:after="0"/>
              <w:rPr>
                <w:sz w:val="20"/>
                <w:szCs w:val="20"/>
                <w:color w:val="auto"/>
              </w:rPr>
            </w:pPr>
            <w:r>
              <w:rPr>
                <w:rFonts w:ascii="Arial" w:cs="Arial" w:eastAsia="Arial" w:hAnsi="Arial"/>
                <w:sz w:val="13"/>
                <w:szCs w:val="13"/>
                <w:b w:val="1"/>
                <w:bCs w:val="1"/>
                <w:color w:val="auto"/>
                <w:w w:val="96"/>
              </w:rPr>
              <w:t>Total Equity</w:t>
            </w:r>
          </w:p>
        </w:tc>
      </w:tr>
      <w:tr>
        <w:trPr>
          <w:trHeight w:val="245"/>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395.3</w:t>
            </w:r>
          </w:p>
        </w:tc>
        <w:tc>
          <w:tcPr>
            <w:tcW w:w="120" w:type="dxa"/>
            <w:vAlign w:val="bottom"/>
          </w:tcPr>
          <w:p>
            <w:pPr>
              <w:spacing w:after="0"/>
              <w:rPr>
                <w:sz w:val="21"/>
                <w:szCs w:val="21"/>
                <w:color w:val="auto"/>
              </w:rPr>
            </w:pPr>
          </w:p>
        </w:tc>
        <w:tc>
          <w:tcPr>
            <w:tcW w:w="400" w:type="dxa"/>
            <w:vAlign w:val="bottom"/>
            <w:tcBorders>
              <w:top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636.9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(392.3)</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553.7</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567.2</w:t>
            </w:r>
          </w:p>
        </w:tc>
      </w:tr>
      <w:tr>
        <w:trPr>
          <w:trHeight w:val="270"/>
        </w:trPr>
        <w:tc>
          <w:tcPr>
            <w:tcW w:w="1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183.4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183.3</w:t>
            </w:r>
          </w:p>
        </w:tc>
      </w:tr>
      <w:tr>
        <w:trPr>
          <w:trHeight w:val="270"/>
        </w:trPr>
        <w:tc>
          <w:tcPr>
            <w:tcW w:w="1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70"/>
        </w:trPr>
        <w:tc>
          <w:tcPr>
            <w:tcW w:w="1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15.7</w:t>
            </w:r>
          </w:p>
        </w:tc>
      </w:tr>
      <w:tr>
        <w:trPr>
          <w:trHeight w:val="270"/>
        </w:trPr>
        <w:tc>
          <w:tcPr>
            <w:tcW w:w="1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(83.2)</w:t>
            </w:r>
          </w:p>
        </w:tc>
      </w:tr>
      <w:tr>
        <w:trPr>
          <w:trHeight w:val="270"/>
        </w:trPr>
        <w:tc>
          <w:tcPr>
            <w:tcW w:w="1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76"/>
        </w:trPr>
        <w:tc>
          <w:tcPr>
            <w:tcW w:w="1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30.5</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403.9</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737.1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(369.5)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680.0</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693.4</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42"/>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400.4</w:t>
            </w:r>
          </w:p>
        </w:tc>
        <w:tc>
          <w:tcPr>
            <w:tcW w:w="120" w:type="dxa"/>
            <w:vAlign w:val="bottom"/>
          </w:tcPr>
          <w:p>
            <w:pPr>
              <w:spacing w:after="0"/>
              <w:rPr>
                <w:sz w:val="24"/>
                <w:szCs w:val="24"/>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684.2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(357.1)</w:t>
            </w:r>
          </w:p>
        </w:tc>
        <w:tc>
          <w:tcPr>
            <w:tcW w:w="12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620.7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633.1</w:t>
            </w:r>
          </w:p>
        </w:tc>
      </w:tr>
      <w:tr>
        <w:trPr>
          <w:trHeight w:val="270"/>
        </w:trPr>
        <w:tc>
          <w:tcPr>
            <w:tcW w:w="1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341.9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341.9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341.7</w:t>
            </w:r>
          </w:p>
        </w:tc>
      </w:tr>
      <w:tr>
        <w:trPr>
          <w:trHeight w:val="270"/>
        </w:trPr>
        <w:tc>
          <w:tcPr>
            <w:tcW w:w="1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70"/>
        </w:trPr>
        <w:tc>
          <w:tcPr>
            <w:tcW w:w="120" w:type="dxa"/>
            <w:vAlign w:val="bottom"/>
          </w:tcPr>
          <w:p>
            <w:pPr>
              <w:spacing w:after="0"/>
              <w:rPr>
                <w:sz w:val="23"/>
                <w:szCs w:val="23"/>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13.9</w:t>
            </w:r>
          </w:p>
        </w:tc>
      </w:tr>
      <w:tr>
        <w:trPr>
          <w:trHeight w:val="270"/>
        </w:trPr>
        <w:tc>
          <w:tcPr>
            <w:tcW w:w="1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(87.5)</w:t>
            </w:r>
          </w:p>
        </w:tc>
      </w:tr>
      <w:tr>
        <w:trPr>
          <w:trHeight w:val="270"/>
        </w:trPr>
        <w:tc>
          <w:tcPr>
            <w:tcW w:w="120" w:type="dxa"/>
            <w:vAlign w:val="bottom"/>
          </w:tcPr>
          <w:p>
            <w:pPr>
              <w:spacing w:after="0"/>
              <w:rPr>
                <w:sz w:val="23"/>
                <w:szCs w:val="2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(81.2)</w:t>
            </w:r>
          </w:p>
        </w:tc>
      </w:tr>
      <w:tr>
        <w:trPr>
          <w:trHeight w:val="270"/>
        </w:trPr>
        <w:tc>
          <w:tcPr>
            <w:tcW w:w="1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15.8</w:t>
            </w:r>
          </w:p>
        </w:tc>
      </w:tr>
      <w:tr>
        <w:trPr>
          <w:trHeight w:val="276"/>
        </w:trPr>
        <w:tc>
          <w:tcPr>
            <w:tcW w:w="12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7.1</w:t>
            </w:r>
          </w:p>
        </w:tc>
      </w:tr>
      <w:tr>
        <w:trPr>
          <w:trHeight w:val="237"/>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401.1</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938.6</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(409.3)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812.9</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832.2</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-3138170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-2795270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-2451735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-2108835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-1765935</wp:posOffset>
            </wp:positionV>
            <wp:extent cx="724662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-1388745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-1045845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-702310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-359410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440"/>
            <w:col w:w="8680"/>
          </w:cols>
          <w:pgMar w:left="240" w:top="125" w:right="239" w:bottom="1440" w:gutter="0" w:footer="0" w:header="0"/>
          <w:type w:val="continuous"/>
        </w:sectPr>
      </w:pP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7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gridSpan w:val="3"/>
          </w:tcPr>
          <w:p>
            <w:pPr>
              <w:jc w:val="right"/>
              <w:ind w:right="408"/>
              <w:spacing w:after="0" w:line="153" w:lineRule="exact"/>
              <w:rPr>
                <w:sz w:val="20"/>
                <w:szCs w:val="20"/>
                <w:color w:val="auto"/>
              </w:rPr>
            </w:pPr>
            <w:r>
              <w:rPr>
                <w:rFonts w:ascii="Arial" w:cs="Arial" w:eastAsia="Arial" w:hAnsi="Arial"/>
                <w:sz w:val="14"/>
                <w:szCs w:val="14"/>
                <w:b w:val="1"/>
                <w:bCs w:val="1"/>
                <w:color w:val="auto"/>
                <w:w w:val="97"/>
              </w:rPr>
              <w:t>JULY 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w w:val="95"/>
              </w:rPr>
              <w:t>JUNE 27,</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444,890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440,690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74,422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78,463</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56,315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78,352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28,103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28,553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awards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603,730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626,058</w:t>
            </w:r>
          </w:p>
        </w:tc>
        <w:tc>
          <w:tcPr>
            <w:tcW w:w="0" w:type="dxa"/>
            <w:vAlign w:val="bottom"/>
          </w:tcPr>
          <w:p>
            <w:pPr>
              <w:spacing w:after="0"/>
              <w:rPr>
                <w:sz w:val="1"/>
                <w:szCs w:val="1"/>
                <w:color w:val="auto"/>
              </w:rPr>
            </w:pPr>
          </w:p>
        </w:tc>
      </w:tr>
      <w:tr>
        <w:trPr>
          <w:trHeight w:val="297"/>
        </w:trPr>
        <w:tc>
          <w:tcPr>
            <w:tcW w:w="6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324"/>
        </w:trPr>
        <w:tc>
          <w:tcPr>
            <w:tcW w:w="6960" w:type="dxa"/>
            <w:vAlign w:val="bottom"/>
            <w:gridSpan w:val="2"/>
          </w:tcPr>
          <w:p>
            <w:pPr>
              <w:ind w:left="420"/>
              <w:spacing w:after="0"/>
              <w:rPr>
                <w:sz w:val="20"/>
                <w:szCs w:val="20"/>
                <w:color w:val="auto"/>
              </w:rPr>
            </w:pPr>
            <w:r>
              <w:rPr>
                <w:rFonts w:ascii="Arial" w:cs="Arial" w:eastAsia="Arial" w:hAnsi="Arial"/>
                <w:sz w:val="18"/>
                <w:szCs w:val="18"/>
                <w:color w:val="auto"/>
                <w:w w:val="99"/>
              </w:rPr>
              <w:t>Total share-based compensation was as follows for each of the periods presented:</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60" w:type="dxa"/>
            <w:vAlign w:val="bottom"/>
          </w:tcPr>
          <w:p>
            <w:pPr>
              <w:spacing w:after="0"/>
              <w:rPr>
                <w:sz w:val="24"/>
                <w:szCs w:val="24"/>
                <w:color w:val="auto"/>
              </w:rPr>
            </w:pPr>
          </w:p>
        </w:tc>
        <w:tc>
          <w:tcPr>
            <w:tcW w:w="25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Borders>
              <w:bottom w:val="single" w:sz="8" w:color="auto"/>
            </w:tcBorders>
            <w:gridSpan w:val="6"/>
          </w:tcPr>
          <w:p>
            <w:pPr>
              <w:jc w:val="right"/>
              <w:ind w:right="41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900" w:type="dxa"/>
            <w:vAlign w:val="bottom"/>
          </w:tcPr>
          <w:p>
            <w:pPr>
              <w:ind w:left="360"/>
              <w:spacing w:after="0" w:line="153" w:lineRule="exact"/>
              <w:rPr>
                <w:sz w:val="20"/>
                <w:szCs w:val="20"/>
                <w:color w:val="auto"/>
              </w:rPr>
            </w:pPr>
            <w:r>
              <w:rPr>
                <w:rFonts w:ascii="Arial" w:cs="Arial" w:eastAsia="Arial" w:hAnsi="Arial"/>
                <w:sz w:val="14"/>
                <w:szCs w:val="14"/>
                <w:b w:val="1"/>
                <w:bCs w:val="1"/>
                <w:color w:val="auto"/>
              </w:rPr>
              <w:t>JULY 2,</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6"/>
              </w:rPr>
              <w:t>JUNE 27, 2015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tcPr>
          <w:p>
            <w:pPr>
              <w:jc w:val="right"/>
              <w:ind w:right="400"/>
              <w:spacing w:after="0" w:line="153" w:lineRule="exact"/>
              <w:rPr>
                <w:sz w:val="20"/>
                <w:szCs w:val="20"/>
                <w:color w:val="auto"/>
              </w:rPr>
            </w:pPr>
            <w:r>
              <w:rPr>
                <w:rFonts w:ascii="Arial" w:cs="Arial" w:eastAsia="Arial" w:hAnsi="Arial"/>
                <w:sz w:val="14"/>
                <w:szCs w:val="14"/>
                <w:b w:val="1"/>
                <w:bCs w:val="1"/>
                <w:color w:val="auto"/>
              </w:rPr>
              <w:t>JULY 2,</w:t>
            </w:r>
          </w:p>
        </w:tc>
        <w:tc>
          <w:tcPr>
            <w:tcW w:w="240" w:type="dxa"/>
            <w:vAlign w:val="bottom"/>
          </w:tcPr>
          <w:p>
            <w:pPr>
              <w:spacing w:after="0"/>
              <w:rPr>
                <w:sz w:val="13"/>
                <w:szCs w:val="13"/>
                <w:color w:val="auto"/>
              </w:rPr>
            </w:pPr>
          </w:p>
        </w:tc>
        <w:tc>
          <w:tcPr>
            <w:tcW w:w="11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6"/>
              </w:rPr>
              <w:t>JUNE 27, 2015</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0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90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w w:val="95"/>
              </w:rPr>
              <w:t>2.1</w:t>
            </w:r>
          </w:p>
        </w:tc>
        <w:tc>
          <w:tcPr>
            <w:tcW w:w="1000" w:type="dxa"/>
            <w:vAlign w:val="bottom"/>
            <w:tcBorders>
              <w:bottom w:val="single" w:sz="8" w:color="CCEEFF"/>
            </w:tcBorders>
            <w:gridSpan w:val="3"/>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13.7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9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0.9</w:t>
            </w:r>
          </w:p>
        </w:tc>
        <w:tc>
          <w:tcPr>
            <w:tcW w:w="240" w:type="dxa"/>
            <w:vAlign w:val="bottom"/>
          </w:tcPr>
          <w:p>
            <w:pPr>
              <w:spacing w:after="0"/>
              <w:rPr>
                <w:sz w:val="21"/>
                <w:szCs w:val="21"/>
                <w:color w:val="auto"/>
              </w:rPr>
            </w:pP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w w:val="95"/>
              </w:rPr>
              <w:t>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effective tax rate related to continuing operations for the nine months ended July 2, 2016 was 35.5%, compared to 35.0% for the nine months ended June 27, 2015. The effective tax rate used for interim reporting purposes is based on management’s best estimate of factors impacting the effective tax rate for the full fiscal year. There can be no assurance that the effective tax rate estimated for interim financial reporting purposes will approximate the effective tax rate determined at fiscal year end.</w:t>
      </w:r>
    </w:p>
    <w:p>
      <w:pPr>
        <w:spacing w:after="0" w:line="10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2013. The Company is currently under examination by the Internal Revenue Service and certain foreign and U.S. state and local tax authorities. The U.S. federal examination is limited to fiscal years 2011 and 2012. With respect to foreign jurisdictions, a German audit is currently ongoing covering fiscal years 2009 through 2012. In regard to the multiple U.S. state and local audits, the tax periods under examination are limited to fiscal years 2008 through 2014. In addition to the aforementioned audits, certain other tax deficiency notices and refund claims for previous years remain unresolved.</w:t>
      </w:r>
    </w:p>
    <w:p>
      <w:pPr>
        <w:spacing w:after="0" w:line="9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At July 2, 2016, $4.1 million was accrued in the “Other liabilities” line in the Condensed Consolidated Balance Sheets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and restitution), punitive and treble damages; injunctive and declaratory relief; pre-judgment and post-judgment interest; and costs and attorneys’ fees. The Company disputes the plaintiffs’ assertions and intends to vigorously defend the consolidated action. At this point in the proceedings, it is not currently possible to reasonably estimate a probable loss, if any, associated with the action and, accordingly, no reserves have been recorded in the Company’s condensed consolidated financial statements with respect to the action. There can be no assurance that this action, whether as a result of an adverse outcome or as a result of significant defense costs, will not have a material adverse effect on the Company’s financial condition, results of operations or cash flows.</w:t>
      </w:r>
    </w:p>
    <w:p>
      <w:pPr>
        <w:spacing w:after="0" w:line="11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with foreign subsidiaries that are denominated in local currencies. At July 2, 2016, the notional amount of outstanding currency forward contracts was $163.3 million, with a fair value of $0.5 million. At June 27, 2015, the notional amount of outstanding currency forward contracts was $65.2 million, with a fair value of $1.2 million. At September 30, 2015, the notional amount of outstanding currency forward contracts was $52.3 million, with a negative fair value of $0.7 million. The fair value of currency forward contracts is determined using forward rates in commonly quoted intervals for the full term of the contracts. The outstanding contracts will mature over the next fiscal year.</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total U.S. dollar equivalent notional amount of $650.0 million at July 2, 2016 and $1,300.0 million at June 27, 2015 and September 30, 2015. Refer to “NOTE 8. DEBT” for the terms of the swap agreements outstanding at July 2, 2016. Included in the AOCI balance at July 2, 2016 was a loss of $2.6 million related to interest rate swap agreements that is expected to be reclassified to earnings during the next twelve months, consistent with the timing of the underlying hedged transactions.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Condensed Consolidated Balance Sheets. Realized gains or losses remain as a component of AOCI until the related inventory is sold. Upon sale of the underlying inventory, the gain or loss is reclassified to cost of sales. Included in the AOCI balance at July 2, 2016 was a loss of $0.5 million related to urea derivatives that is expected to be reclassified to earnings during the next twelve months, consistent with the timing of the underlying hedged transactions.</w:t>
      </w:r>
    </w:p>
    <w:p>
      <w:pPr>
        <w:spacing w:after="0" w:line="8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also uses derivatives to partially mitigate the effect of fluctuating diesel costs on operating results. These financial instruments are carried at fair value within the Condensed Consolidated Balance Sheets. Changes in the fair value of derivative contracts that qualify for hedge accounting are recorded in AOCI except for any ineffective portion of the change in fair value, which is immediately recorded in earnings. The effective portion of the change in fair value remains as a component of AOCI until the related fuel is consumed, at which time the accumulated gain or loss on the derivative contract is reclassified to cost of sales. Changes in the fair value of derivatives that do not qualify for hedge accounting are recorded as an element of cost of sales. At July 2, 2016, there were no amounts included within AOCI.</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JULY 2, 2016</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JUNE 27, 2015</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SEPTEMBER 30, 2015</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34,500 tons</w:t>
            </w:r>
          </w:p>
        </w:tc>
        <w:tc>
          <w:tcPr>
            <w:tcW w:w="2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34,500 tons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52,500 tons</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Diesel</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5,670,000 gallons</w:t>
            </w: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3,738,000 gallons</w:t>
            </w:r>
          </w:p>
        </w:tc>
        <w:tc>
          <w:tcPr>
            <w:tcW w:w="2060" w:type="dxa"/>
            <w:vAlign w:val="bottom"/>
          </w:tcPr>
          <w:p>
            <w:pPr>
              <w:jc w:val="right"/>
              <w:spacing w:after="0"/>
              <w:rPr>
                <w:sz w:val="20"/>
                <w:szCs w:val="20"/>
                <w:color w:val="auto"/>
              </w:rPr>
            </w:pPr>
            <w:r>
              <w:rPr>
                <w:rFonts w:ascii="Arial" w:cs="Arial" w:eastAsia="Arial" w:hAnsi="Arial"/>
                <w:sz w:val="18"/>
                <w:szCs w:val="18"/>
                <w:color w:val="auto"/>
              </w:rPr>
              <w:t>5,250,000 gallons</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Heating Oil</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1,386,000 gallons</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3,318,000 gallons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2,772,000 gallons</w:t>
            </w: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2,</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JUNE 27,</w:t>
            </w:r>
          </w:p>
        </w:tc>
        <w:tc>
          <w:tcPr>
            <w:tcW w:w="140" w:type="dxa"/>
            <w:vAlign w:val="bottom"/>
          </w:tcPr>
          <w:p>
            <w:pPr>
              <w:spacing w:after="0"/>
              <w:rPr>
                <w:sz w:val="13"/>
                <w:szCs w:val="13"/>
                <w:color w:val="auto"/>
              </w:rPr>
            </w:pPr>
          </w:p>
        </w:tc>
        <w:tc>
          <w:tcPr>
            <w:tcW w:w="13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58"/>
        </w:trPr>
        <w:tc>
          <w:tcPr>
            <w:tcW w:w="3660" w:type="dxa"/>
            <w:vAlign w:val="bottom"/>
            <w:gridSpan w:val="2"/>
            <w:vMerge w:val="continue"/>
          </w:tcPr>
          <w:p>
            <w:pPr>
              <w:spacing w:after="0"/>
              <w:rPr>
                <w:sz w:val="5"/>
                <w:szCs w:val="5"/>
                <w:color w:val="auto"/>
              </w:rPr>
            </w:pPr>
          </w:p>
        </w:tc>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10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660" w:type="dxa"/>
            <w:vAlign w:val="bottom"/>
            <w:gridSpan w:val="2"/>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98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shd w:val="clear" w:color="auto" w:fill="CCEEFF"/>
          </w:tcPr>
          <w:p>
            <w:pPr>
              <w:spacing w:after="0"/>
              <w:rPr>
                <w:sz w:val="16"/>
                <w:szCs w:val="16"/>
                <w:color w:val="auto"/>
              </w:rPr>
            </w:pPr>
          </w:p>
        </w:tc>
        <w:tc>
          <w:tcPr>
            <w:tcW w:w="29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Currency forward contracts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Prepaid and other current assets</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Prepaid and other current assets</w:t>
            </w:r>
          </w:p>
        </w:tc>
        <w:tc>
          <w:tcPr>
            <w:tcW w:w="10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6760" w:type="dxa"/>
            <w:vAlign w:val="bottom"/>
            <w:gridSpan w:val="4"/>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10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derivatives</w:t>
            </w:r>
          </w:p>
        </w:tc>
        <w:tc>
          <w:tcPr>
            <w:tcW w:w="2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ind w:left="1960"/>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9"/>
          </w:tcPr>
          <w:p>
            <w:pPr>
              <w:jc w:val="center"/>
              <w:ind w:left="32"/>
              <w:spacing w:after="0"/>
              <w:rPr>
                <w:sz w:val="20"/>
                <w:szCs w:val="20"/>
                <w:color w:val="auto"/>
              </w:rPr>
            </w:pPr>
            <w:r>
              <w:rPr>
                <w:rFonts w:ascii="Arial" w:cs="Arial" w:eastAsia="Arial" w:hAnsi="Arial"/>
                <w:sz w:val="14"/>
                <w:szCs w:val="14"/>
                <w:b w:val="1"/>
                <w:bCs w:val="1"/>
                <w:color w:val="auto"/>
              </w:rPr>
              <w:t>AMOUNT OF GAIN / (LOSS) RECOGNIZED IN AOCI</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60" w:type="dxa"/>
            <w:vAlign w:val="bottom"/>
          </w:tcPr>
          <w:p>
            <w:pPr>
              <w:jc w:val="center"/>
              <w:ind w:left="301"/>
              <w:spacing w:after="0" w:line="153" w:lineRule="exact"/>
              <w:rPr>
                <w:sz w:val="20"/>
                <w:szCs w:val="20"/>
                <w:color w:val="auto"/>
              </w:rPr>
            </w:pPr>
            <w:r>
              <w:rPr>
                <w:rFonts w:ascii="Arial" w:cs="Arial" w:eastAsia="Arial" w:hAnsi="Arial"/>
                <w:sz w:val="14"/>
                <w:szCs w:val="14"/>
                <w:b w:val="1"/>
                <w:bCs w:val="1"/>
                <w:color w:val="auto"/>
                <w:w w:val="97"/>
              </w:rPr>
              <w:t>JULY 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left="280"/>
              <w:spacing w:after="0" w:line="153" w:lineRule="exact"/>
              <w:rPr>
                <w:sz w:val="20"/>
                <w:szCs w:val="20"/>
                <w:color w:val="auto"/>
              </w:rPr>
            </w:pPr>
            <w:r>
              <w:rPr>
                <w:rFonts w:ascii="Arial" w:cs="Arial" w:eastAsia="Arial" w:hAnsi="Arial"/>
                <w:sz w:val="14"/>
                <w:szCs w:val="14"/>
                <w:b w:val="1"/>
                <w:bCs w:val="1"/>
                <w:color w:val="auto"/>
                <w:w w:val="98"/>
              </w:rPr>
              <w:t>JUNE 27,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7"/>
              </w:rPr>
              <w:t>JULY 2,</w:t>
            </w:r>
          </w:p>
        </w:tc>
        <w:tc>
          <w:tcPr>
            <w:tcW w:w="300" w:type="dxa"/>
            <w:vAlign w:val="bottom"/>
          </w:tcPr>
          <w:p>
            <w:pPr>
              <w:spacing w:after="0"/>
              <w:rPr>
                <w:sz w:val="13"/>
                <w:szCs w:val="13"/>
                <w:color w:val="auto"/>
              </w:rPr>
            </w:pPr>
          </w:p>
        </w:tc>
        <w:tc>
          <w:tcPr>
            <w:tcW w:w="106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8"/>
              </w:rPr>
              <w:t>JUNE 27,</w:t>
            </w:r>
          </w:p>
        </w:tc>
        <w:tc>
          <w:tcPr>
            <w:tcW w:w="0" w:type="dxa"/>
            <w:vAlign w:val="bottom"/>
          </w:tcPr>
          <w:p>
            <w:pPr>
              <w:spacing w:after="0"/>
              <w:rPr>
                <w:sz w:val="1"/>
                <w:szCs w:val="1"/>
                <w:color w:val="auto"/>
              </w:rPr>
            </w:pPr>
          </w:p>
        </w:tc>
      </w:tr>
      <w:tr>
        <w:trPr>
          <w:trHeight w:val="192"/>
        </w:trPr>
        <w:tc>
          <w:tcPr>
            <w:tcW w:w="5620" w:type="dxa"/>
            <w:vAlign w:val="bottom"/>
            <w:gridSpan w:val="6"/>
            <w:vMerge w:val="continue"/>
          </w:tcPr>
          <w:p>
            <w:pPr>
              <w:spacing w:after="0"/>
              <w:rPr>
                <w:sz w:val="16"/>
                <w:szCs w:val="16"/>
                <w:color w:val="auto"/>
              </w:rPr>
            </w:pPr>
          </w:p>
        </w:tc>
        <w:tc>
          <w:tcPr>
            <w:tcW w:w="96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2016</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left="300"/>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center"/>
              <w:ind w:right="29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9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rPr>
              <w:t>AMOUNT OF GAIN / (LOSS)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RECLASSIFIED FROM</w:t>
            </w:r>
          </w:p>
        </w:tc>
        <w:tc>
          <w:tcPr>
            <w:tcW w:w="2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35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 HEDGING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AOCI INTO STATEMENT</w:t>
            </w:r>
          </w:p>
        </w:tc>
        <w:tc>
          <w:tcPr>
            <w:tcW w:w="960" w:type="dxa"/>
            <w:vAlign w:val="bottom"/>
          </w:tcPr>
          <w:p>
            <w:pPr>
              <w:jc w:val="center"/>
              <w:ind w:left="301"/>
              <w:spacing w:after="0" w:line="153" w:lineRule="exact"/>
              <w:rPr>
                <w:sz w:val="20"/>
                <w:szCs w:val="20"/>
                <w:color w:val="auto"/>
              </w:rPr>
            </w:pPr>
            <w:r>
              <w:rPr>
                <w:rFonts w:ascii="Arial" w:cs="Arial" w:eastAsia="Arial" w:hAnsi="Arial"/>
                <w:sz w:val="14"/>
                <w:szCs w:val="14"/>
                <w:b w:val="1"/>
                <w:bCs w:val="1"/>
                <w:color w:val="auto"/>
                <w:w w:val="97"/>
              </w:rPr>
              <w:t>JULY 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left="280"/>
              <w:spacing w:after="0" w:line="153" w:lineRule="exact"/>
              <w:rPr>
                <w:sz w:val="20"/>
                <w:szCs w:val="20"/>
                <w:color w:val="auto"/>
              </w:rPr>
            </w:pPr>
            <w:r>
              <w:rPr>
                <w:rFonts w:ascii="Arial" w:cs="Arial" w:eastAsia="Arial" w:hAnsi="Arial"/>
                <w:sz w:val="14"/>
                <w:szCs w:val="14"/>
                <w:b w:val="1"/>
                <w:bCs w:val="1"/>
                <w:color w:val="auto"/>
                <w:w w:val="98"/>
              </w:rPr>
              <w:t>JUNE 27,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7"/>
              </w:rPr>
              <w:t>JULY 2,</w:t>
            </w:r>
          </w:p>
        </w:tc>
        <w:tc>
          <w:tcPr>
            <w:tcW w:w="300" w:type="dxa"/>
            <w:vAlign w:val="bottom"/>
          </w:tcPr>
          <w:p>
            <w:pPr>
              <w:spacing w:after="0"/>
              <w:rPr>
                <w:sz w:val="13"/>
                <w:szCs w:val="13"/>
                <w:color w:val="auto"/>
              </w:rPr>
            </w:pPr>
          </w:p>
        </w:tc>
        <w:tc>
          <w:tcPr>
            <w:tcW w:w="106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8"/>
              </w:rPr>
              <w:t>JUNE 27,</w:t>
            </w:r>
          </w:p>
        </w:tc>
        <w:tc>
          <w:tcPr>
            <w:tcW w:w="0" w:type="dxa"/>
            <w:vAlign w:val="bottom"/>
          </w:tcPr>
          <w:p>
            <w:pPr>
              <w:spacing w:after="0"/>
              <w:rPr>
                <w:sz w:val="1"/>
                <w:szCs w:val="1"/>
                <w:color w:val="auto"/>
              </w:rPr>
            </w:pPr>
          </w:p>
        </w:tc>
      </w:tr>
      <w:tr>
        <w:trPr>
          <w:trHeight w:val="192"/>
        </w:trPr>
        <w:tc>
          <w:tcPr>
            <w:tcW w:w="3540" w:type="dxa"/>
            <w:vAlign w:val="bottom"/>
            <w:gridSpan w:val="2"/>
          </w:tcPr>
          <w:p>
            <w:pPr>
              <w:ind w:left="40"/>
              <w:spacing w:after="0"/>
              <w:rPr>
                <w:sz w:val="20"/>
                <w:szCs w:val="20"/>
                <w:color w:val="auto"/>
              </w:rPr>
            </w:pPr>
            <w:r>
              <w:rPr>
                <w:rFonts w:ascii="Arial" w:cs="Arial" w:eastAsia="Arial" w:hAnsi="Arial"/>
                <w:sz w:val="14"/>
                <w:szCs w:val="14"/>
                <w:b w:val="1"/>
                <w:bCs w:val="1"/>
                <w:color w:val="auto"/>
              </w:rPr>
              <w:t>RELATIONSHIPS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OPERATIONS</w:t>
            </w:r>
          </w:p>
        </w:tc>
        <w:tc>
          <w:tcPr>
            <w:tcW w:w="960" w:type="dxa"/>
            <w:vAlign w:val="bottom"/>
          </w:tcPr>
          <w:p>
            <w:pPr>
              <w:jc w:val="center"/>
              <w:ind w:left="361"/>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left="300"/>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center"/>
              <w:ind w:right="29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9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rPr>
              <w:t>AMOUNT OF GAIN / (LOSS)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RECOGNIZED IN</w:t>
            </w:r>
          </w:p>
        </w:tc>
        <w:tc>
          <w:tcPr>
            <w:tcW w:w="2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5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35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rPr>
              <w:t>STATEMENT OF</w:t>
            </w:r>
          </w:p>
        </w:tc>
        <w:tc>
          <w:tcPr>
            <w:tcW w:w="960" w:type="dxa"/>
            <w:vAlign w:val="bottom"/>
          </w:tcPr>
          <w:p>
            <w:pPr>
              <w:jc w:val="center"/>
              <w:ind w:left="301"/>
              <w:spacing w:after="0" w:line="153" w:lineRule="exact"/>
              <w:rPr>
                <w:sz w:val="20"/>
                <w:szCs w:val="20"/>
                <w:color w:val="auto"/>
              </w:rPr>
            </w:pPr>
            <w:r>
              <w:rPr>
                <w:rFonts w:ascii="Arial" w:cs="Arial" w:eastAsia="Arial" w:hAnsi="Arial"/>
                <w:sz w:val="14"/>
                <w:szCs w:val="14"/>
                <w:b w:val="1"/>
                <w:bCs w:val="1"/>
                <w:color w:val="auto"/>
                <w:w w:val="97"/>
              </w:rPr>
              <w:t>JULY 2,</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left="280"/>
              <w:spacing w:after="0" w:line="153" w:lineRule="exact"/>
              <w:rPr>
                <w:sz w:val="20"/>
                <w:szCs w:val="20"/>
                <w:color w:val="auto"/>
              </w:rPr>
            </w:pPr>
            <w:r>
              <w:rPr>
                <w:rFonts w:ascii="Arial" w:cs="Arial" w:eastAsia="Arial" w:hAnsi="Arial"/>
                <w:sz w:val="14"/>
                <w:szCs w:val="14"/>
                <w:b w:val="1"/>
                <w:bCs w:val="1"/>
                <w:color w:val="auto"/>
                <w:w w:val="98"/>
              </w:rPr>
              <w:t>JUNE 27,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7"/>
              </w:rPr>
              <w:t>JULY 2,</w:t>
            </w:r>
          </w:p>
        </w:tc>
        <w:tc>
          <w:tcPr>
            <w:tcW w:w="300" w:type="dxa"/>
            <w:vAlign w:val="bottom"/>
          </w:tcPr>
          <w:p>
            <w:pPr>
              <w:spacing w:after="0"/>
              <w:rPr>
                <w:sz w:val="13"/>
                <w:szCs w:val="13"/>
                <w:color w:val="auto"/>
              </w:rPr>
            </w:pPr>
          </w:p>
        </w:tc>
        <w:tc>
          <w:tcPr>
            <w:tcW w:w="106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8"/>
              </w:rPr>
              <w:t>JUNE 27,</w:t>
            </w:r>
          </w:p>
        </w:tc>
        <w:tc>
          <w:tcPr>
            <w:tcW w:w="0" w:type="dxa"/>
            <w:vAlign w:val="bottom"/>
          </w:tcPr>
          <w:p>
            <w:pPr>
              <w:spacing w:after="0"/>
              <w:rPr>
                <w:sz w:val="1"/>
                <w:szCs w:val="1"/>
                <w:color w:val="auto"/>
              </w:rPr>
            </w:pPr>
          </w:p>
        </w:tc>
      </w:tr>
      <w:tr>
        <w:trPr>
          <w:trHeight w:val="192"/>
        </w:trPr>
        <w:tc>
          <w:tcPr>
            <w:tcW w:w="354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OPERATIONS</w:t>
            </w:r>
          </w:p>
        </w:tc>
        <w:tc>
          <w:tcPr>
            <w:tcW w:w="960" w:type="dxa"/>
            <w:vAlign w:val="bottom"/>
          </w:tcPr>
          <w:p>
            <w:pPr>
              <w:jc w:val="center"/>
              <w:ind w:left="361"/>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left="300"/>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center"/>
              <w:ind w:right="29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9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0" w:type="dxa"/>
            <w:vAlign w:val="bottom"/>
          </w:tcPr>
          <w:p>
            <w:pPr>
              <w:spacing w:after="0"/>
              <w:rPr>
                <w:sz w:val="21"/>
                <w:szCs w:val="21"/>
                <w:color w:val="auto"/>
              </w:rPr>
            </w:pPr>
          </w:p>
        </w:tc>
        <w:tc>
          <w:tcPr>
            <w:tcW w:w="2060" w:type="dxa"/>
            <w:vAlign w:val="bottom"/>
            <w:gridSpan w:val="3"/>
          </w:tcPr>
          <w:p>
            <w:pPr>
              <w:ind w:left="20"/>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21"/>
                <w:szCs w:val="21"/>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consists of investment securities in non-qualified retirement plan assets. These securities are valued using observable market prices in active markets.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Long-Term Debt</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Long-term debt consists of a loan provided to the noncontrolling ownership group of Gavita. The estimated fair value of the loan was determined using an income-based approach, which includes market participant expectations of cash flows over the remaining useful life discounted to present value using an appropriate discount rate. The estimate requires subjective assumptions to be made, including those related to future business results and discount rates. The fair value measurement is based on significant inputs unobservable in the market and thus represents a Level 3 measurement.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July 2,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June 27,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Quoted Prices</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2"/>
                <w:szCs w:val="12"/>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tcPr>
          <w:p>
            <w:pPr>
              <w:jc w:val="right"/>
              <w:ind w:right="37"/>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divides its business into three reportable segments: U.S. Consumer, Europe Consumer and Other. These segments differ from those used in prior periods due to the change in internal organization structure associated with Project Focus, which is a series of initiatives announced in the first quarter of fiscal 2016 designed to maximize the value of the Company’s non-core assets and focus on emerging categories of the lawn and garden industry in its core U.S. business. On April 13, 2016, as part of this project, the Company completed the contribution of the SLS Business to a newly formed subsidiary of TruGreen Holdings in exchange for a minority equity interest of approximately 30% in the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The prior period amounts have been reclassified to conform with the new segments. This division of reportable segments is consistent with how the segments report to and are managed by the chief operating decision maker of the Company.</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U.S. Consumer consists of the Company’s consumer lawn and garden business located in the geographic United States. Europe Consumer consists of the Company’s consumer lawn and garden business located in geographic Europe. Other consists of the Company’s consumer lawn and garden businesses in geographies other than the U.S. and Europe, the Company’s indoor, urban and hydroponics gardening business, and revenues and expenses associated with the Company’s supply agreements with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Israel Chemicals, Ltd. Corporate consists of general and administrative expenses and certain other income/expense items not allocated to the business segments.</w:t>
      </w:r>
    </w:p>
    <w:p>
      <w:pPr>
        <w:spacing w:after="0" w:line="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Segment performance is evaluated based on several factors, including income (loss) from continuing operations before amortization, impairment, restructuring and other charges, which is not a GAAP measure. Senior management uses this measure of operating profit (loss) to evaluate segment performance because the Company believes this measure is most indicative of performance trends and the overall earnings potential of each segment.</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30" w:lineRule="exact"/>
        <w:rPr>
          <w:sz w:val="20"/>
          <w:szCs w:val="20"/>
          <w:color w:val="auto"/>
        </w:rPr>
      </w:pPr>
    </w:p>
    <w:tbl>
      <w:tblPr>
        <w:tblLayout w:type="fixed"/>
        <w:tblInd w:w="5620" w:type="dxa"/>
        <w:tblCellMar>
          <w:top w:w="0" w:type="dxa"/>
          <w:left w:w="0" w:type="dxa"/>
          <w:bottom w:w="0" w:type="dxa"/>
          <w:right w:w="0" w:type="dxa"/>
        </w:tblCellMar>
      </w:tblPr>
      <w:tr>
        <w:trPr>
          <w:trHeight w:val="192"/>
        </w:trPr>
        <w:tc>
          <w:tcPr>
            <w:tcW w:w="28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JULY 2,</w:t>
            </w:r>
          </w:p>
        </w:tc>
        <w:tc>
          <w:tcPr>
            <w:tcW w:w="156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8"/>
              </w:rPr>
              <w:t>JUNE 27,</w:t>
            </w: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JULY 2,</w:t>
            </w: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8"/>
              </w:rPr>
              <w:t>JUNE 27,</w:t>
            </w:r>
          </w:p>
        </w:tc>
      </w:tr>
      <w:tr>
        <w:trPr>
          <w:trHeight w:val="192"/>
        </w:trPr>
        <w:tc>
          <w:tcPr>
            <w:tcW w:w="14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4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4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r>
    </w:tbl>
    <w:p>
      <w:pPr>
        <w:spacing w:after="0" w:line="58"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sales: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78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756.7</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20"/>
                <w:szCs w:val="20"/>
                <w:color w:val="auto"/>
              </w:rPr>
            </w:pP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w w:val="88"/>
              </w:rPr>
              <w:t>871.2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1,909.6</w:t>
            </w:r>
          </w:p>
        </w:tc>
        <w:tc>
          <w:tcPr>
            <w:tcW w:w="10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1,861.6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jc w:val="right"/>
              <w:ind w:right="3870"/>
              <w:spacing w:after="0"/>
              <w:rPr>
                <w:sz w:val="20"/>
                <w:szCs w:val="20"/>
                <w:color w:val="auto"/>
              </w:rPr>
            </w:pPr>
            <w:r>
              <w:rPr>
                <w:rFonts w:ascii="Arial" w:cs="Arial" w:eastAsia="Arial" w:hAnsi="Arial"/>
                <w:sz w:val="18"/>
                <w:szCs w:val="18"/>
                <w:color w:val="auto"/>
              </w:rPr>
              <w:t>Europe Consumer</w:t>
            </w:r>
          </w:p>
        </w:tc>
        <w:tc>
          <w:tcPr>
            <w:tcW w:w="7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8"/>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w w:val="88"/>
              </w:rPr>
              <w:t>129.8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jc w:val="right"/>
              <w:ind w:right="3870"/>
              <w:spacing w:after="0"/>
              <w:rPr>
                <w:sz w:val="20"/>
                <w:szCs w:val="20"/>
                <w:color w:val="auto"/>
              </w:rPr>
            </w:pPr>
            <w:r>
              <w:rPr>
                <w:rFonts w:ascii="Arial" w:cs="Arial" w:eastAsia="Arial" w:hAnsi="Arial"/>
                <w:sz w:val="18"/>
                <w:szCs w:val="18"/>
                <w:color w:val="auto"/>
              </w:rPr>
              <w:t>Consolidated</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994.1</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1,111.3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Consumer</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8"/>
              </w:rPr>
              <w:t>237.9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43"/>
        </w:trPr>
        <w:tc>
          <w:tcPr>
            <w:tcW w:w="5620" w:type="dxa"/>
            <w:vAlign w:val="bottom"/>
          </w:tcPr>
          <w:p>
            <w:pPr>
              <w:jc w:val="right"/>
              <w:ind w:right="3870"/>
              <w:spacing w:after="0"/>
              <w:rPr>
                <w:sz w:val="20"/>
                <w:szCs w:val="20"/>
                <w:color w:val="auto"/>
              </w:rPr>
            </w:pPr>
            <w:r>
              <w:rPr>
                <w:rFonts w:ascii="Arial" w:cs="Arial" w:eastAsia="Arial" w:hAnsi="Arial"/>
                <w:sz w:val="18"/>
                <w:szCs w:val="18"/>
                <w:color w:val="auto"/>
              </w:rPr>
              <w:t>Europe Consumer</w:t>
            </w:r>
          </w:p>
        </w:tc>
        <w:tc>
          <w:tcPr>
            <w:tcW w:w="7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Segment total</w:t>
            </w:r>
          </w:p>
        </w:tc>
        <w:tc>
          <w:tcPr>
            <w:tcW w:w="7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8"/>
              </w:rPr>
              <w:t>269.6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7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7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7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of unconsolidated affiliates</w:t>
            </w:r>
          </w:p>
        </w:tc>
        <w:tc>
          <w:tcPr>
            <w:tcW w:w="7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related to refinancing</w:t>
            </w:r>
          </w:p>
        </w:tc>
        <w:tc>
          <w:tcPr>
            <w:tcW w:w="7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7"/>
              </w:rPr>
              <w:t>(14.3)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jc w:val="right"/>
              <w:ind w:right="3870"/>
              <w:spacing w:after="0"/>
              <w:rPr>
                <w:sz w:val="20"/>
                <w:szCs w:val="20"/>
                <w:color w:val="auto"/>
              </w:rPr>
            </w:pPr>
            <w:r>
              <w:rPr>
                <w:rFonts w:ascii="Arial" w:cs="Arial" w:eastAsia="Arial" w:hAnsi="Arial"/>
                <w:sz w:val="18"/>
                <w:szCs w:val="18"/>
                <w:color w:val="auto"/>
              </w:rPr>
              <w:t>Consolidated</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88"/>
              </w:rPr>
              <w:t>177.1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JULY 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27,</w:t>
            </w:r>
          </w:p>
        </w:tc>
        <w:tc>
          <w:tcPr>
            <w:tcW w:w="100" w:type="dxa"/>
            <w:vAlign w:val="bottom"/>
          </w:tcPr>
          <w:p>
            <w:pPr>
              <w:spacing w:after="0"/>
              <w:rPr>
                <w:sz w:val="24"/>
                <w:szCs w:val="24"/>
                <w:color w:val="auto"/>
              </w:rPr>
            </w:pPr>
          </w:p>
        </w:tc>
        <w:tc>
          <w:tcPr>
            <w:tcW w:w="1480" w:type="dxa"/>
            <w:vAlign w:val="bottom"/>
            <w:gridSpan w:val="3"/>
          </w:tcPr>
          <w:p>
            <w:pPr>
              <w:jc w:val="right"/>
              <w:ind w:right="1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2016</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7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780" w:type="dxa"/>
            <w:vAlign w:val="bottom"/>
          </w:tcPr>
          <w:p>
            <w:pPr>
              <w:spacing w:after="0"/>
              <w:rPr>
                <w:sz w:val="21"/>
                <w:szCs w:val="21"/>
                <w:color w:val="auto"/>
              </w:rPr>
            </w:pPr>
          </w:p>
        </w:tc>
        <w:tc>
          <w:tcPr>
            <w:tcW w:w="600" w:type="dxa"/>
            <w:vAlign w:val="bottom"/>
          </w:tcPr>
          <w:p>
            <w:pPr>
              <w:jc w:val="right"/>
              <w:ind w:right="39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2,121.1</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1,979.6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 Consumer</w:t>
            </w:r>
          </w:p>
        </w:tc>
        <w:tc>
          <w:tcPr>
            <w:tcW w:w="7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7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jc w:val="right"/>
              <w:ind w:right="3870"/>
              <w:spacing w:after="0"/>
              <w:rPr>
                <w:sz w:val="20"/>
                <w:szCs w:val="20"/>
                <w:color w:val="auto"/>
              </w:rPr>
            </w:pPr>
            <w:r>
              <w:rPr>
                <w:rFonts w:ascii="Arial" w:cs="Arial" w:eastAsia="Arial" w:hAnsi="Arial"/>
                <w:sz w:val="18"/>
                <w:szCs w:val="18"/>
                <w:color w:val="auto"/>
              </w:rPr>
              <w:t>Consolidated</w:t>
            </w:r>
          </w:p>
        </w:tc>
        <w:tc>
          <w:tcPr>
            <w:tcW w:w="7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3,259.7</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3,018.1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27</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148"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The 6.000% Senior Notes were issued on October 13, 2015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Issuers of Guaranteed Securities Registered or Being Registered. </w:t>
      </w:r>
      <w:r>
        <w:rPr>
          <w:rFonts w:ascii="Arial" w:cs="Arial" w:eastAsia="Arial" w:hAnsi="Arial"/>
          <w:sz w:val="16"/>
          <w:szCs w:val="16"/>
          <w:color w:val="auto"/>
        </w:rPr>
        <w:t>On January 15, 2014 and December 15, 2015, Scotts Miracle-Gro redeemed,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all of its outstanding $200.0 million aggregate principal amount of 7.25% Senior Notes and $200.0 million aggregate principal amount of 6.625% Senior Notes, each of which were previously guaranteed by certain of its domestic subsidiaries.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 governing the 6.00% Senior Notes; (2) if the subsidiary merges with and into Scotts Miracle-Gro, with Scotts Miracle-Gro surviving such merger; (3) if the subsidiary is designated an “unrestricted subsidiary” in accordance with the indenture governing the 6.000%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Senior Notes pursuant to the indenture governing the 6.000% Senior Notes. SLS Holdings, Inc. was added as a guarantor effective in the three month period ending July 2, 2016, and HGCI, Inc. and GenSource, Inc. were added as guarantors effective in the three month period ending January 2, 2016, and have been classified as Guarantors for all periods presented. SLS Holdings, Inc., HGCI, Inc. and GenSource, Inc. did not have any activity for the nine months ended June 27, 2015.</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following 100% directly or indirectly owned subsidiaries fully and unconditionally guarantee at July 2, 2016 the 6.000% Senior Notes on a joint and several basis: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and SLS Holdings, Inc. (collectively, the “Guarantors”). Effective in the three month period ending July 2, 2016, the SLS Business was contributed to the Joint Venture and the Company classified its results of operations for all periods presented to reflect the SLS Business as a discontinued operation and classified the assets and liabilities as held for sale within the financial information of the Guarantors. Subsequent to their contribution to the Joint Venture, EG Systems, Inc. and SLS Franchise Systems LLC are no longer guarantors of the 6.000% Senior Notes.</w:t>
      </w:r>
    </w:p>
    <w:p>
      <w:pPr>
        <w:spacing w:after="0" w:line="116"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nine months ended July 2, 2016 and June 27, 2015, Condensed Consolidating Statements of Comprehensive Income (Loss) for the three and nine months ended July 2, 2016 and June 27, 2015, Condensed Consolidating Statements of Cash Flows for the nine months ended July 2, 2016 and June 27, 2015, and Condensed Consolidating Balance Sheets as of July 2, 2016, June 27, 2015 and September 30, 2015.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the nine months ended July 2, 2016 are $758.4 million of dividends paid by the Guarantors and Non-Guarantors to the Parent representing return of investments and as such are classified within cash flows used in investing activities. Included in the Parent Condensed Consolidating Statement of Cash Flows for the nine months ended June 27, 2015 are $226.6 million of dividends paid by the Guarantors and Non-Guarantors to the Parent representing return on investments and as such are classified within cash flows from operating activities.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loans receivable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distributions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contributed to Joint Venture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1,882.6</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6.000%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Repayment of 6.625% Senior Notes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Cash received by the Parent from the Guarantors and Non-Guarantors in the form of dividends in the amount of $758.4 million represent return of investments and are included in cash flows used in investing activities.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2, 2016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435.1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Investment in unconsolidated affiliate</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3,259.7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7"/>
            <w:shd w:val="clear" w:color="auto" w:fill="CCEEFF"/>
          </w:tcPr>
          <w:p>
            <w:pPr>
              <w:ind w:left="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359.2</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Total shareholders’ equity - controlling interest</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3,259.7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loss,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6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$226.6 million represent return on investments and are included in cash flows from operating activities. Cash received by the Guarantors from the Non-Guarantors in the form of dividends in the amount of $12.7 million represent return on investments and are included in the cash flows from operating activities.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27,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6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7"/>
        </w:trPr>
        <w:tc>
          <w:tcPr>
            <w:tcW w:w="40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6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3,018.1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7"/>
            <w:shd w:val="clear" w:color="auto" w:fill="CCEEFF"/>
          </w:tcPr>
          <w:p>
            <w:pPr>
              <w:ind w:left="50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9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Marketing and license agreement obligation</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4060" w:type="dxa"/>
            <w:vAlign w:val="bottom"/>
          </w:tcPr>
          <w:p>
            <w:pPr>
              <w:ind w:left="380"/>
              <w:spacing w:after="0"/>
              <w:rPr>
                <w:sz w:val="20"/>
                <w:szCs w:val="20"/>
                <w:color w:val="auto"/>
              </w:rPr>
            </w:pPr>
            <w:r>
              <w:rPr>
                <w:rFonts w:ascii="Arial" w:cs="Arial" w:eastAsia="Arial" w:hAnsi="Arial"/>
                <w:sz w:val="18"/>
                <w:szCs w:val="18"/>
                <w:color w:val="auto"/>
              </w:rPr>
              <w:t>Liabilities held for sale</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6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37"/>
        </w:trPr>
        <w:tc>
          <w:tcPr>
            <w:tcW w:w="40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6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1,348.2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2,324.7</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Total shareholders’ equity - controlling interest</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6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406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6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9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3,018.1</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Assets held for sale</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spacing w:after="0"/>
              <w:rPr>
                <w:sz w:val="21"/>
                <w:szCs w:val="21"/>
                <w:color w:val="auto"/>
              </w:rPr>
            </w:pPr>
          </w:p>
        </w:tc>
        <w:tc>
          <w:tcPr>
            <w:tcW w:w="3440" w:type="dxa"/>
            <w:vAlign w:val="bottom"/>
            <w:tcBorders>
              <w:bottom w:val="single" w:sz="8" w:color="CCEEFF"/>
            </w:tcBorders>
            <w:gridSpan w:val="7"/>
            <w:shd w:val="clear" w:color="auto" w:fill="CCEEFF"/>
          </w:tcPr>
          <w:p>
            <w:pPr>
              <w:ind w:left="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held for sale</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 controlling interest</w:t>
            </w: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7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1,657.0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This discussion and analysis should be read in conjunction with “Management’s Discussion and Analysis of Financial Condition and Results of Operations” included in Scotts Miracle-Gro’s Annual Report on Form 10-K for the fiscal year ended September 30, 2015 (the “2015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7"/>
          <w:szCs w:val="17"/>
          <w:color w:val="auto"/>
        </w:rPr>
        <w:t>We are dedicated to delivering strong, long-term financial results and outstanding shareholder returns by providing products of superior quality and value to enhance consumers’ lawn and garden environments. 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herbicide products within the United States and other contractually specified countries. We have a presence in similar consumer branded product categories in Australia, the Far East and Latin America. In addition, as a result of our recent acquisitions of General Hydroponics, Vermicrop, Gavita and our control of AeroGrow, we are a leading producer of liquid plant food products, growing media, indoor lighting, advanced indoor garden systems and accessories for hydroponic gardening. Our operations are divided into three reportable segments: U.S. Consumer, Europe Consumer and Other. These segments differ from those used in prior years due to the change in our internal organizational structure associated with Project Focus, which is a series of initiatives announced in the first quarter of fiscal 2016 designed to maximize the value of our non-core assets and concentrate focus on emerging categories of the lawn and garden industry in our core U.S. business.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6"/>
          <w:szCs w:val="16"/>
          <w:color w:val="auto"/>
        </w:rPr>
        <w:t>On April 13, 2016, as part of Project Focus, we completed the contribution of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“SLS Business”) to a newly formed subsidiary of TruGreen Holding Corporation (the “Joint Venture”) in exchange for a minority equity interest of approximately 30% in the Joint Venture. The preliminary fair value of this interest was estimated to be $294.0 million, resulting in a pre-tax gain of $142.6 million. As a result of this transaction, effective in our second quarter of fiscal 2016, we classified our results of operations for all periods presented to reflect the SLS Business as a discontinued operation and classified the assets and liabilities of the SLS Business as held for sale. Prior to being reported as discontinued operations, the SLS Business was referred to as our former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segment. At closing, the Joint Venture obtained debt financing and, pursuant to the terms of the Contribution and Distribution Agreement, we received a pro rata cash distribution of $196.2 million, partially offset by an $18.0 million investment in second lien term loan financing provided by us to the Joint Venture and closing working capital adjustments. For additional information, see “NOTE 2. DISCONTINUED OPERATIONS” of the Notes to Condensed Consolidated Financial Statements included in this Quarterly Report on Form 10-Q.</w:t>
      </w:r>
    </w:p>
    <w:p>
      <w:pPr>
        <w:spacing w:after="0" w:line="13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continually increasing brand and product awareness to inspire consumers and to create retail demand. We have implemented this model for a number of years by focusing on research and development and investing around 5% of our annual net sales in advertising to support and promote our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03"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Percent of Net Sales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23495</wp:posOffset>
            </wp:positionV>
            <wp:extent cx="3275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2015</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2013</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14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follow a 13-week quarterly accounting cycle pursuant to which our first three fiscal quarters end on a Saturday and our fiscal year always ends on September 30. This fiscal calendar convention requires us to cycle forward our first three fiscal quarter ends every six years. Fiscal 2016 is the most recent year impacted by this process and, as a result, our first quarter of fiscal 2016 had six additional days and our fourth quarter of fiscal 2016 will have five less days compared to the respective quarters of fiscal 2015. In addition, our third quarter of fiscal 2016 began six days later than our third quarter of fiscal 2015 and these six days occurred during our peak selling season. This calendar shift resulted in a decrease in net sales and income attributable to controlling interest from continuing operations per share of approximately $90 million and $0.43, respectively, for the three months ended July 2, 2016, and an increase in net sales and income from continuing operations per share of approximately $32.0 million and $0.17 for the nine months ended July 2, 2016.</w:t>
      </w:r>
    </w:p>
    <w:p>
      <w:pPr>
        <w:spacing w:after="0" w:line="11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August 11, 2014, we announced that the Scotts Miracle-Gro Board of Directors approved a share repurchase authorization effective November 1, 2014, which will expire on September 30, 2019, to repurchase up to $500.0 million of our Common Shares. On August 3, 2016, we announced that the Scotts Miracle-Gro Board of Directors approved a $500.0 million increase to the current share repurchase authorization. The amended authorization allows for repurchases of Common Shares of $1.0 billion through September 30, 2019. During the three and nine months ended July 2, 2016, Scotts Miracle-Gro repurchased 0.5 million and 1.2 million Common Shares for $38.4 million and $81.2 million, respectively. From the inception of this share repurchase program in the fourth quarter of fiscal 2014 through July 2, 2016, Scotts Miracle-Gro has repurchased approximately 1.4 million Common Shares for $96.0 million.</w:t>
      </w:r>
    </w:p>
    <w:p>
      <w:pPr>
        <w:spacing w:after="0" w:line="1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On August 3, 2016, we announced that the Scotts Miracle-Gro Board of Directors approved an increase in our quarterly cash dividend from $0.47 to $0.50 per Common Share.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Effective in our second quarter of fiscal 2016, we classified our results of operations for all periods presented to reflect the SLS Business as a discontinued operation. As a result, and unless specifically stated, all discussions regarding results for the three and nine months ended July 2, 2016 and June 27, 2015 reflect results from our continuing operations. The following table sets forth the components of income and expense as a percentage of net sales: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780" w:type="dxa"/>
            <w:vAlign w:val="bottom"/>
          </w:tcPr>
          <w:p>
            <w:pPr>
              <w:spacing w:after="0"/>
              <w:rPr>
                <w:sz w:val="13"/>
                <w:szCs w:val="13"/>
                <w:color w:val="auto"/>
              </w:rPr>
            </w:pPr>
          </w:p>
        </w:tc>
        <w:tc>
          <w:tcPr>
            <w:tcW w:w="142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JULY 2,</w:t>
            </w:r>
          </w:p>
        </w:tc>
        <w:tc>
          <w:tcPr>
            <w:tcW w:w="1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JUNE 27, 2015</w:t>
            </w:r>
          </w:p>
        </w:tc>
        <w:tc>
          <w:tcPr>
            <w:tcW w:w="142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JULY 2,</w:t>
            </w:r>
          </w:p>
        </w:tc>
        <w:tc>
          <w:tcPr>
            <w:tcW w:w="134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78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3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32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Equity in loss of unconsolidated affiliates</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July 2, 2016 were $994.1 million, a decrease of 10.5% from net sales of $1,111.3 million for the three months ended June 27, 2015. Net sales for the nine months ended July 2, 2016 were $2,433.8 million, an increase of 3.5% from net sales of $2,352.6 million for the nine months ended June 27, 2015. The change in net sales was attributable 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295"/>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6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JULY 2, 2016</w:t>
            </w:r>
          </w:p>
        </w:tc>
        <w:tc>
          <w:tcPr>
            <w:tcW w:w="2360" w:type="dxa"/>
            <w:vAlign w:val="bottom"/>
          </w:tcPr>
          <w:p>
            <w:pPr>
              <w:jc w:val="right"/>
              <w:ind w:right="675"/>
              <w:spacing w:after="0"/>
              <w:rPr>
                <w:sz w:val="20"/>
                <w:szCs w:val="20"/>
                <w:color w:val="auto"/>
              </w:rPr>
            </w:pPr>
            <w:r>
              <w:rPr>
                <w:rFonts w:ascii="Arial" w:cs="Arial" w:eastAsia="Arial" w:hAnsi="Arial"/>
                <w:sz w:val="14"/>
                <w:szCs w:val="14"/>
                <w:b w:val="1"/>
                <w:bCs w:val="1"/>
                <w:color w:val="auto"/>
              </w:rPr>
              <w:t>JULY 2, 2016</w:t>
            </w:r>
          </w:p>
        </w:tc>
      </w:tr>
      <w:tr>
        <w:trPr>
          <w:trHeight w:val="250"/>
        </w:trPr>
        <w:tc>
          <w:tcPr>
            <w:tcW w:w="6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380" w:type="dxa"/>
            <w:vAlign w:val="bottom"/>
          </w:tcPr>
          <w:p>
            <w:pPr>
              <w:jc w:val="right"/>
              <w:ind w:right="15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2.0</w:t>
            </w:r>
          </w:p>
        </w:tc>
      </w:tr>
      <w:tr>
        <w:trPr>
          <w:trHeight w:val="27"/>
        </w:trPr>
        <w:tc>
          <w:tcPr>
            <w:tcW w:w="65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0.1</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80" w:type="dxa"/>
            <w:vAlign w:val="bottom"/>
          </w:tcPr>
          <w:p>
            <w:pPr>
              <w:jc w:val="right"/>
              <w:ind w:right="95"/>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360" w:type="dxa"/>
            <w:vAlign w:val="bottom"/>
          </w:tcPr>
          <w:p>
            <w:pPr>
              <w:jc w:val="right"/>
              <w:ind w:right="75"/>
              <w:spacing w:after="0"/>
              <w:rPr>
                <w:sz w:val="20"/>
                <w:szCs w:val="20"/>
                <w:color w:val="auto"/>
              </w:rPr>
            </w:pPr>
            <w:r>
              <w:rPr>
                <w:rFonts w:ascii="Arial" w:cs="Arial" w:eastAsia="Arial" w:hAnsi="Arial"/>
                <w:sz w:val="18"/>
                <w:szCs w:val="18"/>
                <w:color w:val="auto"/>
              </w:rPr>
              <w:t>(0.9)</w:t>
            </w:r>
          </w:p>
        </w:tc>
      </w:tr>
      <w:tr>
        <w:trPr>
          <w:trHeight w:val="27"/>
        </w:trPr>
        <w:tc>
          <w:tcPr>
            <w:tcW w:w="656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net sales for the three months ended July 2, 2016 was primarily driven by:</w:t>
      </w:r>
    </w:p>
    <w:p>
      <w:pPr>
        <w:spacing w:after="0" w:line="117" w:lineRule="exact"/>
        <w:rPr>
          <w:sz w:val="20"/>
          <w:szCs w:val="20"/>
          <w:color w:val="auto"/>
        </w:rPr>
      </w:pPr>
    </w:p>
    <w:p>
      <w:pPr>
        <w:jc w:val="both"/>
        <w:ind w:left="98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sales in our U.S. Consumer and Europe Consumer segments, driven by the impact of the calendar shift whereby our third quarter of fiscal 2016 began six days later than our third quarter of fiscal 2015 and these six days occurred during our peak selling season, resulting in a decrease in net sales of approximately $90 million, as well as the prior year exit from the U.K. Solus business resulting in a decrease in net sales of $7.7 million; and</w:t>
      </w:r>
    </w:p>
    <w:p>
      <w:pPr>
        <w:spacing w:after="0" w:line="7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unfavorable impact of foreign exchange rates as a result of the strengthening of the U.S. dollar relative to other currencies including the Canadian dollar, euro and British pound;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increased sales volume in our Other segment, driven by increased sales of hydroponic gardening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addition of net sales from acquisitions within our Other segment, primarily from Gavita and a Canadian growing media operation; and</w:t>
      </w:r>
    </w:p>
    <w:p>
      <w:pPr>
        <w:sectPr>
          <w:pgSz w:w="11900" w:h="16838" w:orient="portrait"/>
          <w:cols w:equalWidth="0" w:num="1">
            <w:col w:w="11420"/>
          </w:cols>
          <w:pgMar w:left="240" w:top="125"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favorable impact of increased pricing in the U.S. Consumer segment.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nine months ended July 2, 2016 was primarily driven by:</w:t>
      </w:r>
    </w:p>
    <w:p>
      <w:pPr>
        <w:spacing w:after="0" w:line="117" w:lineRule="exact"/>
        <w:rPr>
          <w:sz w:val="20"/>
          <w:szCs w:val="20"/>
          <w:color w:val="auto"/>
        </w:rPr>
      </w:pPr>
    </w:p>
    <w:p>
      <w:pPr>
        <w:jc w:val="both"/>
        <w:ind w:left="980" w:hanging="324"/>
        <w:spacing w:after="0" w:line="26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sales in our U.S. Consumer segment, driven by the impact of the calendar shift whereby the nine months ended July 2, 2016 had six additional days compared to the nine months ended June 27, 2015, resulting in an increase in net sales of approximately $32.0 million, as well as the impact of our amended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sales volume in our Other segment, driven by increased sales of hydroponic gardening products;</w:t>
      </w:r>
    </w:p>
    <w:p>
      <w:pPr>
        <w:spacing w:after="0" w:line="11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addition of net sales from acquisitions within our Other segment, primarily from General Hydroponics, Vermicrop, Gavita and a Canadian growing media operation;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favorable impact of increased pricing in the U.S. Consumer segment;</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partially offset by the unfavorable impact of foreign exchange rates as a result of the strengthening of the U.S. dollar relative to other currencies including the Canadian dollar, euro and British pound;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prior year exit from the U.K. Solus business resulting in a decrease in net sales of $14.0 million in our Europe Consumer segment.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JULY 2, 2016</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2015</w:t>
            </w: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JULY 2, 2016</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27, 2015</w:t>
            </w:r>
          </w:p>
        </w:tc>
      </w:tr>
      <w:tr>
        <w:trPr>
          <w:trHeight w:val="250"/>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2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305.4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281.9</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51.7</w:t>
            </w:r>
          </w:p>
        </w:tc>
      </w:tr>
      <w:tr>
        <w:trPr>
          <w:trHeight w:val="244"/>
        </w:trPr>
        <w:tc>
          <w:tcPr>
            <w:tcW w:w="4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1,538.1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1,535.4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920" w:type="dxa"/>
            <w:vAlign w:val="bottom"/>
          </w:tcPr>
          <w:p>
            <w:pPr>
              <w:jc w:val="right"/>
              <w:ind w:right="25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JULY 2, 2016</w:t>
            </w: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JULY 2, 2016</w:t>
            </w: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9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00" w:type="dxa"/>
            <w:vAlign w:val="bottom"/>
          </w:tcPr>
          <w:p>
            <w:pPr>
              <w:spacing w:after="0"/>
              <w:rPr>
                <w:sz w:val="23"/>
                <w:szCs w:val="23"/>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cost of sales for the three months ended July 2, 2016 was primarily driven by:</w:t>
      </w:r>
    </w:p>
    <w:p>
      <w:pPr>
        <w:spacing w:after="0" w:line="13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sales in our U.S. Consumer and Europe Consumer segments;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distribution costs within our U.S. Consumer segment due to savings from lower fuel prices and reduced costs from efficiencies in our growing media business;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a strengthening of the U.S. dollar relative to other currencies including the Canadian dollar, euro and British pound;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lower commodity costs primarily related to fertilizer inputs; and</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980" w:hanging="324"/>
        <w:spacing w:after="0" w:line="21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restructuring and other charges of $3.0 million related to addressing the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spacing w:after="0" w:line="9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partially offset by costs related to sales from acquisitions within our Other segment of $8.4 million, primarily from Gavita and a Canadian growing media operation; and</w:t>
      </w:r>
    </w:p>
    <w:p>
      <w:pPr>
        <w:spacing w:after="0" w:line="62" w:lineRule="exact"/>
        <w:rPr>
          <w:rFonts w:ascii="Arial" w:cs="Arial" w:eastAsia="Arial" w:hAnsi="Arial"/>
          <w:sz w:val="18"/>
          <w:szCs w:val="18"/>
          <w:color w:val="auto"/>
        </w:rPr>
      </w:pPr>
    </w:p>
    <w:p>
      <w:pPr>
        <w:ind w:left="980" w:hanging="324"/>
        <w:spacing w:after="0" w:line="21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net sales attributable to reimbursements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our Services Agreement with Bonnie.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nine months ended July 2, 2016 was primarily driven by:</w:t>
      </w:r>
    </w:p>
    <w:p>
      <w:pPr>
        <w:spacing w:after="0" w:line="131"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increased sales in our U.S. Consumer and Other segments;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related to sales from acquisitions within our Other segment of $29.1 million, primarily from General Hydroponics, Vermicrop, Gavita and a Canadian growing media operation;</w:t>
      </w:r>
    </w:p>
    <w:p>
      <w:pPr>
        <w:spacing w:after="0" w:line="62" w:lineRule="exact"/>
        <w:rPr>
          <w:rFonts w:ascii="Arial" w:cs="Arial" w:eastAsia="Arial" w:hAnsi="Arial"/>
          <w:sz w:val="18"/>
          <w:szCs w:val="18"/>
          <w:color w:val="auto"/>
        </w:rPr>
      </w:pPr>
    </w:p>
    <w:p>
      <w:pPr>
        <w:ind w:left="980" w:hanging="324"/>
        <w:spacing w:after="0" w:line="21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net sales attributable to reimbursements under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our Services Agreement with Bonnie; and</w:t>
      </w:r>
    </w:p>
    <w:p>
      <w:pPr>
        <w:spacing w:after="0" w:line="95" w:lineRule="exact"/>
        <w:rPr>
          <w:rFonts w:ascii="Arial" w:cs="Arial" w:eastAsia="Arial" w:hAnsi="Arial"/>
          <w:sz w:val="18"/>
          <w:szCs w:val="18"/>
          <w:color w:val="auto"/>
        </w:rPr>
      </w:pPr>
    </w:p>
    <w:p>
      <w:pPr>
        <w:ind w:left="980" w:right="20" w:hanging="324"/>
        <w:spacing w:after="0" w:line="21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restructuring and other charges of $1.9 million related to addressing the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spacing w:after="0" w:line="9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partially offset by lower material costs in our U.S. Consumer segment driven by lower commodity costs primarily related to fertilizer inputs;</w:t>
      </w:r>
    </w:p>
    <w:p>
      <w:pPr>
        <w:spacing w:after="0" w:line="12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distribution costs within our U.S. Consumer segment due to savings from lower fuel prices and reduced costs from efficiencies in our growing media business; and</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a strengthening of the U.S. dollar relative to other currencies including the Canadian dollar, euro and British pound.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36.0% and 34.7% for the three months ended July 2, 2016 and June 27, 2015, respectively. As a percentage of net sales, our gross profit rate was 36.8% and 34.7% for the nine months ended July 2, 2016 and June 27, 2015, respectively. Factors contributing to the change in gross profit rate are outlined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2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580" w:type="dxa"/>
            <w:vAlign w:val="bottom"/>
          </w:tcPr>
          <w:p>
            <w:pPr>
              <w:spacing w:after="0"/>
              <w:rPr>
                <w:sz w:val="24"/>
                <w:szCs w:val="24"/>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JULY 2, 2016</w:t>
            </w:r>
          </w:p>
        </w:tc>
        <w:tc>
          <w:tcPr>
            <w:tcW w:w="2360" w:type="dxa"/>
            <w:vAlign w:val="bottom"/>
          </w:tcPr>
          <w:p>
            <w:pPr>
              <w:jc w:val="right"/>
              <w:ind w:right="674"/>
              <w:spacing w:after="0"/>
              <w:rPr>
                <w:sz w:val="20"/>
                <w:szCs w:val="20"/>
                <w:color w:val="auto"/>
              </w:rPr>
            </w:pPr>
            <w:r>
              <w:rPr>
                <w:rFonts w:ascii="Arial" w:cs="Arial" w:eastAsia="Arial" w:hAnsi="Arial"/>
                <w:sz w:val="14"/>
                <w:szCs w:val="14"/>
                <w:b w:val="1"/>
                <w:bCs w:val="1"/>
                <w:color w:val="auto"/>
              </w:rPr>
              <w:t>JULY 2, 2016</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360" w:type="dxa"/>
            <w:vAlign w:val="bottom"/>
          </w:tcPr>
          <w:p>
            <w:pPr>
              <w:jc w:val="right"/>
              <w:ind w:right="134"/>
              <w:spacing w:after="0"/>
              <w:rPr>
                <w:sz w:val="20"/>
                <w:szCs w:val="20"/>
                <w:color w:val="auto"/>
              </w:rPr>
            </w:pPr>
            <w:r>
              <w:rPr>
                <w:rFonts w:ascii="Arial" w:cs="Arial" w:eastAsia="Arial" w:hAnsi="Arial"/>
                <w:sz w:val="18"/>
                <w:szCs w:val="18"/>
                <w:color w:val="auto"/>
              </w:rPr>
              <w:t>0.3</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2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360" w:type="dxa"/>
            <w:vAlign w:val="bottom"/>
          </w:tcPr>
          <w:p>
            <w:pPr>
              <w:jc w:val="right"/>
              <w:ind w:right="134"/>
              <w:spacing w:after="0"/>
              <w:rPr>
                <w:sz w:val="20"/>
                <w:szCs w:val="20"/>
                <w:color w:val="auto"/>
              </w:rPr>
            </w:pPr>
            <w:r>
              <w:rPr>
                <w:rFonts w:ascii="Arial" w:cs="Arial" w:eastAsia="Arial" w:hAnsi="Arial"/>
                <w:sz w:val="18"/>
                <w:szCs w:val="18"/>
                <w:color w:val="auto"/>
              </w:rPr>
              <w:t>0.7</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0.1</w:t>
            </w:r>
          </w:p>
        </w:tc>
      </w:tr>
      <w:tr>
        <w:trPr>
          <w:trHeight w:val="237"/>
        </w:trPr>
        <w:tc>
          <w:tcPr>
            <w:tcW w:w="658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(0.2)</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2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658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gross profit rate for the three months ended July 2, 2016 was primarily driven by:</w:t>
      </w:r>
    </w:p>
    <w:p>
      <w:pPr>
        <w:spacing w:after="0" w:line="13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commodities primarily related to fertilizer inputs;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favorable impact of increased pricing in the U.S. Consumer segment; and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distribution costs within our U.S. Consumer segment due to savings from lower fuel prices and reduced costs from efficiencies in our growing media business;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partially offset by a decrease in net sales attributable to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 and</w:t>
      </w:r>
    </w:p>
    <w:p>
      <w:pPr>
        <w:spacing w:after="0" w:line="41" w:lineRule="exact"/>
        <w:rPr>
          <w:rFonts w:ascii="Arial" w:cs="Arial" w:eastAsia="Arial" w:hAnsi="Arial"/>
          <w:sz w:val="18"/>
          <w:szCs w:val="18"/>
          <w:color w:val="auto"/>
        </w:rPr>
      </w:pPr>
    </w:p>
    <w:p>
      <w:pPr>
        <w:ind w:left="440" w:right="80" w:firstLine="216"/>
        <w:spacing w:after="0" w:line="396"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product mix within our U.S. Consumer segment due to increased sales of mulch products and decreased sales of fertilizer products. The increase in the gross profit rate for the nine months ended July 2, 2016 was primarily driven by:</w:t>
      </w:r>
    </w:p>
    <w:p>
      <w:pPr>
        <w:spacing w:after="0" w:line="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distribution costs within our U.S. Consumer segment due to savings from lower fuel prices and reduced costs from efficiencies in our growing media business;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material costs in our U.S. Consumer segment driven by commodities primarily related to fertilizer inputs;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favorable impact of increased pricing in the U.S. Consumer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net sales attributable to our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980" w:hanging="324"/>
        <w:spacing w:after="0" w:line="272"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partially offset by unfavorable product mix within our U.S. Consumer segment due to increased sales of mulch products and decreased sales of fertilizer products; and</w:t>
      </w:r>
    </w:p>
    <w:p>
      <w:pPr>
        <w:spacing w:after="0" w:line="66" w:lineRule="exact"/>
        <w:rPr>
          <w:rFonts w:ascii="Arial" w:cs="Arial" w:eastAsia="Arial" w:hAnsi="Arial"/>
          <w:sz w:val="18"/>
          <w:szCs w:val="18"/>
          <w:color w:val="auto"/>
        </w:rPr>
      </w:pPr>
    </w:p>
    <w:p>
      <w:pPr>
        <w:ind w:left="980" w:right="20" w:hanging="324"/>
        <w:spacing w:after="0" w:line="216"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restructuring and other charges of $1.9 million related to addressing the consumer complaints regarding our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product sold during fiscal 2015.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(“SG&amp;A”)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JULY 2, 2016</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2015</w:t>
            </w: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JULY 2, 2016</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JUNE 27, 2015</w:t>
            </w:r>
          </w:p>
        </w:tc>
      </w:tr>
      <w:tr>
        <w:trPr>
          <w:trHeight w:val="250"/>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31.3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281.9</w:t>
            </w:r>
          </w:p>
        </w:tc>
      </w:tr>
      <w:tr>
        <w:trPr>
          <w:trHeight w:val="237"/>
        </w:trPr>
        <w:tc>
          <w:tcPr>
            <w:tcW w:w="47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449.5</w:t>
            </w: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months ended July 2, 2016 compared to the three months ended June 27, 2015, advertising expense decreased $2.1 million driven by the timing of media spending in our U.S. Consumer and Europe Consumer segments. The decrease in other SG&amp;A expenses of $2.9 million is due to decreased selling and variable incentive compensation of $3.3 million and the favorable impact of foreign exchange rates of $0.8 million as the U.S. dollar has strengthened relative to other currencies including the Canadian dollar, euro and British pound, partially offset by the impact of recent acquisitions and costs related to other transaction activity of $1.5 million.</w:t>
      </w:r>
    </w:p>
    <w:p>
      <w:pPr>
        <w:spacing w:after="0" w:line="10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nine months ended July 2, 2016 compared to the nine months ended June 27, 2015, other SG&amp;A expenses increased $10.2 million driven by the impact of recent acquisitions and costs related to other transaction activity of $8.8 million and increased variable incentive compensation of $8.3 million, partially offset by the favorable impact of foreign exchange rates of $4.8 million as the U.S. dollar has strengthened relative to other currencies including the Canadian dollar, euro and British pound.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(included in Operating Expenses)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first quarter of fiscal 2016, we announced a series of initiatives called Project Focus designed to maximize the value of our non-core assets and focus on emerging categories of the lawn and garden industry in our core U.S. business. During the three and nine months ended July 2, 2016, we recognized costs of $(0.3) million and $2.3 million, respectively, related to transaction activity associated with this project.</w:t>
      </w:r>
    </w:p>
    <w:p>
      <w:pPr>
        <w:spacing w:after="0" w:line="100"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8"/>
          <w:szCs w:val="18"/>
          <w:color w:val="auto"/>
        </w:rPr>
        <w:t>During the third quarter of fiscal 2015, our U.S. Consumer segment began experiencing an increase in certain consumer complaints related to the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fertilizer product sold in the southeastern United States during fiscal 2015 indicating customers were experiencing damage to their lawns after application. During the three and nine months ended July 2, 2016, we recognized $0.1 million and $1.4 million in costs related to resolving these consumer complaints and the recognition of costs expected to be incurred for current and expected consumer claims. Costs incurred to date since the inception of this matter are $74.3 million. We are working through the claims process with our insurers with respect to these costs, and have received reimbursement payments of $60.8 million through the third quarter of fiscal 2016, including $5.9 million and $40.9 million received during the three and nine months ended July 2, 2016, respectively. We recorded offsetting insurance reimbursement recoveries upon resolution of the insurer’s review of claim documentation in the amount of $4.9 million in the fourth quarter of fiscal 2015, $50.0 million in the second quarter of fiscal 2016 and $5.9 million during the third quarter of fiscal 2016.</w:t>
      </w:r>
    </w:p>
    <w:p>
      <w:pPr>
        <w:spacing w:after="0" w:line="12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nine months ended June 27, 2015, we recognized $6.6 million and $19.9 million, respectively, in restructuring costs related to termination benefits provided to U.S. and international personnel as part of our restructuring of the U.S. administrative and overhead functions, the continuation of the international profitability improvement initiative and the liquidation and exit from the U.K. Solus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right="20" w:firstLine="405"/>
        <w:spacing w:after="0" w:line="226" w:lineRule="auto"/>
        <w:rPr>
          <w:sz w:val="20"/>
          <w:szCs w:val="20"/>
          <w:color w:val="auto"/>
        </w:rPr>
      </w:pPr>
      <w:r>
        <w:rPr>
          <w:rFonts w:ascii="Arial" w:cs="Arial" w:eastAsia="Arial" w:hAnsi="Arial"/>
          <w:sz w:val="18"/>
          <w:szCs w:val="18"/>
          <w:color w:val="auto"/>
        </w:rPr>
        <w:t>During the third quarter of fiscal 2015, we recognized $37.7 million in costs related to resolving consumer complaints and the recognition of costs expected to be incurred for current and expected consumer claims related to the reformulated Bonus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 fertilizer product sold in the southeastern United States during fiscal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income earned from loans receivable, foreign exchange gains/losses and gains/losses from the sale of non-inventory assets. Other income was $5.6 million and $7.1 million for the three and nine months ended July 2, 2016, respectively, compared to $1.8 million and $2.4 million for the three and nine months ended June 27, 2015, respectively. The increase in other income for the three and nine months ended July 2, 2016 was due to a gain on the sale of a growing media plant that is being relocated, an increase in income on loans receivable and royalty income earned from the Joint Venture related to its use of brand names.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Loss of Unconsolidated Affiliates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July 2, 2016, we held a minority equity interest of approximately 30% in the Joint Venture. This interest was initially recorded at fair value on the transaction date and subsequently is accounted for using the equity method of accounting, with our proportionate share of Joint Venture earnings reflected in the Condensed Consolidated Statements of Operations. We recognized equity in losses of the Joint Venture of $3.5 million for the three and nine months ended July 2, 2016. Included within losses of unconsolidated affiliates for the three and nine months ended July 2, 2016 is our share of impairment, restructuring and other charges of $17.0 million. These charges included $10.8 million for transaction costs, $0.6 million for nonrecurring integration and separation costs and $5.6 million for a non-cash fair value write-down adjustment on its deferred revenue.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Costs related to refinancing were $8.8 million for the nine months ended July 2, 2016. The costs incurred were associated with the redemption of our 6.625% Senior Notes on December 15, 2015, and are comprised of $6.6 million of call premium and $2.2 million of unamortized bond discount and issuance costs that were written off.</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was $16.9 million for the three months ended July 2, 2016 compared to $14.3 million for the three months ended June 27, 2015. The increase in interest expense of $2.6 million was driven by an increase in average borrowings of $323.1 million, which is net of a decrease of $9.3 million due to the impact of foreign exchange rates, partially offset by a decrease in our weighted average interest rate of 15 basis points primarily due to reduced rates under our credit facility and the redemption of the 6.625% Senior Notes.</w:t>
      </w:r>
    </w:p>
    <w:p>
      <w:pPr>
        <w:spacing w:after="0" w:line="1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Interest expense was $52.3 million for the nine months ended July 2, 2016 compared to $39.0 million for the nine months ended June 27, 2015. The increase in interest expense of $13.3 million was driven by an increase in average borrowings of $399.8 million, which is net of a decrease of $5.1 million due to the impact of foreign exchange rates, and an increase in our weighted average interest rate of 6 basis points primarily due to the higher proportion of long-term fixed-rate borrowing in our debt mix during fiscal 2016. The increase in average borrowings was driven by recent acquisition and investment activity, primarily related to General Hydroponics, Vermicrop, Bonnie, Gavita, the amendment of our Marketing Agreement with Monsanto and an increase in repurchases of our Common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effective tax rate related to continuing operations for the nine months ended July 2, 2016 was 35.5%, compared to 35.0% for the nine months ended June 27, 2015.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reported income from continuing operations of $127.0 million, or $2.06 per diluted share, for the three months ended July 2, 2016 compared to $115.1 million, or $1.85 per diluted share, for the three months ended June 27, 2015; and $273.5 million, or $4.40 per diluted share, for the first nine months of fiscal 2016 compared to $180.1 million, or $2.90 per diluted share, for the first nine months of fiscal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For the three months ended July 2, 2016, the increase was driven by impairment, restructuring and other recoveries during fiscal 2016 as compared to charges during fiscal 2015, improvement in gross profit rate and a decrease in SG&amp;A expenses, partially offset by a decrease in net sales and an increase in interest expense. Diluted average common shares used in the diluted income per common share calculation were 61.9 million for the three months ended July 2, 2016 compared to 62.3 million for the three months ended June 27, 2015. The decrease in dilutive average common shares was primarily the result of Common Share repurchase activity, partially offset by the exercise and issuance of share-based compensation awards and the payment of contingent consideration in Common Shares in connection with the Vermicrop acquisition.</w:t>
      </w:r>
    </w:p>
    <w:p>
      <w:pPr>
        <w:spacing w:after="0" w:line="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nine months ended July 2, 2016, the increase was driven by impairment, restructuring and other recoveries during fiscal 2016 as compared to charges during fiscal 2015, an increase in net sales and gross profit rate, partially offset by increases in interest expense, costs related to refinancing and SG&amp;A. Diluted average common shares used in the diluted income per common share calculation were 62.2 million for the nine months ended July 2, 2016 compared to 62.1 million for the nine months ended June 27, 2015. The increase in dilutive average common shares was primarily the result of the exercise and issuance of share-based compensation awards and the payment of contingent consideration in Common Shares in connection with the Vermicrop acquisition, partially offset by Common Share repurchase activity.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tax</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April 13, 2016, the Company completed the contribution of the SLS Business to the Joint Venture in exchange for a minority equity interest of approximately 30% in the Joint Venture. As a result, effective in its second quarter of fiscal 2016, the Company classified its results of operations for all periods presented to reflect the SLS Business as a discontinued operation and classified the assets and liabilities of the SLS Business as held for sale. The prior period amounts have been reclassified to conform. During the nine months ended July 2, 2016, we recognized $9.0 million for the resolution of a prior SLS Business litigation matter, as well as $4.4 million in transaction related costs associated with the divestiture of the SLS Business within the “Income from discontinued operations, net of tax” line in the Condensed Consolidated Statements of Operations.</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Income from discontinued operations, net of tax, was $85.7 million and $17.9 million for the three months ended July 2, 2016 and June 27, 2015, respectively, and was $68.2 million and $3.2 million for the nine months ended July 2, 2016 and June 27, 2015, respectively. The increase is primarily driven by the after-tax gain on contribution of $86.4 million, partially offset by a net loss from the operations of the SLS Business of $0.7 million and $18.2 million for the three and nine months ended July 2, 2016, respectively, as compared to net income from the operations of the SLS Business of $17.9 million and $3.2 million for the three and nine months ended June 27, 2015,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We divide our business into three reportable segments: U.S. Consumer, Europe Consumer and Other. These segments differ from those used in prior periods due to the change in our internal organizational structure associated with Project Focus, which is a series of initiatives announced in the first quarter of fiscal 2016 designed to maximize the value of our non-core assets and concentrate focus on emerging categories of the lawn and garden industry in our core U.S. business. On April 13, 2016, as part of this project, we completed the contribution of the SLS Business to a newly formed subsidiary of TruGreen Holdings in exchange for a minority equity interest of approximately 30% in the Joint Venture. As a result, effective in our second quarter of fiscal 2016, we classified our results of operations for all periods presented to reflect the SLS Business as a discontinued operation and classified the assets and liabilities of the SLS Business as held for sale. The prior period amounts have been reclassified to conform with the new segments. This division of reportable segments is consistent with how the segments report to and are managed by the chief operating decision maker of the Company.</w:t>
      </w:r>
    </w:p>
    <w:p>
      <w:pPr>
        <w:spacing w:after="0" w:line="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U.S. Consumer consists of the Company’s consumer lawn and garden business located in the geographic United States. Europe Consumer consists of the Company’s consumer lawn and garden business located in geographic Europe. Other consists of the Company’s consumer lawn and garden business in geographies other than the U.S. and Europe, the Company’s indoor, urban and hydroponics gardening business, and revenues and expenses associated with the Company’s supply agreements with Israel Chemicals, Ltd. Corporate consists of general and administrative expenses and certain other income/expense items not allocated to the business segments.</w:t>
      </w:r>
    </w:p>
    <w:p>
      <w:pPr>
        <w:spacing w:after="0" w:line="10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(loss) from continuing operations before amortization, impairment, restructuring and other charges, which is not a generally accepted accounting principle (“GAAP”) measure. Senior management uses this measure of operating profit (loss) to evaluate segment performance because the Company believes this measure is most indicative of performance trends and the overall earnings potential of each segment.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JULY 2, 2016</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2015</w:t>
            </w: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JULY 2, 2016</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JUNE 27, 2015</w:t>
            </w:r>
          </w:p>
        </w:tc>
      </w:tr>
      <w:tr>
        <w:trPr>
          <w:trHeight w:val="250"/>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871.2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 Consumer</w:t>
            </w:r>
          </w:p>
        </w:tc>
        <w:tc>
          <w:tcPr>
            <w:tcW w:w="2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260.9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230.1</w:t>
            </w:r>
          </w:p>
        </w:tc>
      </w:tr>
      <w:tr>
        <w:trPr>
          <w:trHeight w:val="257"/>
        </w:trPr>
        <w:tc>
          <w:tcPr>
            <w:tcW w:w="470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994.1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1,111.3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2,433.8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2,352.6</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(loss) from continuing operations before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JULY 2, 2016</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27, 2015</w:t>
            </w: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JULY 2, 2016</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JUNE 27, 2015</w:t>
            </w:r>
          </w:p>
        </w:tc>
      </w:tr>
      <w:tr>
        <w:trPr>
          <w:trHeight w:val="250"/>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 Consumer</w:t>
            </w: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Segment Total</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468.0</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2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U.S. Consumer segment net sales were $756.7 million in the third quarter of fiscal 2016, a decrease of 13.1% from the third quarter of fiscal 2015 net sales of $871.2 million; and were $1,909.6 million for the first nine months of fiscal 2016, an increase of 2.6% from the first nine months of fiscal 2015 sales of $1,861.6 million. For the three months ended July 2, 2016, the unfavorable impact of decreased sales volume of 14.8%, which includes the impact of the calendar shift, was partially offset by the favorable impact of increased pricing and acquisitions of 1.2% and 0.4%, respectively. Decreased sales volume, including the impact of the calendar shift, for the three months ended July 2, 2016 was driven by decreased sales of fertilizer, seed and growing media products. For the nine months ended July 2, 2016, the increase was driven by the favorable impact of volume, which includes the impact of the calendar shift, pricing and acquisitions of 2.0%, 0.4% and 0.2%, respectively. Increased sales volume, including the impact of the calendar shift, for the nine months ended July 2, 2016 was driven by increased sales of growing media and controls products, as well as the impact of the Marketing Agreement for consumer Roundup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5"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7"/>
          <w:szCs w:val="17"/>
          <w:color w:val="auto"/>
        </w:rPr>
        <w:t>U.S. Consumer segment operating income decreased by $32.1 million, or 13.5%, in the third quarter of fiscal 2016, and increased $57.7 million, or 13.4%, in the first nine months of fiscal 2016, as compared to the same periods in fiscal 2015. The decrease for the three months ended July 2, 2016 was primarily driven by decreased sales of fertilizer, seed and growing media products, including the impact of the calendar shift, partially offset by lower distribution costs due to savings from fuel purchases and hedging, lower material costs driven by commodities and decreased SG&amp;A as a result of decreased compensation expense. The increase for the nine months ended July 2, 2016 was primarily driven by increased sales of growing media and controls products, including the impact of the calendar shift, the impact of the Marketing Agreement for consumer Roundup</w:t>
      </w:r>
      <w:r>
        <w:rPr>
          <w:rFonts w:ascii="Arial" w:cs="Arial" w:eastAsia="Arial" w:hAnsi="Arial"/>
          <w:sz w:val="24"/>
          <w:szCs w:val="24"/>
          <w:color w:val="auto"/>
          <w:vertAlign w:val="superscript"/>
        </w:rPr>
        <w:t>®</w:t>
      </w:r>
      <w:r>
        <w:rPr>
          <w:rFonts w:ascii="Arial" w:cs="Arial" w:eastAsia="Arial" w:hAnsi="Arial"/>
          <w:sz w:val="17"/>
          <w:szCs w:val="17"/>
          <w:color w:val="auto"/>
        </w:rPr>
        <w:t>, lower distribution costs due to savings from fuel purchases and hedging and lower material costs driven by commodities, partially offset by increased SG&amp;A as a result of the impact of recent acquisitions and costs related to other transaction activity and increased compensation expense.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Consumer</w:t>
      </w:r>
    </w:p>
    <w:p>
      <w:pPr>
        <w:spacing w:after="0" w:line="1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Europe Consumer segment net sales were $96.2 million in the third quarter of fiscal 2016, a decrease of 12.8% from the third quarter of fiscal 2015 net sales of $110.3 million; and were $236.9 million for the first nine months of fiscal 2016, a decrease of 9.2% from the first nine months of fiscal 2015 sales of $260.9 million. For the three months ended July 2, 2016, the decrease was driven by the prior year exit from the U.K. Solus business of $7.7 million, or 7.0%, and the unfavorable impact of changes in foreign exchange rates, volume, which includes the impact of the calendar shift, and decreased pricing of 2.6%, 1.7% and 1.5%, respectively. For the nine months ended July 2, 2016, the decrease was driven by the prior year exit from the U.K. Solus business of $14.0 million, or 5.4%, and the unfavorable impact of changes in foreign exchange rates and decreased pricing of 3.5% and 1.0%, respectively, partially offset by the favorable impact of volume of $1.7 million, or 0.7%, which includes the impact of the calendar shift.</w:t>
      </w:r>
    </w:p>
    <w:p>
      <w:pPr>
        <w:spacing w:after="0" w:line="9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Europe Consumer segment operating income decreased by 21.3%, to $11.8 million, in the third quarter of fiscal 2016, and increased by 1.3%, to $24.2 million, in the first nine months of fiscal 2016, as compared to the same periods in fiscal 2015. For the three months ended July 2, 2016, the decrease was driven by the unfavorable impact of changes in foreign exchange rates, volume, which includes the impact of the calendar shift, and decreased pricing. The increase for the first nine months of fiscal 2016 was primarily driven by the prior year exit from the U.K. Solus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Other segment net sales were $141.2 million in the third quarter of fiscal 2016, an increase of 8.8% from the third quarter of fiscal 2015 net sales of $129.8 million; and were $287.3 million for the first nine months of fiscal 2016, an increase of 24.9%, from the first nine months of fiscal 2015 sales of $230.1 million. For the three months ended July 2, 2016, the favorable impacts of volume and acquisitions of 5.0% and 7.9%, respectively, were partially offset by the unfavorable impacts of changes in foreign exchange rates and decreased pricing of 3.9% and 0.1%, respectively. For the nine months ended July 2, 2016, the favorable impacts of volume and acquisitions of 12.4% and 18.8%, respectively, were partially offset by the unfavorable impacts of changes in foreign exchange rates and decreased pricing of 5.5% and 0.7%, respectively. The addition of net sales from acquisitions and increased volume from our indoor and urban gardening business comprise $15.5 million and $55.8 million of the increase in net sales for the three and nine months ended July 2, 2016, respectively.</w:t>
      </w:r>
    </w:p>
    <w:p>
      <w:pPr>
        <w:spacing w:after="0" w:line="11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segment operating income increased to $11.9 million in the third quarter of fiscal 2016, and increased to $17.0 million in the first nine months of fiscal 2016, as compared to the same periods in fiscal 2015. The increases were primarily driven by net sales due to acquisitions and increased sales volume, partially offset by increased SG&amp;A as a result of costs related to other transaction activity and increased compensation expense.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Corporate operating loss was $13.8 million in the third quarter of fiscal 2016 as compared to $22.1 million in the third quarter of fiscal 2015. The decrease was primarily due to decreased variable incentive compensation, an increase in income on loans receivable and royalty income earned from the Joint Venture related to its use of brand names. Corporate operating loss was $73.9 million for the nine months ended July 2, 2016 as compared to $76.0 million for the nine months ended June 27, 2015. The decrease was primarily due to an increase in income on loans receivable and royalty income earned from the Joint Venture related to its use of brand names.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Cash used in operating activities totaled $28.9 million for the nine months ended July 2, 2016 as compared to cash provided by operating activities of $24.2 million for the nine months ended June 27, 2015. Cash provided by operating activities from the SLS Business was $38.9 million and $30.1 million for the nine months ended July 2, 2016 and June 27, 2015, respectively.</w:t>
      </w:r>
    </w:p>
    <w:p>
      <w:pPr>
        <w:spacing w:after="0" w:line="10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Cash from operating activities decreased $53.1 million for the first nine months of fiscal 2016 as compared to the first nine months of fiscal 2015, primarily driven by an increase in cash used for working capital related to increased inventory, timing of customer receipts as compared to payment of current liabilities and an increase in accounts receivable from the Joint Venture of $30.0 million for expenses incurred pursuant to a transition services agreement and an employee leasing agreement, partially offset by insurance reimbursement recoveries of $40.9 million related to the Bonus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 consumer complaint matter.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Cash used in investing activities totaled $114.8 million and $215.0 million for the nine months ended July 2, 2016 and June 27, 2015, respectively. Cash used in investing activities related to the SLS Business was $1.4 million and $23.4 million for the nine months ended July 2, 2016 and June 27, 2015,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Cash used for investments in property, plant and equipment during the first nine months of fiscal 2016 and fiscal 2015 was $35.7 million and $41.2 million, respectively. During the nine months ended July 2, 2016, we made an investment in Bonnie in the amount of $72.0 million, made an investment in an unconsolidated subsidiary of $2.0 million, provided an $18.0 million investment in second lien term loan financing to the Joint Venture and completed the acquisitions of Gavita and a Canadian growing media operation which included cash payments of $161.4 million. These cash outflows were partially offset by a distribution of $196.2 million from the Joint Venture. During the nine months ended June 27, 2015, we completed the acquisitions of General Hydroponics and Vermicrop for $120.0 million and $15.0 million, respectively, in addition to four acquisitions of growing media operations with an aggregate estimated purchase price of $40.7 million. Additionally,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completed the acquisition of Action Pest for $21.7 million. These acquisitions included cash payments of $179.1 million during the first nine months of fiscal 2015.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Financing activities provided cash of $152.8 million and $186.2 million for the nine months ended July 2, 2016 and June 27, 2015, respectively. The decrease in cash provided by financing activities of $33.4 million was the result of the repayment of $200.0 million aggregate principal amount of 6.625% Senior Notes, a decrease in net borrowings under our credit facilities of $145.1 million, payment of financing and issuance fees of $11.2 million related to our new credit agreement and the 6.000% Senior Notes, an increase in repurchases of our Common Shares of $66.4 million and a decrease in cash received from the exercise of stock options of $6.6 million, partially offset by the issuance of $400.0 million aggregate principal amount of 6.000% Senior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$77.2 million and $79.9 million as of July 2, 2016 and June 27, 2015, respectively, included $54.7 million and $69.3 million, respectively,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 sale or liquidation.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December 20, 2013, we entered into the third amended and restated credit agreement, providing us with a five-year senior secured revolving loan facility in the aggregate principal amount of up to $1.7 billion (the “former credit facility”). On October 29, 2015, we entered into the fourth amended and restated credit agreement (the “new credit agreement”), providing us with five-year senior secured loan facilities in the aggregate principal amount of $1.9 billion, comprised of a revolving credit facility of $1.6 billion and a term loan in the original principal amount of $300.0 million (the “new credit facilities”). The new credit agreement also provides us with the right to seek additional committed credit under the agreement in an aggregate amount of up to $500.0 million plus an unlimited additional amount, subject to certain specified financial and other conditions. Under the new credit agreement, we have the ability to obtain letters of credit up to $100.0 million. Borrowings on the revolving credit facility may be made in various currencies, including U.S. dollars, euro, British pounds, Australian dollars and Canadian dollars.</w:t>
      </w:r>
    </w:p>
    <w:p>
      <w:pPr>
        <w:spacing w:after="0" w:line="10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At July 2, 2016, we had letters of credit outstanding in the aggregate principal amount of $26.8 million, and $1.1 billion of availability under the new credit agreement, subject to our continued compliance with covenants discussed below. The weighted average interest rates on average borrowings under the new credit agreement and the former credit facility were 3.9% and 4.1% for the nine months ended July 2, 2016 and June 27, 2015, respectively.</w:t>
      </w:r>
    </w:p>
    <w:p>
      <w:pPr>
        <w:spacing w:after="0" w:line="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maintain a Master Accounts Receivable Purchase Agreement (“MARP Agreement”), which provides for the discretionary sale by us, and the discretionary purchase (outside of the commitment period specified in the MARP Agreement) by the participating banks, on a revolving basis, of accounts receivable generated by sales to three specified account debtors in an aggregate amount not to exceed $400.0 million.</w:t>
      </w:r>
    </w:p>
    <w:p>
      <w:pPr>
        <w:spacing w:after="0" w:line="10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March 23, 2016, we entered into a Waiver and First Amendment to the MARP Agreement that amends the MARP Agreement in the following significant respects: (1) includes subsidiaries and affiliates of the approved debtors into the definition of approved debtors; (2) requires Scotts LLC to repurchase all receivables (including any defaulted receivables) from the banks on each settlement date; and (3) provides the administrative agent and the banks with full recourse to Scotts LLC in case of non-payment of any purchased receivable on the maturity date thereof, regardless of the reason for such non-payment. Under the terms of the amended MARP Agreement, the banks have the opportunity to purchase those accounts receivable offered by us at a discount (from the agreed base value thereof) effectively equal to the one-week LIBO rate plus 0.95%. There were $348.0 million and $301.1 million in borrowings or receivables pledged as collateral under the MARP Agreement as of July 2, 2016 and June 27,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2015. The carrying value of the receivables pledged as collateral was $435.1 million as of July 2, 2016 and $376.4 million as of June 27, 2015. As of July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there was $26.7 million of availability under the MARP Agreement.</w:t>
      </w:r>
    </w:p>
    <w:p>
      <w:pPr>
        <w:spacing w:after="0" w:line="15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October 13, 2015, we issued $400.0 million aggregate principal amount of 6.000% senior notes due 2023 (the “6.000% Senior Notes”). The net proceeds of the offering were used to repay outstanding borrowings under our former credit facility. The 6.000% Senior Notes represent general unsecured senior obligations and rank equal in right of payment with our existing and future unsecured senior debt. The 6.000% Senior Notes have interest payment dates of April 15 and October 15 of each year, commencing April 15, 2016. The 6.000% Senior Notes may be redeemed, in whole or in part, on or after October 15, 2018 at applicable redemption premiums. The 6.000% Senior Notes contain customary covenants and events of default and mature on October 15, 2023. Substantially all of our domestic subsidiaries serve as guarantors of the 6.000% Senior Notes.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15, 2015, we used a portion of our available credit facility borrowings to redeem all $200.0 million aggregate principal amount of our outstanding 6.625% senior notes due 2020 (the “6.625% Senior Notes”), paying a redemption price of $213.2 million, comprised of $6.6 million of accrued and unpaid interest, $6.6 million of call premium and $200.0 million for outstanding principal amount.</w:t>
      </w:r>
    </w:p>
    <w:p>
      <w:pPr>
        <w:spacing w:after="0" w:line="12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were in compliance with all debt covenants as of July 2, 2016. Our new credit agreement contains, among other obligations, an affirmative covenant regarding our leverage ratio on the last day of each quarter, calculated as our net indebtedness divided by adjusted earnings before interest, taxes, depreciation and amortization. The maximum leverage ratio was 4.50 as of July 2, 2016. Our leverage ratio was 2.96 at July 2, 2016. Our new credit agreement also includes an affirmative covenant regarding our interest coverage. The minimum interest coverage ratio was 3.00 for the twelve months ended July 2, 2016. Our interest coverage ratio was 8.22 for the twelve months ended July 2, 2016. The new credit agreement allows us to make unlimited restricted payments (as defined in the new credit agreement), including increased or one-time dividend payments and Common Share repurchases, as long as the leverage ratio resulting from the making of such restricted payments is 4.00 or less. Otherwise we may only make restricted payments in an aggregate amount for each fiscal year not to exceed the amount set forth in the new credit agreement for such fiscal year ($175.0 million for 2016 and 2017 and $200.0 million for 2018 and each fiscal year thereafter).</w:t>
      </w:r>
    </w:p>
    <w:p>
      <w:pPr>
        <w:spacing w:after="0" w:line="10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new credit agreement and, based upon our current operating assumptions, we expect to remain in compliance with the permissible leverage ratio and interest coverage ratio throughout fiscal 2016. However, an unanticipated shortfall in earnings, an increase in net indebtedness or other factors could materially affect our ability to remain in compliance with the financial or other covenants of our new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these proceedings, whether as a result of adverse outcomes or as a result of significant defense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than the changes to our borrowing agreements during our first quarter of fiscal 2016 and acquisition activity during the third quarter of fiscal 2016, there have been no material changes outside of the ordinary course of business in our outstanding contractual obligations since the end of fiscal 2015 and through July 2, 2016. As part of the fiscal 2016 acquisitions, we acquired operating leases with total future minimum leases payments for non-cancelable operating leases of $2.1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2015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2015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 risks have not changed significantly from those disclosed in the 2015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July 2, 2016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have been no material changes to the pending legal proceedings disclosed in the 2015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July 2, 2016 have not changed materially from those described in “ITEM IA. RISK FACTORS” in the 2015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2015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terms of the new credit agreement allow the Company to make unlimited restricted payments (as defined in the new credit agreement), including increased or one-time dividend payments and Common Share repurchases, so long as the leverage ratio resulting from the making of such restricted payments is 4.00 or less. Otherwise the Company may only make restricted payments in an aggregate amount for each fiscal year not to exceed the amount set forth in the new credit agreement for such fiscal year ($175.0 million for 2016 and 2017 and $200.0 million for 2018 and each fiscal year thereafter). Our leverage ratio was 2.96 at July 2, 2016.</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July 2, 2016: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Average Price Paid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2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vMerge w:val="continue"/>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per Common Share(2)</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3 through April 30</w:t>
            </w:r>
          </w:p>
        </w:tc>
        <w:tc>
          <w:tcPr>
            <w:tcW w:w="2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111,350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72.04</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109,876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434,478,631</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May 1 through May 28</w:t>
            </w:r>
          </w:p>
        </w:tc>
        <w:tc>
          <w:tcPr>
            <w:tcW w:w="2060" w:type="dxa"/>
            <w:vAlign w:val="bottom"/>
          </w:tcPr>
          <w:p>
            <w:pPr>
              <w:jc w:val="right"/>
              <w:ind w:right="43"/>
              <w:spacing w:after="0"/>
              <w:rPr>
                <w:sz w:val="20"/>
                <w:szCs w:val="20"/>
                <w:color w:val="auto"/>
              </w:rPr>
            </w:pPr>
            <w:r>
              <w:rPr>
                <w:rFonts w:ascii="Arial" w:cs="Arial" w:eastAsia="Arial" w:hAnsi="Arial"/>
                <w:sz w:val="16"/>
                <w:szCs w:val="16"/>
                <w:color w:val="auto"/>
              </w:rPr>
              <w:t>279,584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2"/>
              <w:spacing w:after="0"/>
              <w:rPr>
                <w:sz w:val="20"/>
                <w:szCs w:val="20"/>
                <w:color w:val="auto"/>
              </w:rPr>
            </w:pPr>
            <w:r>
              <w:rPr>
                <w:rFonts w:ascii="Arial" w:cs="Arial" w:eastAsia="Arial" w:hAnsi="Arial"/>
                <w:sz w:val="16"/>
                <w:szCs w:val="16"/>
                <w:color w:val="auto"/>
              </w:rPr>
              <w:t>67.89</w:t>
            </w:r>
          </w:p>
        </w:tc>
        <w:tc>
          <w:tcPr>
            <w:tcW w:w="120" w:type="dxa"/>
            <w:vAlign w:val="bottom"/>
          </w:tcPr>
          <w:p>
            <w:pPr>
              <w:spacing w:after="0"/>
              <w:rPr>
                <w:sz w:val="20"/>
                <w:szCs w:val="20"/>
                <w:color w:val="auto"/>
              </w:rPr>
            </w:pPr>
          </w:p>
        </w:tc>
        <w:tc>
          <w:tcPr>
            <w:tcW w:w="2040" w:type="dxa"/>
            <w:vAlign w:val="bottom"/>
          </w:tcPr>
          <w:p>
            <w:pPr>
              <w:jc w:val="right"/>
              <w:ind w:right="44"/>
              <w:spacing w:after="0"/>
              <w:rPr>
                <w:sz w:val="20"/>
                <w:szCs w:val="20"/>
                <w:color w:val="auto"/>
              </w:rPr>
            </w:pPr>
            <w:r>
              <w:rPr>
                <w:rFonts w:ascii="Arial" w:cs="Arial" w:eastAsia="Arial" w:hAnsi="Arial"/>
                <w:sz w:val="16"/>
                <w:szCs w:val="16"/>
                <w:color w:val="auto"/>
              </w:rPr>
              <w:t>278,055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5"/>
              <w:spacing w:after="0"/>
              <w:rPr>
                <w:sz w:val="20"/>
                <w:szCs w:val="20"/>
                <w:color w:val="auto"/>
              </w:rPr>
            </w:pPr>
            <w:r>
              <w:rPr>
                <w:rFonts w:ascii="Arial" w:cs="Arial" w:eastAsia="Arial" w:hAnsi="Arial"/>
                <w:sz w:val="16"/>
                <w:szCs w:val="16"/>
                <w:color w:val="auto"/>
              </w:rPr>
              <w:t>415,602,029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29 through July 2</w:t>
            </w:r>
          </w:p>
        </w:tc>
        <w:tc>
          <w:tcPr>
            <w:tcW w:w="2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171,560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68.48</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169,431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403,998,621</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6"/>
                <w:szCs w:val="16"/>
                <w:color w:val="auto"/>
              </w:rPr>
              <w:t>Total</w:t>
            </w:r>
          </w:p>
        </w:tc>
        <w:tc>
          <w:tcPr>
            <w:tcW w:w="20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562,494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22"/>
              <w:spacing w:after="0"/>
              <w:rPr>
                <w:sz w:val="20"/>
                <w:szCs w:val="20"/>
                <w:color w:val="auto"/>
              </w:rPr>
            </w:pPr>
            <w:r>
              <w:rPr>
                <w:rFonts w:ascii="Arial" w:cs="Arial" w:eastAsia="Arial" w:hAnsi="Arial"/>
                <w:sz w:val="16"/>
                <w:szCs w:val="16"/>
                <w:color w:val="auto"/>
              </w:rPr>
              <w:t>68.89</w:t>
            </w:r>
          </w:p>
        </w:tc>
        <w:tc>
          <w:tcPr>
            <w:tcW w:w="120" w:type="dxa"/>
            <w:vAlign w:val="bottom"/>
          </w:tcPr>
          <w:p>
            <w:pPr>
              <w:spacing w:after="0"/>
              <w:rPr>
                <w:sz w:val="21"/>
                <w:szCs w:val="21"/>
                <w:color w:val="auto"/>
              </w:rPr>
            </w:pPr>
          </w:p>
        </w:tc>
        <w:tc>
          <w:tcPr>
            <w:tcW w:w="20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557,362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5,132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20" w:hanging="465"/>
        <w:spacing w:after="0" w:line="276"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August 11, 2014, Scotts Miracle-Gro announced that its Board of Directors authorized the repurchase of up to $500.0 million of Common Shares over a five-year period (starting November 1, 2014 through September 30, 2019). The dollar amounts in the “Approximate Dollar Value of Common Shares That May Yet be Purchased Under the Plans or Programs” column reflect the remaining amounts that were available for repurchase under the $500.0 million authorized repurchase program. On August 3, 2016, Scotts Miracle-Gro announced that its Board of Directors authorized a $500.0 million increase to the share repurchase authorization through September 30, 2019.</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59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125" w:right="1440" w:bottom="1440" w:gutter="0" w:footer="0" w:header="0"/>
        </w:sectPr>
      </w:pPr>
    </w:p>
    <w:bookmarkStart w:id="58" w:name="page59"/>
    <w:bookmarkEnd w:id="5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10, 2016</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JULY 2,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762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w:t>
            </w:r>
          </w:p>
        </w:tc>
        <w:tc>
          <w:tcPr>
            <w:tcW w:w="120" w:type="dxa"/>
            <w:vAlign w:val="bottom"/>
          </w:tcPr>
          <w:p>
            <w:pPr>
              <w:spacing w:after="0"/>
              <w:rPr>
                <w:sz w:val="16"/>
                <w:szCs w:val="16"/>
                <w:color w:val="auto"/>
              </w:rPr>
            </w:pPr>
          </w:p>
        </w:tc>
        <w:tc>
          <w:tcPr>
            <w:tcW w:w="7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9"/>
              </w:rPr>
              <w:t>First Supplemental Indenture, dated May 26, 2016, among The Scotts Miracle-Gro Company, the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Guarantors (as defined therein) and U.S. Bank National Association, as trustee</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7"/>
              </w:rPr>
              <w:t>Amendment No. 1, dated July 29, 2016 to Fourth Amended and Restated Guarantee and Collateral</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4"/>
              </w:rPr>
              <w:t>Agreement, made by The Scotts Miracle-Gro Company, each domestic Subsidiary Borrower under the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5"/>
              </w:rPr>
              <w:t>Fourth Amended and Restated Credit Agreement, and certain of its and their domestic subsidiaries, in</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favor of JPMorgan Chase Bank, N.A., as Administrative Agent</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Subsidiaries of The Scotts Miracle-Gro Company</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Executive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Financial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101.SCH</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hanging="665"/>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751840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554355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6.000% Senior Notes due 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FIRST SUPPLEMENTAL INDENTURE DATED AS OF</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May 26, 2016</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October 13, 2015</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1327785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1130935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3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FIRST SUPPLEMENTAL INDENTURE</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This FIRST SUPPLEMENTAL INDENTURE, dated as of May 26, 2016 (this “</w:t>
      </w:r>
      <w:r>
        <w:rPr>
          <w:rFonts w:ascii="Arial" w:cs="Arial" w:eastAsia="Arial" w:hAnsi="Arial"/>
          <w:sz w:val="21"/>
          <w:szCs w:val="21"/>
          <w:b w:val="1"/>
          <w:bCs w:val="1"/>
          <w:i w:val="1"/>
          <w:iCs w:val="1"/>
          <w:color w:val="auto"/>
        </w:rPr>
        <w:t>First Supplemental Indenture</w:t>
      </w:r>
      <w:r>
        <w:rPr>
          <w:rFonts w:ascii="Arial" w:cs="Arial" w:eastAsia="Arial" w:hAnsi="Arial"/>
          <w:sz w:val="21"/>
          <w:szCs w:val="21"/>
          <w:color w:val="auto"/>
        </w:rPr>
        <w:t>”), is by and among The Scotts Miracle-Gro Company, an Ohio corporation (such corporation and any successor,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the existing Guarantors (as defined in the Indenture referred to herein) (the “</w:t>
      </w:r>
      <w:r>
        <w:rPr>
          <w:rFonts w:ascii="Arial" w:cs="Arial" w:eastAsia="Arial" w:hAnsi="Arial"/>
          <w:sz w:val="21"/>
          <w:szCs w:val="21"/>
          <w:b w:val="1"/>
          <w:bCs w:val="1"/>
          <w:i w:val="1"/>
          <w:iCs w:val="1"/>
          <w:color w:val="auto"/>
        </w:rPr>
        <w:t>Existing Guarantors</w:t>
      </w:r>
      <w:r>
        <w:rPr>
          <w:rFonts w:ascii="Arial" w:cs="Arial" w:eastAsia="Arial" w:hAnsi="Arial"/>
          <w:sz w:val="21"/>
          <w:szCs w:val="21"/>
          <w:color w:val="auto"/>
        </w:rPr>
        <w:t>”), SLS Holdings, Inc., a Delaware corporation (“</w:t>
      </w:r>
      <w:r>
        <w:rPr>
          <w:rFonts w:ascii="Arial" w:cs="Arial" w:eastAsia="Arial" w:hAnsi="Arial"/>
          <w:sz w:val="21"/>
          <w:szCs w:val="21"/>
          <w:b w:val="1"/>
          <w:bCs w:val="1"/>
          <w:i w:val="1"/>
          <w:iCs w:val="1"/>
          <w:color w:val="auto"/>
        </w:rPr>
        <w:t>New Guarantor</w:t>
      </w:r>
      <w:r>
        <w:rPr>
          <w:rFonts w:ascii="Arial" w:cs="Arial" w:eastAsia="Arial" w:hAnsi="Arial"/>
          <w:sz w:val="21"/>
          <w:szCs w:val="21"/>
          <w:color w:val="auto"/>
        </w:rPr>
        <w:t>”), and U.S. Bank National Association, a national banking association, as trustee under the Indenture referred to herein (such corporation and any successor, the “</w:t>
      </w:r>
      <w:r>
        <w:rPr>
          <w:rFonts w:ascii="Arial" w:cs="Arial" w:eastAsia="Arial" w:hAnsi="Arial"/>
          <w:sz w:val="21"/>
          <w:szCs w:val="21"/>
          <w:b w:val="1"/>
          <w:bCs w:val="1"/>
          <w:i w:val="1"/>
          <w:iCs w:val="1"/>
          <w:color w:val="auto"/>
        </w:rPr>
        <w:t>Trustee</w:t>
      </w:r>
      <w:r>
        <w:rPr>
          <w:rFonts w:ascii="Arial" w:cs="Arial" w:eastAsia="Arial" w:hAnsi="Arial"/>
          <w:sz w:val="21"/>
          <w:szCs w:val="21"/>
          <w:color w:val="auto"/>
        </w:rPr>
        <w:t>”). The New Guarantor and the Existing Guarantors are sometimes referred to collectively herein as the “</w:t>
      </w:r>
      <w:r>
        <w:rPr>
          <w:rFonts w:ascii="Arial" w:cs="Arial" w:eastAsia="Arial" w:hAnsi="Arial"/>
          <w:sz w:val="21"/>
          <w:szCs w:val="21"/>
          <w:b w:val="1"/>
          <w:bCs w:val="1"/>
          <w:i w:val="1"/>
          <w:iCs w:val="1"/>
          <w:color w:val="auto"/>
        </w:rPr>
        <w:t>Guarantors</w:t>
      </w:r>
      <w:r>
        <w:rPr>
          <w:rFonts w:ascii="Arial" w:cs="Arial" w:eastAsia="Arial" w:hAnsi="Arial"/>
          <w:sz w:val="21"/>
          <w:szCs w:val="21"/>
          <w:color w:val="auto"/>
        </w:rPr>
        <w:t>,” or individually as a “</w:t>
      </w:r>
      <w:r>
        <w:rPr>
          <w:rFonts w:ascii="Arial" w:cs="Arial" w:eastAsia="Arial" w:hAnsi="Arial"/>
          <w:sz w:val="21"/>
          <w:szCs w:val="21"/>
          <w:b w:val="1"/>
          <w:bCs w:val="1"/>
          <w:i w:val="1"/>
          <w:iCs w:val="1"/>
          <w:color w:val="auto"/>
        </w:rPr>
        <w:t>Guarantor</w:t>
      </w:r>
      <w:r>
        <w:rPr>
          <w:rFonts w:ascii="Arial" w:cs="Arial" w:eastAsia="Arial" w:hAnsi="Arial"/>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Company, the Existing Guarantors and the Trustee are parties to an indenture, dated as of October 13, 2015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relating to the Company’s 6.000% Senior Notes due 2023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First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86" w:lineRule="exact"/>
        <w:rPr>
          <w:sz w:val="20"/>
          <w:szCs w:val="20"/>
          <w:color w:val="auto"/>
        </w:rPr>
      </w:pPr>
    </w:p>
    <w:p>
      <w:pPr>
        <w:ind w:left="1040" w:hanging="384"/>
        <w:spacing w:after="0"/>
        <w:tabs>
          <w:tab w:leader="none" w:pos="104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 Indenture.</w:t>
      </w:r>
    </w:p>
    <w:p>
      <w:pPr>
        <w:spacing w:after="0" w:line="254" w:lineRule="exact"/>
        <w:rPr>
          <w:rFonts w:ascii="Arial" w:cs="Arial" w:eastAsia="Arial" w:hAnsi="Arial"/>
          <w:sz w:val="19"/>
          <w:szCs w:val="19"/>
          <w:color w:val="auto"/>
        </w:rPr>
      </w:pPr>
    </w:p>
    <w:p>
      <w:pPr>
        <w:jc w:val="both"/>
        <w:ind w:firstLine="656"/>
        <w:spacing w:after="0" w:line="261" w:lineRule="auto"/>
        <w:tabs>
          <w:tab w:leader="none" w:pos="1094"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Joinder of New Guarantor</w:t>
      </w:r>
      <w:r>
        <w:rPr>
          <w:rFonts w:ascii="Arial" w:cs="Arial" w:eastAsia="Arial" w:hAnsi="Arial"/>
          <w:sz w:val="21"/>
          <w:szCs w:val="21"/>
          <w:color w:val="auto"/>
        </w:rPr>
        <w:t>. The New Guarantor hereby joins in the Indenture as a “Guarantor” thereunder. The New Guarantor hereby assumes the duties and obligations of Guarantors under the Indenture. The New Guarantor agrees to keep and perform all of the covenants, obligations and conditions of Guarantors under the Indenture, on the terms and subject to the conditions set forth in Article X of the Indenture, and to be bound by all other applicable provisions of the Indenture. Upon request from time to time by the Trustee, the New Guarantor shall execute and deliver to the Trustee a notation relating to the New Guarantors’ Guarantee, substantially in the form attached as Exhibit E to the Indenture.</w:t>
      </w:r>
    </w:p>
    <w:p>
      <w:pPr>
        <w:spacing w:after="0" w:line="180" w:lineRule="exact"/>
        <w:rPr>
          <w:rFonts w:ascii="Arial" w:cs="Arial" w:eastAsia="Arial" w:hAnsi="Arial"/>
          <w:sz w:val="21"/>
          <w:szCs w:val="21"/>
          <w:color w:val="auto"/>
        </w:rPr>
      </w:pPr>
    </w:p>
    <w:p>
      <w:pPr>
        <w:ind w:right="20" w:firstLine="656"/>
        <w:spacing w:after="0" w:line="263" w:lineRule="auto"/>
        <w:tabs>
          <w:tab w:leader="none" w:pos="1189"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Effect of First Supplemental Indenture</w:t>
      </w:r>
      <w:r>
        <w:rPr>
          <w:rFonts w:ascii="Arial" w:cs="Arial" w:eastAsia="Arial" w:hAnsi="Arial"/>
          <w:sz w:val="22"/>
          <w:szCs w:val="22"/>
          <w:color w:val="auto"/>
        </w:rPr>
        <w:t>. Except as amended by this First Supplemental Indenture, the terms and provisions of the Indenture shall remain in full force and effect.</w:t>
      </w:r>
    </w:p>
    <w:p>
      <w:pPr>
        <w:sectPr>
          <w:pgSz w:w="11900" w:h="16838" w:orient="portrait"/>
          <w:cols w:equalWidth="0" w:num="1">
            <w:col w:w="11420"/>
          </w:cols>
          <w:pgMar w:left="240" w:top="369" w:right="239" w:bottom="1440" w:gutter="0" w:footer="0" w:header="0"/>
        </w:sectPr>
      </w:pPr>
    </w:p>
    <w:bookmarkStart w:id="62" w:name="page63"/>
    <w:bookmarkEnd w:id="62"/>
    <w:p>
      <w:pPr>
        <w:jc w:val="both"/>
        <w:ind w:firstLine="656"/>
        <w:spacing w:after="0" w:line="250" w:lineRule="auto"/>
        <w:tabs>
          <w:tab w:leader="none" w:pos="108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FIRST SUPPLEMENTAL INDENTURE WITHOUT GIVING EFFECT TO APPLICABLE PRINCIPLES OF CONFLICTS OF LAW TO THE EXTENT THAT THE APPLICATION OF THE LAWS OF ANOTHER JURISDICTION WOULD BE REQUIRED THEREBY.</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053"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First Supplemental Indenture. Each signed copy shall be an original, but all of them together represent the same agreement. This First Supplemental Indenture may be executed in multiple counterparts which, when taken together, shall constitute one instrument.</w:t>
      </w:r>
    </w:p>
    <w:p>
      <w:pPr>
        <w:spacing w:after="0" w:line="185" w:lineRule="exact"/>
        <w:rPr>
          <w:rFonts w:ascii="Arial" w:cs="Arial" w:eastAsia="Arial" w:hAnsi="Arial"/>
          <w:sz w:val="22"/>
          <w:szCs w:val="22"/>
          <w:color w:val="auto"/>
        </w:rPr>
      </w:pPr>
    </w:p>
    <w:p>
      <w:pPr>
        <w:ind w:left="1040" w:hanging="384"/>
        <w:spacing w:after="0"/>
        <w:tabs>
          <w:tab w:leader="none" w:pos="104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54" w:lineRule="exact"/>
        <w:rPr>
          <w:rFonts w:ascii="Arial" w:cs="Arial" w:eastAsia="Arial" w:hAnsi="Arial"/>
          <w:sz w:val="19"/>
          <w:szCs w:val="19"/>
          <w:color w:val="auto"/>
        </w:rPr>
      </w:pPr>
    </w:p>
    <w:p>
      <w:pPr>
        <w:jc w:val="both"/>
        <w:ind w:firstLine="656"/>
        <w:spacing w:after="0" w:line="271" w:lineRule="auto"/>
        <w:tabs>
          <w:tab w:leader="none" w:pos="1040"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Trustee</w:t>
      </w:r>
      <w:r>
        <w:rPr>
          <w:rFonts w:ascii="Arial" w:cs="Arial" w:eastAsia="Arial" w:hAnsi="Arial"/>
          <w:sz w:val="21"/>
          <w:szCs w:val="21"/>
          <w:color w:val="auto"/>
        </w:rPr>
        <w:t>. Except as otherwise expressly provided herein, no duties, responsibilities or liabilities are assumed, or shall be construed to be assumed, by the Trustee by reason of this First Supplemental Indenture. This First Supplemental Indenture is executed and accepted by the Trustee subject to all the terms and conditions set forth in the Indenture.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63" w:name="page64"/>
    <w:bookmarkEnd w:id="63"/>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First Supplemental Indenture to be duly executed and delivered all as of the day and year first above written.</w:t>
      </w:r>
    </w:p>
    <w:p>
      <w:pPr>
        <w:spacing w:after="0" w:line="200" w:lineRule="exact"/>
        <w:rPr>
          <w:sz w:val="20"/>
          <w:szCs w:val="20"/>
          <w:color w:val="auto"/>
        </w:rPr>
      </w:pPr>
    </w:p>
    <w:p>
      <w:pPr>
        <w:spacing w:after="0" w:line="37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COMPANY:</w:t>
      </w:r>
    </w:p>
    <w:p>
      <w:pPr>
        <w:spacing w:after="0" w:line="34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THE SCOTTS MIRACLE-GRO</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5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THOMAS RANDAL</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u w:val="single" w:color="auto"/>
          <w:color w:val="auto"/>
        </w:rPr>
        <w:t>COLEMAN</w:t>
      </w:r>
      <w:r>
        <w:rPr>
          <w:rFonts w:ascii="Arial" w:cs="Arial" w:eastAsia="Arial" w:hAnsi="Arial"/>
          <w:sz w:val="22"/>
          <w:szCs w:val="22"/>
          <w:color w:val="auto"/>
        </w:rPr>
        <w:t>_____</w:t>
      </w:r>
    </w:p>
    <w:p>
      <w:pPr>
        <w:spacing w:after="0" w:line="2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 Thomas Randal Coleman</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Executive Vice President and Chief</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NEW GUARANTOR:</w:t>
      </w:r>
    </w:p>
    <w:p>
      <w:pPr>
        <w:spacing w:after="0" w:line="34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SLS HOLDINGS, INC.</w:t>
      </w:r>
    </w:p>
    <w:p>
      <w:pPr>
        <w:spacing w:after="0" w:line="23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JAMES A.</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u w:val="single" w:color="auto"/>
          <w:color w:val="auto"/>
        </w:rPr>
        <w:t>SCHROEDER</w:t>
      </w:r>
      <w:r>
        <w:rPr>
          <w:rFonts w:ascii="Arial" w:cs="Arial" w:eastAsia="Arial" w:hAnsi="Arial"/>
          <w:sz w:val="22"/>
          <w:szCs w:val="22"/>
          <w:color w:val="auto"/>
        </w:rPr>
        <w:t>___________</w:t>
      </w:r>
    </w:p>
    <w:p>
      <w:pPr>
        <w:spacing w:after="0" w:line="2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 James A. Schroeder</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EXISTING GUARANTORS:</w:t>
      </w:r>
    </w:p>
    <w:p>
      <w:pPr>
        <w:spacing w:after="0" w:line="34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GUTWEIN &amp; CO., INC.</w:t>
      </w:r>
    </w:p>
    <w:p>
      <w:pPr>
        <w:ind w:left="3920"/>
        <w:spacing w:after="0" w:line="238" w:lineRule="auto"/>
        <w:rPr>
          <w:sz w:val="20"/>
          <w:szCs w:val="20"/>
          <w:color w:val="auto"/>
        </w:rPr>
      </w:pPr>
      <w:r>
        <w:rPr>
          <w:rFonts w:ascii="Arial" w:cs="Arial" w:eastAsia="Arial" w:hAnsi="Arial"/>
          <w:sz w:val="22"/>
          <w:szCs w:val="22"/>
          <w:color w:val="auto"/>
        </w:rPr>
        <w:t>HYPONEX CORPORATION</w:t>
      </w:r>
    </w:p>
    <w:p>
      <w:pPr>
        <w:ind w:left="3920"/>
        <w:spacing w:after="0" w:line="230" w:lineRule="auto"/>
        <w:rPr>
          <w:sz w:val="20"/>
          <w:szCs w:val="20"/>
          <w:color w:val="auto"/>
        </w:rPr>
      </w:pPr>
      <w:r>
        <w:rPr>
          <w:rFonts w:ascii="Arial" w:cs="Arial" w:eastAsia="Arial" w:hAnsi="Arial"/>
          <w:sz w:val="22"/>
          <w:szCs w:val="22"/>
          <w:color w:val="auto"/>
        </w:rPr>
        <w:t>MIRACLE-GRO LAWN PRODUCTS,</w:t>
      </w:r>
    </w:p>
    <w:p>
      <w:pPr>
        <w:ind w:left="3920"/>
        <w:spacing w:after="0" w:line="231" w:lineRule="auto"/>
        <w:rPr>
          <w:sz w:val="20"/>
          <w:szCs w:val="20"/>
          <w:color w:val="auto"/>
        </w:rPr>
      </w:pPr>
      <w:r>
        <w:rPr>
          <w:rFonts w:ascii="Arial" w:cs="Arial" w:eastAsia="Arial" w:hAnsi="Arial"/>
          <w:sz w:val="22"/>
          <w:szCs w:val="22"/>
          <w:color w:val="auto"/>
        </w:rPr>
        <w:t>INC.</w:t>
      </w:r>
    </w:p>
    <w:p>
      <w:pPr>
        <w:ind w:left="3920"/>
        <w:spacing w:after="0" w:line="231" w:lineRule="auto"/>
        <w:rPr>
          <w:sz w:val="20"/>
          <w:szCs w:val="20"/>
          <w:color w:val="auto"/>
        </w:rPr>
      </w:pPr>
      <w:r>
        <w:rPr>
          <w:rFonts w:ascii="Arial" w:cs="Arial" w:eastAsia="Arial" w:hAnsi="Arial"/>
          <w:sz w:val="22"/>
          <w:szCs w:val="22"/>
          <w:color w:val="auto"/>
        </w:rPr>
        <w:t>ROD MCLELLAN COMPANY</w:t>
      </w:r>
    </w:p>
    <w:p>
      <w:pPr>
        <w:ind w:left="3920"/>
        <w:spacing w:after="0" w:line="230" w:lineRule="auto"/>
        <w:rPr>
          <w:sz w:val="20"/>
          <w:szCs w:val="20"/>
          <w:color w:val="auto"/>
        </w:rPr>
      </w:pPr>
      <w:r>
        <w:rPr>
          <w:rFonts w:ascii="Arial" w:cs="Arial" w:eastAsia="Arial" w:hAnsi="Arial"/>
          <w:sz w:val="22"/>
          <w:szCs w:val="22"/>
          <w:color w:val="auto"/>
        </w:rPr>
        <w:t>SANFORD SCIENTIFIC, INC.</w:t>
      </w:r>
    </w:p>
    <w:p>
      <w:pPr>
        <w:ind w:left="3920"/>
        <w:spacing w:after="0" w:line="231" w:lineRule="auto"/>
        <w:rPr>
          <w:sz w:val="20"/>
          <w:szCs w:val="20"/>
          <w:color w:val="auto"/>
        </w:rPr>
      </w:pPr>
      <w:r>
        <w:rPr>
          <w:rFonts w:ascii="Arial" w:cs="Arial" w:eastAsia="Arial" w:hAnsi="Arial"/>
          <w:sz w:val="22"/>
          <w:szCs w:val="22"/>
          <w:color w:val="auto"/>
        </w:rPr>
        <w:t>SCOTTS TEMECULA OPERATIONS,</w:t>
      </w:r>
    </w:p>
    <w:p>
      <w:pPr>
        <w:ind w:left="3920"/>
        <w:spacing w:after="0" w:line="231" w:lineRule="auto"/>
        <w:rPr>
          <w:sz w:val="20"/>
          <w:szCs w:val="20"/>
          <w:color w:val="auto"/>
        </w:rPr>
      </w:pPr>
      <w:r>
        <w:rPr>
          <w:rFonts w:ascii="Arial" w:cs="Arial" w:eastAsia="Arial" w:hAnsi="Arial"/>
          <w:sz w:val="22"/>
          <w:szCs w:val="22"/>
          <w:color w:val="auto"/>
        </w:rPr>
        <w:t>LLC</w:t>
      </w:r>
    </w:p>
    <w:p>
      <w:pPr>
        <w:ind w:left="3920"/>
        <w:spacing w:after="0" w:line="230" w:lineRule="auto"/>
        <w:rPr>
          <w:sz w:val="20"/>
          <w:szCs w:val="20"/>
          <w:color w:val="auto"/>
        </w:rPr>
      </w:pPr>
      <w:r>
        <w:rPr>
          <w:rFonts w:ascii="Arial" w:cs="Arial" w:eastAsia="Arial" w:hAnsi="Arial"/>
          <w:sz w:val="22"/>
          <w:szCs w:val="22"/>
          <w:color w:val="auto"/>
        </w:rPr>
        <w:t>SCOTTS MANUFACTURING</w:t>
      </w:r>
    </w:p>
    <w:p>
      <w:pPr>
        <w:ind w:left="3920"/>
        <w:spacing w:after="0" w:line="231" w:lineRule="auto"/>
        <w:rPr>
          <w:sz w:val="20"/>
          <w:szCs w:val="20"/>
          <w:color w:val="auto"/>
        </w:rPr>
      </w:pPr>
      <w:r>
        <w:rPr>
          <w:rFonts w:ascii="Arial" w:cs="Arial" w:eastAsia="Arial" w:hAnsi="Arial"/>
          <w:sz w:val="22"/>
          <w:szCs w:val="22"/>
          <w:color w:val="auto"/>
        </w:rPr>
        <w:t>COMPANY</w:t>
      </w:r>
    </w:p>
    <w:p>
      <w:pPr>
        <w:ind w:left="3920"/>
        <w:spacing w:after="0" w:line="231" w:lineRule="auto"/>
        <w:rPr>
          <w:sz w:val="20"/>
          <w:szCs w:val="20"/>
          <w:color w:val="auto"/>
        </w:rPr>
      </w:pPr>
      <w:r>
        <w:rPr>
          <w:rFonts w:ascii="Arial" w:cs="Arial" w:eastAsia="Arial" w:hAnsi="Arial"/>
          <w:sz w:val="22"/>
          <w:szCs w:val="22"/>
          <w:color w:val="auto"/>
        </w:rPr>
        <w:t>SCOTTS PRODUCTS CO.</w:t>
      </w:r>
    </w:p>
    <w:p>
      <w:pPr>
        <w:ind w:left="3920"/>
        <w:spacing w:after="0" w:line="230" w:lineRule="auto"/>
        <w:rPr>
          <w:sz w:val="20"/>
          <w:szCs w:val="20"/>
          <w:color w:val="auto"/>
        </w:rPr>
      </w:pPr>
      <w:r>
        <w:rPr>
          <w:rFonts w:ascii="Arial" w:cs="Arial" w:eastAsia="Arial" w:hAnsi="Arial"/>
          <w:sz w:val="22"/>
          <w:szCs w:val="22"/>
          <w:color w:val="auto"/>
        </w:rPr>
        <w:t>SCOTTS PROFESSIONAL PRODUCTS</w:t>
      </w:r>
    </w:p>
    <w:p>
      <w:pPr>
        <w:ind w:left="3920"/>
        <w:spacing w:after="0" w:line="231" w:lineRule="auto"/>
        <w:rPr>
          <w:sz w:val="20"/>
          <w:szCs w:val="20"/>
          <w:color w:val="auto"/>
        </w:rPr>
      </w:pPr>
      <w:r>
        <w:rPr>
          <w:rFonts w:ascii="Arial" w:cs="Arial" w:eastAsia="Arial" w:hAnsi="Arial"/>
          <w:sz w:val="22"/>
          <w:szCs w:val="22"/>
          <w:color w:val="auto"/>
        </w:rPr>
        <w:t>CO.</w:t>
      </w:r>
    </w:p>
    <w:p>
      <w:pPr>
        <w:ind w:left="3920"/>
        <w:spacing w:after="0" w:line="230" w:lineRule="auto"/>
        <w:rPr>
          <w:sz w:val="20"/>
          <w:szCs w:val="20"/>
          <w:color w:val="auto"/>
        </w:rPr>
      </w:pPr>
      <w:r>
        <w:rPr>
          <w:rFonts w:ascii="Arial" w:cs="Arial" w:eastAsia="Arial" w:hAnsi="Arial"/>
          <w:sz w:val="22"/>
          <w:szCs w:val="22"/>
          <w:color w:val="auto"/>
        </w:rPr>
        <w:t>SMG GROWING MEDIA, INC.</w:t>
      </w:r>
    </w:p>
    <w:p>
      <w:pPr>
        <w:ind w:left="3920"/>
        <w:spacing w:after="0" w:line="231" w:lineRule="auto"/>
        <w:rPr>
          <w:sz w:val="20"/>
          <w:szCs w:val="20"/>
          <w:color w:val="auto"/>
        </w:rPr>
      </w:pPr>
      <w:r>
        <w:rPr>
          <w:rFonts w:ascii="Arial" w:cs="Arial" w:eastAsia="Arial" w:hAnsi="Arial"/>
          <w:sz w:val="22"/>
          <w:szCs w:val="22"/>
          <w:color w:val="auto"/>
        </w:rPr>
        <w:t>SMGM LLC</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THE SCOTTS COMPANY LLC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THOMAS RANDAL</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u w:val="single" w:color="auto"/>
          <w:color w:val="auto"/>
        </w:rPr>
        <w:t>COLEMAN</w:t>
      </w:r>
      <w:r>
        <w:rPr>
          <w:rFonts w:ascii="Arial" w:cs="Arial" w:eastAsia="Arial" w:hAnsi="Arial"/>
          <w:sz w:val="22"/>
          <w:szCs w:val="22"/>
          <w:color w:val="auto"/>
        </w:rPr>
        <w:t>_____</w:t>
      </w:r>
    </w:p>
    <w:p>
      <w:pPr>
        <w:spacing w:after="0" w:line="2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 Thomas Randal Coleman</w:t>
      </w:r>
    </w:p>
    <w:p>
      <w:pPr>
        <w:spacing w:after="0" w:line="4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Executive Vice President and Chief</w:t>
      </w:r>
    </w:p>
    <w:p>
      <w:pPr>
        <w:spacing w:after="0" w:line="8"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Financial Officer</w:t>
      </w:r>
    </w:p>
    <w:p>
      <w:pPr>
        <w:sectPr>
          <w:pgSz w:w="11900" w:h="16838" w:orient="portrait"/>
          <w:cols w:equalWidth="0" w:num="1">
            <w:col w:w="11420"/>
          </w:cols>
          <w:pgMar w:left="240" w:top="375" w:right="239"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11420"/>
          </w:cols>
          <w:pgMar w:left="240" w:top="375" w:right="239" w:bottom="784" w:gutter="0" w:footer="0" w:header="0"/>
          <w:type w:val="continuous"/>
        </w:sectPr>
      </w:pPr>
    </w:p>
    <w:bookmarkStart w:id="64" w:name="page65"/>
    <w:bookmarkEnd w:id="64"/>
    <w:p>
      <w:pPr>
        <w:ind w:left="2720"/>
        <w:spacing w:after="0"/>
        <w:rPr>
          <w:sz w:val="20"/>
          <w:szCs w:val="20"/>
          <w:color w:val="auto"/>
        </w:rPr>
      </w:pPr>
      <w:r>
        <w:rPr>
          <w:rFonts w:ascii="Arial" w:cs="Arial" w:eastAsia="Arial" w:hAnsi="Arial"/>
          <w:sz w:val="22"/>
          <w:szCs w:val="22"/>
          <w:color w:val="auto"/>
        </w:rPr>
        <w:t>HAWTHORNE HYDROPONICS LLC</w:t>
      </w:r>
    </w:p>
    <w:p>
      <w:pPr>
        <w:ind w:left="2720"/>
        <w:spacing w:after="0" w:line="238" w:lineRule="auto"/>
        <w:rPr>
          <w:sz w:val="20"/>
          <w:szCs w:val="20"/>
          <w:color w:val="auto"/>
        </w:rPr>
      </w:pPr>
      <w:r>
        <w:rPr>
          <w:rFonts w:ascii="Arial" w:cs="Arial" w:eastAsia="Arial" w:hAnsi="Arial"/>
          <w:sz w:val="22"/>
          <w:szCs w:val="22"/>
          <w:color w:val="auto"/>
        </w:rPr>
        <w:t>THE HAWTHORNE GARDENING</w:t>
      </w:r>
    </w:p>
    <w:p>
      <w:pPr>
        <w:ind w:left="3220"/>
        <w:spacing w:after="0" w:line="230" w:lineRule="auto"/>
        <w:rPr>
          <w:sz w:val="20"/>
          <w:szCs w:val="20"/>
          <w:color w:val="auto"/>
        </w:rPr>
      </w:pPr>
      <w:r>
        <w:rPr>
          <w:rFonts w:ascii="Arial" w:cs="Arial" w:eastAsia="Arial" w:hAnsi="Arial"/>
          <w:sz w:val="22"/>
          <w:szCs w:val="22"/>
          <w:color w:val="auto"/>
        </w:rPr>
        <w:t>COMPANY</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HGCI, INC.</w:t>
      </w:r>
    </w:p>
    <w:p>
      <w:pPr>
        <w:spacing w:after="0" w:line="200" w:lineRule="exact"/>
        <w:rPr>
          <w:sz w:val="20"/>
          <w:szCs w:val="20"/>
          <w:color w:val="auto"/>
        </w:rPr>
      </w:pPr>
    </w:p>
    <w:p>
      <w:pPr>
        <w:spacing w:after="0" w:line="25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CHRISTOPHER J.</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u w:val="single" w:color="auto"/>
          <w:color w:val="auto"/>
        </w:rPr>
        <w:t>HAGEDORN</w:t>
      </w:r>
      <w:r>
        <w:rPr>
          <w:rFonts w:ascii="Arial" w:cs="Arial" w:eastAsia="Arial" w:hAnsi="Arial"/>
          <w:sz w:val="22"/>
          <w:szCs w:val="22"/>
          <w:color w:val="auto"/>
        </w:rPr>
        <w:t>_____</w:t>
      </w:r>
    </w:p>
    <w:p>
      <w:pPr>
        <w:spacing w:after="0" w:line="2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Name: Christopher J. Hagedorn</w:t>
      </w:r>
    </w:p>
    <w:p>
      <w:pPr>
        <w:spacing w:after="0" w:line="44"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OMS INVESTMENTS, INC.</w:t>
      </w:r>
    </w:p>
    <w:p>
      <w:pPr>
        <w:ind w:left="2720"/>
        <w:spacing w:after="0" w:line="238" w:lineRule="auto"/>
        <w:rPr>
          <w:sz w:val="20"/>
          <w:szCs w:val="20"/>
          <w:color w:val="auto"/>
        </w:rPr>
      </w:pPr>
      <w:r>
        <w:rPr>
          <w:rFonts w:ascii="Arial" w:cs="Arial" w:eastAsia="Arial" w:hAnsi="Arial"/>
          <w:sz w:val="22"/>
          <w:szCs w:val="22"/>
          <w:color w:val="auto"/>
        </w:rPr>
        <w:t>SWISS FARMS PRODUCTS, INC.</w:t>
      </w:r>
    </w:p>
    <w:p>
      <w:pPr>
        <w:ind w:left="2720"/>
        <w:spacing w:after="0"/>
        <w:rPr>
          <w:sz w:val="20"/>
          <w:szCs w:val="20"/>
          <w:color w:val="auto"/>
        </w:rPr>
      </w:pPr>
      <w:r>
        <w:rPr>
          <w:rFonts w:ascii="Arial" w:cs="Arial" w:eastAsia="Arial" w:hAnsi="Arial"/>
          <w:sz w:val="19"/>
          <w:szCs w:val="19"/>
          <w:color w:val="auto"/>
        </w:rPr>
        <w:t>SCOTTS-SIERRA INVESTMENTS LLC</w:t>
      </w:r>
    </w:p>
    <w:p>
      <w:pPr>
        <w:spacing w:after="0" w:line="200" w:lineRule="exact"/>
        <w:rPr>
          <w:sz w:val="20"/>
          <w:szCs w:val="20"/>
          <w:color w:val="auto"/>
        </w:rPr>
      </w:pPr>
    </w:p>
    <w:p>
      <w:pPr>
        <w:spacing w:after="0" w:line="293"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AIMEE M.</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u w:val="single" w:color="auto"/>
          <w:color w:val="auto"/>
        </w:rPr>
        <w:t>DELUCA</w:t>
      </w:r>
      <w:r>
        <w:rPr>
          <w:rFonts w:ascii="Arial" w:cs="Arial" w:eastAsia="Arial" w:hAnsi="Arial"/>
          <w:sz w:val="22"/>
          <w:szCs w:val="22"/>
          <w:color w:val="auto"/>
        </w:rPr>
        <w:t>_______________</w:t>
      </w:r>
    </w:p>
    <w:p>
      <w:pPr>
        <w:spacing w:after="0" w:line="2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Name: Aimee M. DeLuca</w:t>
      </w:r>
    </w:p>
    <w:p>
      <w:pPr>
        <w:spacing w:after="0" w:line="44"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Title: President and Chief Executive</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GENSOURCE, INC.</w:t>
      </w:r>
    </w:p>
    <w:p>
      <w:pPr>
        <w:spacing w:after="0" w:line="200" w:lineRule="exact"/>
        <w:rPr>
          <w:sz w:val="20"/>
          <w:szCs w:val="20"/>
          <w:color w:val="auto"/>
        </w:rPr>
      </w:pPr>
    </w:p>
    <w:p>
      <w:pPr>
        <w:spacing w:after="0" w:line="27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JAMES A.</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u w:val="single" w:color="auto"/>
          <w:color w:val="auto"/>
        </w:rPr>
        <w:t>SCHROEDER</w:t>
      </w:r>
      <w:r>
        <w:rPr>
          <w:rFonts w:ascii="Arial" w:cs="Arial" w:eastAsia="Arial" w:hAnsi="Arial"/>
          <w:sz w:val="22"/>
          <w:szCs w:val="22"/>
          <w:color w:val="auto"/>
        </w:rPr>
        <w:t>___________</w:t>
      </w:r>
    </w:p>
    <w:p>
      <w:pPr>
        <w:spacing w:after="0" w:line="2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Name: James A. Schroeder</w:t>
      </w:r>
    </w:p>
    <w:p>
      <w:pPr>
        <w:spacing w:after="0" w:line="44"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TRUSTEE:</w:t>
      </w: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U.S. BANK NATIONAL ASSOCIATION</w:t>
      </w:r>
    </w:p>
    <w:p>
      <w:pPr>
        <w:spacing w:after="0" w:line="200" w:lineRule="exact"/>
        <w:rPr>
          <w:sz w:val="20"/>
          <w:szCs w:val="20"/>
          <w:color w:val="auto"/>
        </w:rPr>
      </w:pPr>
    </w:p>
    <w:p>
      <w:pPr>
        <w:spacing w:after="0" w:line="288"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By:_</w:t>
      </w:r>
      <w:r>
        <w:rPr>
          <w:rFonts w:ascii="Arial" w:cs="Arial" w:eastAsia="Arial" w:hAnsi="Arial"/>
          <w:sz w:val="22"/>
          <w:szCs w:val="22"/>
          <w:u w:val="single" w:color="auto"/>
          <w:color w:val="auto"/>
        </w:rPr>
        <w:t>/s/ KATHERINE</w:t>
      </w:r>
    </w:p>
    <w:p>
      <w:pPr>
        <w:spacing w:after="0" w:line="8" w:lineRule="exact"/>
        <w:rPr>
          <w:sz w:val="20"/>
          <w:szCs w:val="20"/>
          <w:color w:val="auto"/>
        </w:rPr>
      </w:pPr>
    </w:p>
    <w:p>
      <w:pPr>
        <w:ind w:left="2720"/>
        <w:spacing w:after="0"/>
        <w:rPr>
          <w:sz w:val="20"/>
          <w:szCs w:val="20"/>
          <w:color w:val="auto"/>
        </w:rPr>
      </w:pPr>
      <w:r>
        <w:rPr>
          <w:rFonts w:ascii="Arial" w:cs="Arial" w:eastAsia="Arial" w:hAnsi="Arial"/>
          <w:sz w:val="22"/>
          <w:szCs w:val="22"/>
          <w:u w:val="single" w:color="auto"/>
          <w:color w:val="auto"/>
        </w:rPr>
        <w:t>ESBER</w:t>
      </w:r>
      <w:r>
        <w:rPr>
          <w:rFonts w:ascii="Arial" w:cs="Arial" w:eastAsia="Arial" w:hAnsi="Arial"/>
          <w:sz w:val="22"/>
          <w:szCs w:val="22"/>
          <w:color w:val="auto"/>
        </w:rPr>
        <w:t>______________</w:t>
      </w:r>
    </w:p>
    <w:p>
      <w:pPr>
        <w:spacing w:after="0" w:line="2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Name: Katherine Esber</w:t>
      </w:r>
    </w:p>
    <w:p>
      <w:pPr>
        <w:spacing w:after="0" w:line="44"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5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w:t>
      </w:r>
    </w:p>
    <w:p>
      <w:pPr>
        <w:sectPr>
          <w:pgSz w:w="11900" w:h="16838" w:orient="portrait"/>
          <w:cols w:equalWidth="0" w:num="1">
            <w:col w:w="9019"/>
          </w:cols>
          <w:pgMar w:left="1440" w:top="523" w:right="1440"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10</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w:t>
      </w:r>
      <w:r>
        <w:rPr>
          <w:rFonts w:ascii="Arial" w:cs="Arial" w:eastAsia="Arial" w:hAnsi="Arial"/>
          <w:sz w:val="20"/>
          <w:szCs w:val="20"/>
          <w:color w:val="auto"/>
        </w:rPr>
        <w:t>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July 29,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FOURTH AMENDED AND RESTATED GUARANTEE AND COLLATERAL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29, 2015</w:t>
      </w:r>
    </w:p>
    <w:p>
      <w:pPr>
        <w:spacing w:after="0" w:line="216"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is made as of July 29, 2016 by and among The Scotts Miracle-Gro Company, an Ohio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Loan Parties party hereto and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under that certain Fourth Amended and Restated Guarantee and Collateral Agreement dated as of October 29, 2015 by and among the Company, the other Loan Parties party thereto, as Grantors and the Administrative Agent (as amended, restated, supplemented or otherwise modified from time to time, the “</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Capitalized terms used herein and not otherwise defined herein shall have the respective meanings given to them in the Collateral Agreement or the Credit Agreement, as applicable.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the Company has requested that the Administrative Agent agree to certain amendments to the Collateral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WHEREAS, the Company, the other Loan Parties party hereto and the Administrative Agent have agreed to amend the Collateral Agreement on the terms and conditions set forth herein;</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NOW, THEREFORE, in consideration of the premises set forth above, the terms and conditions contained herein, and other good and valuable consideration, the receipt and sufficiency of which are hereby acknowledged, the Company, the other Loan Parties party hereto and the Administrative Agent hereby agree to enter into this Amendment.</w:t>
      </w:r>
    </w:p>
    <w:p>
      <w:pPr>
        <w:spacing w:after="0" w:line="186" w:lineRule="exact"/>
        <w:rPr>
          <w:sz w:val="20"/>
          <w:szCs w:val="20"/>
          <w:color w:val="auto"/>
        </w:rPr>
      </w:pPr>
    </w:p>
    <w:p>
      <w:pPr>
        <w:ind w:firstLine="1305"/>
        <w:spacing w:after="0" w:line="260" w:lineRule="auto"/>
        <w:tabs>
          <w:tab w:leader="none" w:pos="1697"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Amendments to the Collateral Agreement</w:t>
      </w:r>
      <w:r>
        <w:rPr>
          <w:rFonts w:ascii="Arial" w:cs="Arial" w:eastAsia="Arial" w:hAnsi="Arial"/>
          <w:sz w:val="20"/>
          <w:szCs w:val="20"/>
          <w:color w:val="auto"/>
        </w:rPr>
        <w:t xml:space="preserve">. Effective as of the date of satisfaction of the condition precedent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below, the parties hereto agree that the Collateral Agreement is hereby amended as follows:</w:t>
      </w:r>
    </w:p>
    <w:p>
      <w:pPr>
        <w:spacing w:after="0" w:line="177" w:lineRule="exact"/>
        <w:rPr>
          <w:sz w:val="20"/>
          <w:szCs w:val="20"/>
          <w:color w:val="auto"/>
        </w:rPr>
      </w:pPr>
    </w:p>
    <w:p>
      <w:pPr>
        <w:ind w:firstLine="1305"/>
        <w:spacing w:after="0" w:line="287" w:lineRule="auto"/>
        <w:tabs>
          <w:tab w:leader="none" w:pos="1741"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Collateral Agreement is amended to delete in their entirety the definitions of “Company Obligations”, “Company’s Guarantor Obligations”, “Guarantor Obligations” and “Subsidiary Borrower Obligations” appearing therein.</w:t>
      </w:r>
    </w:p>
    <w:p>
      <w:pPr>
        <w:spacing w:after="0" w:line="152" w:lineRule="exact"/>
        <w:rPr>
          <w:rFonts w:ascii="Arial" w:cs="Arial" w:eastAsia="Arial" w:hAnsi="Arial"/>
          <w:sz w:val="19"/>
          <w:szCs w:val="19"/>
          <w:color w:val="auto"/>
        </w:rPr>
      </w:pPr>
    </w:p>
    <w:p>
      <w:pPr>
        <w:ind w:left="1720" w:hanging="415"/>
        <w:spacing w:after="0"/>
        <w:tabs>
          <w:tab w:leader="none" w:pos="1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Collateral Agreement is restated in its entirety as follows:</w:t>
      </w:r>
    </w:p>
    <w:p>
      <w:pPr>
        <w:spacing w:after="0" w:line="23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has the meaning provided in the Credit Agreement.</w:t>
      </w:r>
    </w:p>
    <w:p>
      <w:pPr>
        <w:spacing w:after="0" w:line="216" w:lineRule="exact"/>
        <w:rPr>
          <w:sz w:val="20"/>
          <w:szCs w:val="20"/>
          <w:color w:val="auto"/>
        </w:rPr>
      </w:pPr>
    </w:p>
    <w:p>
      <w:pPr>
        <w:ind w:left="1300"/>
        <w:spacing w:after="0"/>
        <w:tabs>
          <w:tab w:leader="none" w:pos="1800"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The definition of “</w:t>
      </w:r>
      <w:r>
        <w:rPr>
          <w:rFonts w:ascii="Arial" w:cs="Arial" w:eastAsia="Arial" w:hAnsi="Arial"/>
          <w:sz w:val="19"/>
          <w:szCs w:val="19"/>
          <w:u w:val="single" w:color="auto"/>
          <w:color w:val="auto"/>
        </w:rPr>
        <w:t>Secured Parties</w:t>
      </w:r>
      <w:r>
        <w:rPr>
          <w:rFonts w:ascii="Arial" w:cs="Arial" w:eastAsia="Arial" w:hAnsi="Arial"/>
          <w:sz w:val="19"/>
          <w:szCs w:val="19"/>
          <w:color w:val="auto"/>
        </w:rPr>
        <w:t xml:space="preserve">” set forth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Collateral Agreement is restated in its entirety as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has the meaning provided in the Credit Agreement.</w:t>
      </w:r>
    </w:p>
    <w:p>
      <w:pPr>
        <w:sectPr>
          <w:pgSz w:w="11900" w:h="16838" w:orient="portrait"/>
          <w:cols w:equalWidth="0" w:num="1">
            <w:col w:w="11420"/>
          </w:cols>
          <w:pgMar w:left="240" w:top="382" w:right="239" w:bottom="1440" w:gutter="0" w:footer="0" w:header="0"/>
        </w:sectPr>
      </w:pPr>
    </w:p>
    <w:bookmarkStart w:id="66" w:name="page67"/>
    <w:bookmarkEnd w:id="66"/>
    <w:p>
      <w:pPr>
        <w:jc w:val="both"/>
        <w:ind w:left="-8" w:firstLine="1305"/>
        <w:spacing w:after="0" w:line="250" w:lineRule="auto"/>
        <w:tabs>
          <w:tab w:leader="none" w:pos="1893"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of the Collateral Agreement is amended to (i) delete the word “Borrower” appearing immediately after the phrase “each Subsidiary” appearing therein and (ii) replace the reference to “its Subsidiary Borrower” appearing therein with “the”.</w:t>
      </w:r>
    </w:p>
    <w:p>
      <w:pPr>
        <w:spacing w:after="0" w:line="186" w:lineRule="exact"/>
        <w:rPr>
          <w:rFonts w:ascii="Arial" w:cs="Arial" w:eastAsia="Arial" w:hAnsi="Arial"/>
          <w:sz w:val="20"/>
          <w:szCs w:val="20"/>
          <w:color w:val="auto"/>
        </w:rPr>
      </w:pPr>
    </w:p>
    <w:p>
      <w:pPr>
        <w:jc w:val="both"/>
        <w:ind w:left="-8" w:firstLine="1305"/>
        <w:spacing w:after="0" w:line="250" w:lineRule="auto"/>
        <w:tabs>
          <w:tab w:leader="none" w:pos="1747" w:val="left"/>
        </w:tabs>
        <w:numPr>
          <w:ilvl w:val="1"/>
          <w:numId w:val="25"/>
        </w:numPr>
        <w:rPr>
          <w:rFonts w:ascii="Arial" w:cs="Arial" w:eastAsia="Arial" w:hAnsi="Arial"/>
          <w:sz w:val="20"/>
          <w:szCs w:val="20"/>
          <w:color w:val="auto"/>
        </w:rPr>
      </w:pP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of the Collateral Agreement is amended to (i) replace each reference to “Subsidiary Borrower Obligations” appearing therein with “Obligations” and (ii) replace the reference to “each Subsidiary Borrower” appearing therein with “each applicable Subsidiary”.</w:t>
      </w:r>
    </w:p>
    <w:p>
      <w:pPr>
        <w:spacing w:after="0" w:line="186" w:lineRule="exact"/>
        <w:rPr>
          <w:rFonts w:ascii="Arial" w:cs="Arial" w:eastAsia="Arial" w:hAnsi="Arial"/>
          <w:sz w:val="20"/>
          <w:szCs w:val="20"/>
          <w:color w:val="auto"/>
        </w:rPr>
      </w:pPr>
    </w:p>
    <w:p>
      <w:pPr>
        <w:jc w:val="both"/>
        <w:ind w:left="-8" w:firstLine="1305"/>
        <w:spacing w:after="0" w:line="275" w:lineRule="auto"/>
        <w:tabs>
          <w:tab w:leader="none" w:pos="1711"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the Collateral Agreement is amended to (i) replace each reference to “Subsidiary Borrower” appearing therein with “Subsidiary”, (ii) replace each reference to “Subsidiary Borrower Obligations” appearing therein with “Obligations” and</w:t>
      </w:r>
    </w:p>
    <w:p>
      <w:pPr>
        <w:ind w:left="352" w:hanging="352"/>
        <w:spacing w:after="0"/>
        <w:tabs>
          <w:tab w:leader="none" w:pos="352"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insert the phrase “and Loans” immediately after the word “Commitments” appearing therein.</w:t>
      </w:r>
    </w:p>
    <w:p>
      <w:pPr>
        <w:spacing w:after="0" w:line="199" w:lineRule="exact"/>
        <w:rPr>
          <w:rFonts w:ascii="Arial" w:cs="Arial" w:eastAsia="Arial" w:hAnsi="Arial"/>
          <w:sz w:val="20"/>
          <w:szCs w:val="20"/>
          <w:color w:val="auto"/>
        </w:rPr>
      </w:pPr>
    </w:p>
    <w:p>
      <w:pPr>
        <w:ind w:left="1732" w:hanging="435"/>
        <w:spacing w:after="0"/>
        <w:tabs>
          <w:tab w:leader="none" w:pos="1732" w:val="left"/>
        </w:tabs>
        <w:numPr>
          <w:ilvl w:val="1"/>
          <w:numId w:val="26"/>
        </w:numPr>
        <w:rPr>
          <w:rFonts w:ascii="Arial" w:cs="Arial" w:eastAsia="Arial" w:hAnsi="Arial"/>
          <w:sz w:val="20"/>
          <w:szCs w:val="20"/>
          <w:color w:val="auto"/>
        </w:rPr>
      </w:pP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of the Collateral Agreement is restated in its entirety as follows:</w:t>
      </w:r>
    </w:p>
    <w:p>
      <w:pPr>
        <w:spacing w:after="0" w:line="216" w:lineRule="exact"/>
        <w:rPr>
          <w:sz w:val="20"/>
          <w:szCs w:val="20"/>
          <w:color w:val="auto"/>
        </w:rPr>
      </w:pPr>
    </w:p>
    <w:p>
      <w:pPr>
        <w:jc w:val="both"/>
        <w:ind w:left="1292" w:firstLine="648"/>
        <w:spacing w:after="0" w:line="255"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No Subrogation</w:t>
      </w:r>
      <w:r>
        <w:rPr>
          <w:rFonts w:ascii="Arial" w:cs="Arial" w:eastAsia="Arial" w:hAnsi="Arial"/>
          <w:sz w:val="19"/>
          <w:szCs w:val="19"/>
          <w:color w:val="auto"/>
        </w:rPr>
        <w:t>. Notwithstanding any payment or payments made by the Company hereunder, or any set-off or application of funds of the Company by the Administrative Agent or any Lender, the Company shall not be entitled to be subrogated to any of the rights of the Administrative Agent or any Lender against the applicable Subsidiary or against any collateral security or guarantee or right of offset held by the Administrative Agent or any Lender for the payment of the Obligations, nor shall the Company seek or be entitled to seek any contribution or reimbursement from the Subsidiaries in respect of payments made by the Company hereunder, until all amounts owing to the Administrative Agent and the Lenders by the Subsidiaries on account of the Obligations are paid in full, no Letter of Credit shall be outstanding and the Commitments and Loans are terminated. If any amount shall be paid to the Company on account of such subrogation rights at any time when all of the Obligations shall not have been paid in full, such amount shall be held by the Company in trust for the Administrative Agent and the Lenders, segregated from other funds of the Company, and shall, forthwith upon receipt by the Company, be turned over to the Administrative Agent in the exact form received by the Company (duly indorsed by the Company to the Administrative Agent, if required), to be applied against the Obligations, whether matured or unmatured, in such order as the Administrative Agent may determine.</w:t>
      </w:r>
    </w:p>
    <w:p>
      <w:pPr>
        <w:spacing w:after="0" w:line="183" w:lineRule="exact"/>
        <w:rPr>
          <w:sz w:val="20"/>
          <w:szCs w:val="20"/>
          <w:color w:val="auto"/>
        </w:rPr>
      </w:pPr>
    </w:p>
    <w:p>
      <w:pPr>
        <w:ind w:left="-8" w:firstLine="1305"/>
        <w:spacing w:after="0" w:line="260" w:lineRule="auto"/>
        <w:tabs>
          <w:tab w:leader="none" w:pos="1812"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of the Collateral Agreement is amended to replace each reference to “Subsidiary Borrower Obligations” appearing therein with “Obligations”.</w:t>
      </w:r>
    </w:p>
    <w:p>
      <w:pPr>
        <w:spacing w:after="0" w:line="176" w:lineRule="exact"/>
        <w:rPr>
          <w:rFonts w:ascii="Arial" w:cs="Arial" w:eastAsia="Arial" w:hAnsi="Arial"/>
          <w:sz w:val="20"/>
          <w:szCs w:val="20"/>
          <w:color w:val="auto"/>
        </w:rPr>
      </w:pPr>
    </w:p>
    <w:p>
      <w:pPr>
        <w:jc w:val="both"/>
        <w:ind w:left="-8" w:firstLine="1305"/>
        <w:spacing w:after="0" w:line="250" w:lineRule="auto"/>
        <w:tabs>
          <w:tab w:leader="none" w:pos="1727"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of the Collateral Agreement is amended to (i) replace each reference to “Subsidiary Borrower Obligations” appearing therein with “Obligations”, (ii) replace each reference to “Subsidiary Borrowers” appearing therein with “Subsidiaries” and (iii) replace each reference to “Subsidiary Borrower” appearing therein with “Subsidiary”.</w:t>
      </w:r>
    </w:p>
    <w:p>
      <w:pPr>
        <w:spacing w:after="0" w:line="186" w:lineRule="exact"/>
        <w:rPr>
          <w:rFonts w:ascii="Arial" w:cs="Arial" w:eastAsia="Arial" w:hAnsi="Arial"/>
          <w:sz w:val="20"/>
          <w:szCs w:val="20"/>
          <w:color w:val="auto"/>
        </w:rPr>
      </w:pPr>
    </w:p>
    <w:p>
      <w:pPr>
        <w:jc w:val="both"/>
        <w:ind w:left="-8" w:firstLine="1305"/>
        <w:spacing w:after="0" w:line="250" w:lineRule="auto"/>
        <w:tabs>
          <w:tab w:leader="none" w:pos="1754"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of the Collateral Agreement is amended to (i) replace the reference to “Subsidiary Borrower Obligations” appearing therein with the word “Obligations” and (ii) replace each reference to “Subsidiary Borrower” appearing therein with the word “Borrower”.</w:t>
      </w:r>
    </w:p>
    <w:p>
      <w:pPr>
        <w:spacing w:after="0" w:line="186" w:lineRule="exact"/>
        <w:rPr>
          <w:rFonts w:ascii="Arial" w:cs="Arial" w:eastAsia="Arial" w:hAnsi="Arial"/>
          <w:sz w:val="20"/>
          <w:szCs w:val="20"/>
          <w:color w:val="auto"/>
        </w:rPr>
      </w:pPr>
    </w:p>
    <w:p>
      <w:pPr>
        <w:jc w:val="both"/>
        <w:ind w:left="-8" w:firstLine="1305"/>
        <w:spacing w:after="0" w:line="250" w:lineRule="auto"/>
        <w:tabs>
          <w:tab w:leader="none" w:pos="1879"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of the Collateral Agreement is amended to (i) insert the phrase “and its Subsidiaries” immediately after the word “Company” appearing therein and (ii) delete the phrase “Company Obligations and the Company’s Guarantor” appearing therein.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366" w:right="239" w:bottom="1440" w:gutter="0" w:footer="0" w:header="0"/>
        </w:sectPr>
      </w:pPr>
    </w:p>
    <w:bookmarkStart w:id="67" w:name="page68"/>
    <w:bookmarkEnd w:id="67"/>
    <w:p>
      <w:pPr>
        <w:ind w:right="20" w:firstLine="1305"/>
        <w:spacing w:after="0" w:line="260" w:lineRule="auto"/>
        <w:tabs>
          <w:tab w:leader="none" w:pos="1762"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of the Collateral Agreement is amended to delete the phrase “Company Obligations and the Company’s Guarantor” appearing therein.</w:t>
      </w:r>
    </w:p>
    <w:p>
      <w:pPr>
        <w:spacing w:after="0" w:line="176" w:lineRule="exact"/>
        <w:rPr>
          <w:rFonts w:ascii="Arial" w:cs="Arial" w:eastAsia="Arial" w:hAnsi="Arial"/>
          <w:sz w:val="20"/>
          <w:szCs w:val="20"/>
          <w:color w:val="auto"/>
        </w:rPr>
      </w:pPr>
    </w:p>
    <w:p>
      <w:pPr>
        <w:jc w:val="both"/>
        <w:ind w:firstLine="1305"/>
        <w:spacing w:after="0" w:line="269" w:lineRule="auto"/>
        <w:tabs>
          <w:tab w:leader="none" w:pos="179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Clause (d)</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of the Collateral Agreement is amended to (i) delete the phrase “Company Obligations and the Company’s Guarantor” appearing therein, (ii) insert the phrase “and its Subsidiaries” immediately after the word “Company” appearing therein and (iii) delete the phrase “Company Obligations and any Company’s Guarantor” appearing therein.</w:t>
      </w:r>
    </w:p>
    <w:p>
      <w:pPr>
        <w:spacing w:after="0" w:line="170" w:lineRule="exact"/>
        <w:rPr>
          <w:rFonts w:ascii="Arial" w:cs="Arial" w:eastAsia="Arial" w:hAnsi="Arial"/>
          <w:sz w:val="19"/>
          <w:szCs w:val="19"/>
          <w:color w:val="auto"/>
        </w:rPr>
      </w:pPr>
    </w:p>
    <w:p>
      <w:pPr>
        <w:jc w:val="both"/>
        <w:ind w:firstLine="1305"/>
        <w:spacing w:after="0" w:line="250" w:lineRule="auto"/>
        <w:tabs>
          <w:tab w:leader="none" w:pos="1766"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of the Collateral Agreement is amended to (i) delete the phrase “Company Obligations or the Company’s Guarantor” in each instance appearing therein and (ii) delete the phrase “Company Obligations and the Company’s Guarantor” in each instance appearing therein.</w:t>
      </w:r>
    </w:p>
    <w:p>
      <w:pPr>
        <w:spacing w:after="0" w:line="186" w:lineRule="exact"/>
        <w:rPr>
          <w:rFonts w:ascii="Arial" w:cs="Arial" w:eastAsia="Arial" w:hAnsi="Arial"/>
          <w:sz w:val="20"/>
          <w:szCs w:val="20"/>
          <w:color w:val="auto"/>
        </w:rPr>
      </w:pPr>
    </w:p>
    <w:p>
      <w:pPr>
        <w:jc w:val="both"/>
        <w:ind w:right="20" w:firstLine="1305"/>
        <w:spacing w:after="0" w:line="291" w:lineRule="auto"/>
        <w:tabs>
          <w:tab w:leader="none" w:pos="1806"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of the Collateral Agreement is amended to (i) delete the phrase “Company Obligations or the Company’s Guarantor” appearing therein, (ii) insert the phrase “or any Subsidiary” immediately after the phrase “the Lenders by the Company” appearing therein and (iii) delete the phrase “Company Obligations and the Company’s Guarantor” in each instance appearing therein.</w:t>
      </w:r>
    </w:p>
    <w:p>
      <w:pPr>
        <w:spacing w:after="0" w:line="151" w:lineRule="exact"/>
        <w:rPr>
          <w:rFonts w:ascii="Arial" w:cs="Arial" w:eastAsia="Arial" w:hAnsi="Arial"/>
          <w:sz w:val="18"/>
          <w:szCs w:val="18"/>
          <w:color w:val="auto"/>
        </w:rPr>
      </w:pPr>
    </w:p>
    <w:p>
      <w:pPr>
        <w:jc w:val="both"/>
        <w:ind w:firstLine="1305"/>
        <w:spacing w:after="0" w:line="250" w:lineRule="auto"/>
        <w:tabs>
          <w:tab w:leader="none" w:pos="1779"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of the Collateral Agreement is amended to (i) delete the phrase “Company Obligations and the Company’s Guarantor” in each instance appearing therein and (ii) delete the phrase “Company Obligations or the Company’s Guarantor” in each instance appearing therein.</w:t>
      </w:r>
    </w:p>
    <w:p>
      <w:pPr>
        <w:spacing w:after="0" w:line="186" w:lineRule="exact"/>
        <w:rPr>
          <w:rFonts w:ascii="Arial" w:cs="Arial" w:eastAsia="Arial" w:hAnsi="Arial"/>
          <w:sz w:val="20"/>
          <w:szCs w:val="20"/>
          <w:color w:val="auto"/>
        </w:rPr>
      </w:pPr>
    </w:p>
    <w:p>
      <w:pPr>
        <w:jc w:val="both"/>
        <w:ind w:firstLine="1305"/>
        <w:spacing w:after="0" w:line="250" w:lineRule="auto"/>
        <w:tabs>
          <w:tab w:leader="none" w:pos="1806"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of the Collateral Agreement is amended to (i) delete the phrase “Company Obligations or the Company’s Guarantor” in each instance appearing therein and (ii) delete the phrase “Company Obligations and the Company’s Guarantor” in each instance appearing therein.</w:t>
      </w:r>
    </w:p>
    <w:p>
      <w:pPr>
        <w:spacing w:after="0" w:line="186" w:lineRule="exact"/>
        <w:rPr>
          <w:rFonts w:ascii="Arial" w:cs="Arial" w:eastAsia="Arial" w:hAnsi="Arial"/>
          <w:sz w:val="20"/>
          <w:szCs w:val="20"/>
          <w:color w:val="auto"/>
        </w:rPr>
      </w:pPr>
    </w:p>
    <w:p>
      <w:pPr>
        <w:ind w:right="20" w:firstLine="1305"/>
        <w:spacing w:after="0" w:line="260" w:lineRule="auto"/>
        <w:tabs>
          <w:tab w:leader="none" w:pos="1827"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of the Collateral Agreement is amended to delete the phrase “Company Obligations or the Company’s Guarantor” appearing therein.</w:t>
      </w:r>
    </w:p>
    <w:p>
      <w:pPr>
        <w:spacing w:after="0" w:line="176" w:lineRule="exact"/>
        <w:rPr>
          <w:rFonts w:ascii="Arial" w:cs="Arial" w:eastAsia="Arial" w:hAnsi="Arial"/>
          <w:sz w:val="20"/>
          <w:szCs w:val="20"/>
          <w:color w:val="auto"/>
        </w:rPr>
      </w:pPr>
    </w:p>
    <w:p>
      <w:pPr>
        <w:ind w:firstLine="1305"/>
        <w:spacing w:after="0" w:line="260" w:lineRule="auto"/>
        <w:tabs>
          <w:tab w:leader="none" w:pos="1771"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of the Collateral Agreement is amended to replace the reference to “Optional Currency” appearing therein with “Agreed Currency”.</w:t>
      </w:r>
    </w:p>
    <w:p>
      <w:pPr>
        <w:spacing w:after="0" w:line="176" w:lineRule="exact"/>
        <w:rPr>
          <w:rFonts w:ascii="Arial" w:cs="Arial" w:eastAsia="Arial" w:hAnsi="Arial"/>
          <w:sz w:val="20"/>
          <w:szCs w:val="20"/>
          <w:color w:val="auto"/>
        </w:rPr>
      </w:pPr>
    </w:p>
    <w:p>
      <w:pPr>
        <w:ind w:left="1700" w:hanging="395"/>
        <w:spacing w:after="0"/>
        <w:tabs>
          <w:tab w:leader="none" w:pos="17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of the Collateral Agreement is amended to replace the phrase “such Grantor’s” appearing therein with the word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w:t>
      </w:r>
    </w:p>
    <w:p>
      <w:pPr>
        <w:spacing w:after="0" w:line="199" w:lineRule="exact"/>
        <w:rPr>
          <w:rFonts w:ascii="Arial" w:cs="Arial" w:eastAsia="Arial" w:hAnsi="Arial"/>
          <w:sz w:val="18"/>
          <w:szCs w:val="18"/>
          <w:color w:val="auto"/>
        </w:rPr>
      </w:pPr>
    </w:p>
    <w:p>
      <w:pPr>
        <w:ind w:left="1800" w:hanging="495"/>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Collateral Agreement is amended to replace the phrase “such Grantor’s” appearing therein with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word “the”.</w:t>
      </w:r>
    </w:p>
    <w:p>
      <w:pPr>
        <w:spacing w:after="0" w:line="199" w:lineRule="exact"/>
        <w:rPr>
          <w:rFonts w:ascii="Arial" w:cs="Arial" w:eastAsia="Arial" w:hAnsi="Arial"/>
          <w:sz w:val="18"/>
          <w:szCs w:val="18"/>
          <w:color w:val="auto"/>
        </w:rPr>
      </w:pPr>
    </w:p>
    <w:p>
      <w:pPr>
        <w:ind w:firstLine="1305"/>
        <w:spacing w:after="0" w:line="260" w:lineRule="auto"/>
        <w:tabs>
          <w:tab w:leader="none" w:pos="1752"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Section 6.6</w:t>
      </w:r>
      <w:r>
        <w:rPr>
          <w:rFonts w:ascii="Arial" w:cs="Arial" w:eastAsia="Arial" w:hAnsi="Arial"/>
          <w:sz w:val="20"/>
          <w:szCs w:val="20"/>
          <w:color w:val="auto"/>
        </w:rPr>
        <w:t xml:space="preserve"> of the Collateral Agreement is amended to (i) replace the phrase “such Grantor’s” appearing therein with the word “the” and (ii) delete the words “applicable Grantor’s” appearing therein.</w:t>
      </w:r>
    </w:p>
    <w:p>
      <w:pPr>
        <w:spacing w:after="0" w:line="176" w:lineRule="exact"/>
        <w:rPr>
          <w:rFonts w:ascii="Arial" w:cs="Arial" w:eastAsia="Arial" w:hAnsi="Arial"/>
          <w:sz w:val="20"/>
          <w:szCs w:val="20"/>
          <w:color w:val="auto"/>
        </w:rPr>
      </w:pPr>
    </w:p>
    <w:p>
      <w:pPr>
        <w:ind w:firstLine="1305"/>
        <w:spacing w:after="0" w:line="260" w:lineRule="auto"/>
        <w:tabs>
          <w:tab w:leader="none" w:pos="185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Section 7.5</w:t>
      </w:r>
      <w:r>
        <w:rPr>
          <w:rFonts w:ascii="Arial" w:cs="Arial" w:eastAsia="Arial" w:hAnsi="Arial"/>
          <w:sz w:val="20"/>
          <w:szCs w:val="20"/>
          <w:color w:val="auto"/>
        </w:rPr>
        <w:t xml:space="preserve"> of the Collateral Agreement is amended to replace the word “Lenders” appearing therein with the words “Secured Parties” in each instance.</w:t>
      </w:r>
    </w:p>
    <w:p>
      <w:pPr>
        <w:spacing w:after="0" w:line="176" w:lineRule="exact"/>
        <w:rPr>
          <w:rFonts w:ascii="Arial" w:cs="Arial" w:eastAsia="Arial" w:hAnsi="Arial"/>
          <w:sz w:val="20"/>
          <w:szCs w:val="20"/>
          <w:color w:val="auto"/>
        </w:rPr>
      </w:pPr>
    </w:p>
    <w:p>
      <w:pPr>
        <w:ind w:firstLine="1305"/>
        <w:spacing w:after="0" w:line="260" w:lineRule="auto"/>
        <w:tabs>
          <w:tab w:leader="none" w:pos="1793"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Section 9.4</w:t>
      </w:r>
      <w:r>
        <w:rPr>
          <w:rFonts w:ascii="Arial" w:cs="Arial" w:eastAsia="Arial" w:hAnsi="Arial"/>
          <w:sz w:val="20"/>
          <w:szCs w:val="20"/>
          <w:color w:val="auto"/>
        </w:rPr>
        <w:t xml:space="preserve"> of the Collateral Agreement is amended to replace the word “Guarantor” appearing therein with the word “Grantor” in each instance.</w:t>
      </w:r>
    </w:p>
    <w:p>
      <w:pPr>
        <w:spacing w:after="0" w:line="176" w:lineRule="exact"/>
        <w:rPr>
          <w:rFonts w:ascii="Arial" w:cs="Arial" w:eastAsia="Arial" w:hAnsi="Arial"/>
          <w:sz w:val="20"/>
          <w:szCs w:val="20"/>
          <w:color w:val="auto"/>
        </w:rPr>
      </w:pPr>
    </w:p>
    <w:p>
      <w:pPr>
        <w:ind w:firstLine="1305"/>
        <w:spacing w:after="0" w:line="260" w:lineRule="auto"/>
        <w:tabs>
          <w:tab w:leader="none" w:pos="1739"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Section 9.14</w:t>
      </w:r>
      <w:r>
        <w:rPr>
          <w:rFonts w:ascii="Arial" w:cs="Arial" w:eastAsia="Arial" w:hAnsi="Arial"/>
          <w:sz w:val="20"/>
          <w:szCs w:val="20"/>
          <w:color w:val="auto"/>
        </w:rPr>
        <w:t xml:space="preserve"> of the Collateral Agreement is amended to (i) insert the words “Guarantors and” immediately after the word “Additional” appearing therein, (ii) delete the word “Borrower”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6" w:right="239" w:bottom="1440" w:gutter="0" w:footer="0" w:header="0"/>
        </w:sectPr>
      </w:pPr>
    </w:p>
    <w:bookmarkStart w:id="68" w:name="page69"/>
    <w:bookmarkEnd w:id="68"/>
    <w:p>
      <w:pPr>
        <w:spacing w:after="0" w:line="260" w:lineRule="auto"/>
        <w:rPr>
          <w:sz w:val="20"/>
          <w:szCs w:val="20"/>
          <w:color w:val="auto"/>
        </w:rPr>
      </w:pPr>
      <w:r>
        <w:rPr>
          <w:rFonts w:ascii="Arial" w:cs="Arial" w:eastAsia="Arial" w:hAnsi="Arial"/>
          <w:sz w:val="20"/>
          <w:szCs w:val="20"/>
          <w:color w:val="auto"/>
        </w:rPr>
        <w:t>appearing immediately after the word “Subsidiary” in each case appearing therein and (iii) insert the phrase “Guarantor and” immediately after the phrase “shall become a” appearing therein.</w:t>
      </w:r>
    </w:p>
    <w:p>
      <w:pPr>
        <w:spacing w:after="0" w:line="177" w:lineRule="exact"/>
        <w:rPr>
          <w:sz w:val="20"/>
          <w:szCs w:val="20"/>
          <w:color w:val="auto"/>
        </w:rPr>
      </w:pPr>
    </w:p>
    <w:p>
      <w:pPr>
        <w:jc w:val="both"/>
        <w:ind w:firstLine="1305"/>
        <w:spacing w:after="0" w:line="291" w:lineRule="auto"/>
        <w:tabs>
          <w:tab w:leader="none" w:pos="175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Annex 1</w:t>
      </w:r>
      <w:r>
        <w:rPr>
          <w:rFonts w:ascii="Arial" w:cs="Arial" w:eastAsia="Arial" w:hAnsi="Arial"/>
          <w:sz w:val="18"/>
          <w:szCs w:val="18"/>
          <w:color w:val="auto"/>
        </w:rPr>
        <w:t xml:space="preserve"> to the Collateral Agreement is amended to (i) insert the phrase “Guarantor and as a” immediately before the phrase “Grantor thereunder with”, (ii) insert the phrase “as a Guarantor and” immediately after the words “originally named therein” and (iii) insert the phrase “Guarantor and a” immediately after the phrase “obligations and liabilities of a” appearing therein.</w:t>
      </w:r>
    </w:p>
    <w:p>
      <w:pPr>
        <w:spacing w:after="0" w:line="152" w:lineRule="exact"/>
        <w:rPr>
          <w:sz w:val="20"/>
          <w:szCs w:val="20"/>
          <w:color w:val="auto"/>
        </w:rPr>
      </w:pPr>
    </w:p>
    <w:p>
      <w:pPr>
        <w:jc w:val="both"/>
        <w:ind w:right="20" w:firstLine="1305"/>
        <w:spacing w:after="0" w:line="250" w:lineRule="auto"/>
        <w:tabs>
          <w:tab w:leader="none" w:pos="1845"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Conditions of Effectiveness</w:t>
      </w:r>
      <w:r>
        <w:rPr>
          <w:rFonts w:ascii="Arial" w:cs="Arial" w:eastAsia="Arial" w:hAnsi="Arial"/>
          <w:sz w:val="20"/>
          <w:szCs w:val="20"/>
          <w:color w:val="auto"/>
        </w:rPr>
        <w:t>. The effectiveness of this Amendment is subject to the condition precedent that the Administrative Agent shall have received counterparts of this Amendment duly executed by the Company, the other Loan Parties party to the Collateral Agreement and the Administrative Agent.</w:t>
      </w:r>
    </w:p>
    <w:p>
      <w:pPr>
        <w:spacing w:after="0" w:line="186" w:lineRule="exact"/>
        <w:rPr>
          <w:rFonts w:ascii="Arial" w:cs="Arial" w:eastAsia="Arial" w:hAnsi="Arial"/>
          <w:sz w:val="20"/>
          <w:szCs w:val="20"/>
          <w:color w:val="auto"/>
        </w:rPr>
      </w:pPr>
    </w:p>
    <w:p>
      <w:pPr>
        <w:ind w:left="1660" w:hanging="355"/>
        <w:spacing w:after="0"/>
        <w:tabs>
          <w:tab w:leader="none" w:pos="166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Loan Parties</w:t>
      </w:r>
      <w:r>
        <w:rPr>
          <w:rFonts w:ascii="Arial" w:cs="Arial" w:eastAsia="Arial" w:hAnsi="Arial"/>
          <w:sz w:val="19"/>
          <w:szCs w:val="19"/>
          <w:color w:val="auto"/>
        </w:rPr>
        <w:t>. Each Loan Party hereby represents and warrants as follows:</w:t>
      </w:r>
    </w:p>
    <w:p>
      <w:pPr>
        <w:spacing w:after="0" w:line="227" w:lineRule="exact"/>
        <w:rPr>
          <w:sz w:val="20"/>
          <w:szCs w:val="20"/>
          <w:color w:val="auto"/>
        </w:rPr>
      </w:pPr>
    </w:p>
    <w:p>
      <w:pPr>
        <w:jc w:val="both"/>
        <w:ind w:firstLine="1305"/>
        <w:spacing w:after="0" w:line="263" w:lineRule="auto"/>
        <w:tabs>
          <w:tab w:leader="none" w:pos="1724"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This Amendment and the Collateral Agreement as modified hereby constitute legal, valid and binding obligations of such Loan Party, enforceable against such Loan Party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6" w:lineRule="exact"/>
        <w:rPr>
          <w:rFonts w:ascii="Arial" w:cs="Arial" w:eastAsia="Arial" w:hAnsi="Arial"/>
          <w:sz w:val="19"/>
          <w:szCs w:val="19"/>
          <w:color w:val="auto"/>
        </w:rPr>
      </w:pPr>
    </w:p>
    <w:p>
      <w:pPr>
        <w:jc w:val="both"/>
        <w:ind w:firstLine="1305"/>
        <w:spacing w:after="0" w:line="278" w:lineRule="auto"/>
        <w:tabs>
          <w:tab w:leader="none" w:pos="180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the date hereof and after giving effect to the terms of this Amendment, (i) no Event of Default or Default has occurred and is continuing and (ii) the representations and warranties of such Loan Party set forth in the Credit Agreement and the Collateral Agreement, as amended hereby, are true and correct in all material respects (or, in the case of any representation or warranty qualified by materiality or Material Adverse Effect, in all respects), except to the extent such representations and warranties specifically refer to an earlier date (in which case such representations and warranties shall be true and correct in all material respects as of such earlier date).</w:t>
      </w:r>
    </w:p>
    <w:p>
      <w:pPr>
        <w:spacing w:after="0" w:line="165" w:lineRule="exact"/>
        <w:rPr>
          <w:sz w:val="20"/>
          <w:szCs w:val="20"/>
          <w:color w:val="auto"/>
        </w:rPr>
      </w:pPr>
    </w:p>
    <w:p>
      <w:pPr>
        <w:ind w:left="1660" w:hanging="355"/>
        <w:spacing w:after="0"/>
        <w:tabs>
          <w:tab w:leader="none" w:pos="166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Collateral Agreement</w:t>
      </w:r>
      <w:r>
        <w:rPr>
          <w:rFonts w:ascii="Arial" w:cs="Arial" w:eastAsia="Arial" w:hAnsi="Arial"/>
          <w:sz w:val="20"/>
          <w:szCs w:val="20"/>
          <w:color w:val="auto"/>
        </w:rPr>
        <w:t>.</w:t>
      </w:r>
    </w:p>
    <w:p>
      <w:pPr>
        <w:spacing w:after="0" w:line="216" w:lineRule="exact"/>
        <w:rPr>
          <w:sz w:val="20"/>
          <w:szCs w:val="20"/>
          <w:color w:val="auto"/>
        </w:rPr>
      </w:pPr>
    </w:p>
    <w:p>
      <w:pPr>
        <w:ind w:firstLine="1305"/>
        <w:spacing w:after="0" w:line="260" w:lineRule="auto"/>
        <w:tabs>
          <w:tab w:leader="none" w:pos="1735" w:val="left"/>
        </w:tabs>
        <w:numPr>
          <w:ilvl w:val="0"/>
          <w:numId w:val="33"/>
        </w:numPr>
        <w:rPr>
          <w:rFonts w:ascii="Arial" w:cs="Arial" w:eastAsia="Arial" w:hAnsi="Arial"/>
          <w:sz w:val="20"/>
          <w:szCs w:val="20"/>
          <w:color w:val="auto"/>
        </w:rPr>
      </w:pPr>
      <w:r>
        <w:rPr>
          <w:rFonts w:ascii="Arial" w:cs="Arial" w:eastAsia="Arial" w:hAnsi="Arial"/>
          <w:sz w:val="20"/>
          <w:szCs w:val="20"/>
          <w:color w:val="auto"/>
        </w:rPr>
        <w:t>Upon the effectiveness hereof, each reference to the Collateral Agreement in the Collateral Agreement or any other Loan Document shall mean and be a reference to the Collateral Agreement as amended hereby.</w:t>
      </w:r>
    </w:p>
    <w:p>
      <w:pPr>
        <w:spacing w:after="0" w:line="176" w:lineRule="exact"/>
        <w:rPr>
          <w:rFonts w:ascii="Arial" w:cs="Arial" w:eastAsia="Arial" w:hAnsi="Arial"/>
          <w:sz w:val="20"/>
          <w:szCs w:val="20"/>
          <w:color w:val="auto"/>
        </w:rPr>
      </w:pPr>
    </w:p>
    <w:p>
      <w:pPr>
        <w:ind w:firstLine="1305"/>
        <w:spacing w:after="0" w:line="260" w:lineRule="auto"/>
        <w:tabs>
          <w:tab w:leader="none" w:pos="1833" w:val="left"/>
        </w:tabs>
        <w:numPr>
          <w:ilvl w:val="0"/>
          <w:numId w:val="33"/>
        </w:numPr>
        <w:rPr>
          <w:rFonts w:ascii="Arial" w:cs="Arial" w:eastAsia="Arial" w:hAnsi="Arial"/>
          <w:sz w:val="20"/>
          <w:szCs w:val="20"/>
          <w:color w:val="auto"/>
        </w:rPr>
      </w:pPr>
      <w:r>
        <w:rPr>
          <w:rFonts w:ascii="Arial" w:cs="Arial" w:eastAsia="Arial" w:hAnsi="Arial"/>
          <w:sz w:val="20"/>
          <w:szCs w:val="20"/>
          <w:color w:val="auto"/>
        </w:rPr>
        <w:t>Each Loan Document and all other documents, instruments and agreements executed and/or delivered in connection therewith shall remain in full force and effect and are hereby reaffirmed, ratified and confirmed.</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729"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execution, delivery and effectiveness of this Amendment shall not operate as a waiver of any right, power or remedy of the Administrative Agent, nor constitute a waiver of any provision of the Collateral Agreement, the Loan Documents or any other documents, instruments and agreements executed and/or delivered in connection therewith.</w:t>
      </w:r>
    </w:p>
    <w:p>
      <w:pPr>
        <w:spacing w:after="0" w:line="186" w:lineRule="exact"/>
        <w:rPr>
          <w:rFonts w:ascii="Arial" w:cs="Arial" w:eastAsia="Arial" w:hAnsi="Arial"/>
          <w:sz w:val="20"/>
          <w:szCs w:val="20"/>
          <w:color w:val="auto"/>
        </w:rPr>
      </w:pPr>
    </w:p>
    <w:p>
      <w:pPr>
        <w:ind w:left="1720" w:hanging="415"/>
        <w:spacing w:after="0"/>
        <w:tabs>
          <w:tab w:leader="none" w:pos="17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This Amendment is a Loan Document under (and as defined in) the Credit Agreement.</w:t>
      </w:r>
    </w:p>
    <w:p>
      <w:pPr>
        <w:spacing w:after="0" w:line="216" w:lineRule="exact"/>
        <w:rPr>
          <w:sz w:val="20"/>
          <w:szCs w:val="20"/>
          <w:color w:val="auto"/>
        </w:rPr>
      </w:pPr>
    </w:p>
    <w:p>
      <w:pPr>
        <w:ind w:left="1700" w:hanging="395"/>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laws of the State of New</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York.</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6" w:right="239" w:bottom="1440" w:gutter="0" w:footer="0" w:header="0"/>
        </w:sectPr>
      </w:pPr>
    </w:p>
    <w:bookmarkStart w:id="69" w:name="page70"/>
    <w:bookmarkEnd w:id="69"/>
    <w:p>
      <w:pPr>
        <w:ind w:firstLine="1305"/>
        <w:spacing w:after="0" w:line="260" w:lineRule="auto"/>
        <w:tabs>
          <w:tab w:leader="none" w:pos="1764"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in this Amendment are included herein for convenience of reference only and shall not constitute a part of this Amendment for any other purpose.</w:t>
      </w:r>
    </w:p>
    <w:p>
      <w:pPr>
        <w:spacing w:after="0" w:line="176" w:lineRule="exact"/>
        <w:rPr>
          <w:rFonts w:ascii="Arial" w:cs="Arial" w:eastAsia="Arial" w:hAnsi="Arial"/>
          <w:sz w:val="20"/>
          <w:szCs w:val="20"/>
          <w:color w:val="auto"/>
        </w:rPr>
      </w:pPr>
    </w:p>
    <w:p>
      <w:pPr>
        <w:jc w:val="both"/>
        <w:ind w:firstLine="1305"/>
        <w:spacing w:after="0" w:line="263" w:lineRule="auto"/>
        <w:tabs>
          <w:tab w:leader="none" w:pos="1791"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by one or more of the parties hereto on any number of separate counterparts, and all of said counterparts taken together shall be deemed to constitute one and the same instrument. Delivery of an executed counterpart of a signature page of this Amendment by telecopy, e-mailed.pdf or any other electronic means that reproduces an image of the actual executed signature page shall be effective as delivery of a manually executed counterpart of this Amendment.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6" w:right="239" w:bottom="1440" w:gutter="0" w:footer="0" w:header="0"/>
        </w:sectPr>
      </w:pPr>
    </w:p>
    <w:bookmarkStart w:id="70" w:name="page71"/>
    <w:bookmarkEnd w:id="70"/>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respective authorized officers as of the day and year first above written.</w:t>
      </w:r>
    </w:p>
    <w:p>
      <w:pPr>
        <w:spacing w:after="0" w:line="339" w:lineRule="exact"/>
        <w:rPr>
          <w:sz w:val="20"/>
          <w:szCs w:val="20"/>
          <w:color w:val="auto"/>
        </w:rPr>
      </w:pPr>
    </w:p>
    <w:p>
      <w:pPr>
        <w:ind w:left="3920"/>
        <w:spacing w:after="0"/>
        <w:rPr>
          <w:sz w:val="20"/>
          <w:szCs w:val="20"/>
          <w:color w:val="auto"/>
        </w:rPr>
      </w:pPr>
      <w:r>
        <w:rPr>
          <w:rFonts w:ascii="Arial" w:cs="Arial" w:eastAsia="Arial" w:hAnsi="Arial"/>
          <w:sz w:val="20"/>
          <w:szCs w:val="20"/>
          <w:u w:val="single" w:color="auto"/>
          <w:color w:val="auto"/>
        </w:rPr>
        <w:t>GRANTORS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THE SCOTTS MIRACLE-GRO COMPANY</w:t>
      </w:r>
    </w:p>
    <w:p>
      <w:pPr>
        <w:spacing w:after="0" w:line="200" w:lineRule="exact"/>
        <w:rPr>
          <w:sz w:val="20"/>
          <w:szCs w:val="20"/>
          <w:color w:val="auto"/>
        </w:rPr>
      </w:pPr>
    </w:p>
    <w:p>
      <w:pPr>
        <w:spacing w:after="0" w:line="245"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Title: Vice President and Corporate Treasurer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THE SCOTTS COMPANY LLC</w:t>
      </w:r>
    </w:p>
    <w:p>
      <w:pPr>
        <w:spacing w:after="0" w:line="229"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GUTWEIN &amp; CO., INC.</w:t>
      </w:r>
    </w:p>
    <w:p>
      <w:pPr>
        <w:spacing w:after="0" w:line="200" w:lineRule="exact"/>
        <w:rPr>
          <w:sz w:val="20"/>
          <w:szCs w:val="20"/>
          <w:color w:val="auto"/>
        </w:rPr>
      </w:pPr>
    </w:p>
    <w:p>
      <w:pPr>
        <w:spacing w:after="0" w:line="245"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HYPONEX CORPORATION</w:t>
      </w:r>
    </w:p>
    <w:p>
      <w:pPr>
        <w:spacing w:after="0" w:line="200" w:lineRule="exact"/>
        <w:rPr>
          <w:sz w:val="20"/>
          <w:szCs w:val="20"/>
          <w:color w:val="auto"/>
        </w:rPr>
      </w:pPr>
    </w:p>
    <w:p>
      <w:pPr>
        <w:spacing w:after="0" w:line="245"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SCOTTS MANUFACTURING COMPANY</w:t>
      </w:r>
    </w:p>
    <w:p>
      <w:pPr>
        <w:spacing w:after="0" w:line="200" w:lineRule="exact"/>
        <w:rPr>
          <w:sz w:val="20"/>
          <w:szCs w:val="20"/>
          <w:color w:val="auto"/>
        </w:rPr>
      </w:pPr>
    </w:p>
    <w:p>
      <w:pPr>
        <w:spacing w:after="0" w:line="245"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11420"/>
          </w:cols>
          <w:pgMar w:left="240" w:top="5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Fourth Amended and Restated Guarantee and Collateral Agreement dated as of October 29, 2015</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sectPr>
          <w:pgSz w:w="11900" w:h="16838" w:orient="portrait"/>
          <w:cols w:equalWidth="0" w:num="1">
            <w:col w:w="11420"/>
          </w:cols>
          <w:pgMar w:left="240" w:top="595" w:right="239" w:bottom="1440" w:gutter="0" w:footer="0" w:header="0"/>
          <w:type w:val="continuous"/>
        </w:sectPr>
      </w:pPr>
    </w:p>
    <w:bookmarkStart w:id="71" w:name="page72"/>
    <w:bookmarkEnd w:id="71"/>
    <w:p>
      <w:pPr>
        <w:jc w:val="center"/>
        <w:ind w:right="-20"/>
        <w:spacing w:after="0"/>
        <w:rPr>
          <w:sz w:val="20"/>
          <w:szCs w:val="20"/>
          <w:color w:val="auto"/>
        </w:rPr>
      </w:pPr>
      <w:r>
        <w:rPr>
          <w:rFonts w:ascii="Arial" w:cs="Arial" w:eastAsia="Arial" w:hAnsi="Arial"/>
          <w:sz w:val="18"/>
          <w:szCs w:val="18"/>
          <w:color w:val="auto"/>
        </w:rPr>
        <w:t>SCOTTS TEMECULA OPERATIONS, LLC</w:t>
      </w:r>
    </w:p>
    <w:p>
      <w:pPr>
        <w:spacing w:after="0" w:line="200" w:lineRule="exact"/>
        <w:rPr>
          <w:sz w:val="20"/>
          <w:szCs w:val="20"/>
          <w:color w:val="auto"/>
        </w:rPr>
      </w:pPr>
    </w:p>
    <w:p>
      <w:pPr>
        <w:spacing w:after="0" w:line="268"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SMG GROWING MEDIA, INC.</w:t>
      </w:r>
    </w:p>
    <w:p>
      <w:pPr>
        <w:spacing w:after="0" w:line="200" w:lineRule="exact"/>
        <w:rPr>
          <w:sz w:val="20"/>
          <w:szCs w:val="20"/>
          <w:color w:val="auto"/>
        </w:rPr>
      </w:pPr>
    </w:p>
    <w:p>
      <w:pPr>
        <w:spacing w:after="0" w:line="24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86"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MIRACLE-GRO LAWN PRODUCTS, INC.</w:t>
      </w:r>
    </w:p>
    <w:p>
      <w:pPr>
        <w:spacing w:after="0" w:line="29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272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OMS INVESTMENTS, INC.</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SCOTTS PRODUCTS CO.</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7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SCOTTS PROFESSIONAL PRODUCTS CO.</w:t>
      </w:r>
    </w:p>
    <w:p>
      <w:pPr>
        <w:spacing w:after="0" w:line="200" w:lineRule="exact"/>
        <w:rPr>
          <w:sz w:val="20"/>
          <w:szCs w:val="20"/>
          <w:color w:val="auto"/>
        </w:rPr>
      </w:pPr>
    </w:p>
    <w:p>
      <w:pPr>
        <w:spacing w:after="0" w:line="336"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9019"/>
          </w:cols>
          <w:pgMar w:left="1440" w:top="528" w:right="1440" w:bottom="1440" w:gutter="0" w:footer="0" w:header="0"/>
        </w:sect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Fourth Amended and Restated Guarantee and Collateral Agreement dated as of October 29, 2015</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Scotts Miracle-Gro Company</w:t>
      </w:r>
    </w:p>
    <w:p>
      <w:pPr>
        <w:sectPr>
          <w:pgSz w:w="11900" w:h="16838" w:orient="portrait"/>
          <w:cols w:equalWidth="0" w:num="1">
            <w:col w:w="9019"/>
          </w:cols>
          <w:pgMar w:left="1440" w:top="528" w:right="1440" w:bottom="1440" w:gutter="0" w:footer="0" w:header="0"/>
          <w:type w:val="continuous"/>
        </w:sectPr>
      </w:pPr>
    </w:p>
    <w:bookmarkStart w:id="72" w:name="page73"/>
    <w:bookmarkEnd w:id="72"/>
    <w:p>
      <w:pPr>
        <w:jc w:val="center"/>
        <w:ind w:right="179"/>
        <w:spacing w:after="0"/>
        <w:rPr>
          <w:sz w:val="20"/>
          <w:szCs w:val="20"/>
          <w:color w:val="auto"/>
        </w:rPr>
      </w:pPr>
      <w:r>
        <w:rPr>
          <w:rFonts w:ascii="Arial" w:cs="Arial" w:eastAsia="Arial" w:hAnsi="Arial"/>
          <w:sz w:val="20"/>
          <w:szCs w:val="20"/>
          <w:color w:val="auto"/>
        </w:rPr>
        <w:t>SCOTTS-SIERRA INVESTMENTS LLC</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SWISS FARMS PRODUCTS, INC.</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SANFORD SCIENTIFIC, INC.</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ROD MCLELLAN COMPANY</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SMGM LLC</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Fourth Amended and Restated Guarantee and Collateral Agreement dated as of October 29, 2015</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Scotts Miracle-Gro Company</w:t>
      </w:r>
    </w:p>
    <w:p>
      <w:pPr>
        <w:sectPr>
          <w:pgSz w:w="11900" w:h="16838" w:orient="portrait"/>
          <w:cols w:equalWidth="0" w:num="1">
            <w:col w:w="9019"/>
          </w:cols>
          <w:pgMar w:left="1440" w:top="784" w:right="1440" w:bottom="1440" w:gutter="0" w:footer="0" w:header="0"/>
        </w:sectPr>
      </w:pPr>
    </w:p>
    <w:bookmarkStart w:id="73" w:name="page74"/>
    <w:bookmarkEnd w:id="73"/>
    <w:p>
      <w:pPr>
        <w:ind w:left="2740"/>
        <w:spacing w:after="0"/>
        <w:rPr>
          <w:sz w:val="20"/>
          <w:szCs w:val="20"/>
          <w:color w:val="auto"/>
        </w:rPr>
      </w:pPr>
      <w:r>
        <w:rPr>
          <w:rFonts w:ascii="Arial" w:cs="Arial" w:eastAsia="Arial" w:hAnsi="Arial"/>
          <w:sz w:val="20"/>
          <w:szCs w:val="20"/>
          <w:color w:val="auto"/>
        </w:rPr>
        <w:t>GENSOURCE, INC.</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Treasurer</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HAWTHORNE HYDROPONICS LLC</w:t>
      </w:r>
    </w:p>
    <w:p>
      <w:pPr>
        <w:spacing w:after="0" w:line="200" w:lineRule="exact"/>
        <w:rPr>
          <w:sz w:val="20"/>
          <w:szCs w:val="20"/>
          <w:color w:val="auto"/>
        </w:rPr>
      </w:pPr>
    </w:p>
    <w:p>
      <w:pPr>
        <w:spacing w:after="0" w:line="32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ALBERT J.</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MESSINA</w:t>
      </w:r>
      <w:r>
        <w:rPr>
          <w:rFonts w:ascii="Arial" w:cs="Arial" w:eastAsia="Arial" w:hAnsi="Arial"/>
          <w:sz w:val="20"/>
          <w:szCs w:val="20"/>
          <w:color w:val="auto"/>
        </w:rPr>
        <w:t>________________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Albert J. Messina</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HGCI, INC.</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AIMEE M.</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DELUCA</w:t>
      </w:r>
      <w:r>
        <w:rPr>
          <w:rFonts w:ascii="Arial" w:cs="Arial" w:eastAsia="Arial" w:hAnsi="Arial"/>
          <w:sz w:val="20"/>
          <w:szCs w:val="20"/>
          <w:color w:val="auto"/>
        </w:rPr>
        <w:t>_________________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Aimee M. DeLuca</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THE HAWTHORNE GARDENING</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COMPANY</w:t>
      </w:r>
    </w:p>
    <w:p>
      <w:pPr>
        <w:spacing w:after="0" w:line="200" w:lineRule="exact"/>
        <w:rPr>
          <w:sz w:val="20"/>
          <w:szCs w:val="20"/>
          <w:color w:val="auto"/>
        </w:rPr>
      </w:pPr>
    </w:p>
    <w:p>
      <w:pPr>
        <w:spacing w:after="0" w:line="297"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ALBERT J.</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MESSINA</w:t>
      </w:r>
      <w:r>
        <w:rPr>
          <w:rFonts w:ascii="Arial" w:cs="Arial" w:eastAsia="Arial" w:hAnsi="Arial"/>
          <w:sz w:val="20"/>
          <w:szCs w:val="20"/>
          <w:color w:val="auto"/>
        </w:rPr>
        <w:t>________________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Albert J. Messina</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SLS HOLDINGS, INC.</w:t>
      </w:r>
    </w:p>
    <w:p>
      <w:pPr>
        <w:spacing w:after="0" w:line="200" w:lineRule="exact"/>
        <w:rPr>
          <w:sz w:val="20"/>
          <w:szCs w:val="20"/>
          <w:color w:val="auto"/>
        </w:rPr>
      </w:pPr>
    </w:p>
    <w:p>
      <w:pPr>
        <w:spacing w:after="0" w:line="313"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JAMES A.</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0"/>
          <w:szCs w:val="20"/>
          <w:u w:val="single" w:color="auto"/>
          <w:color w:val="auto"/>
        </w:rPr>
        <w:t>SCHROEDER</w:t>
      </w:r>
      <w:r>
        <w:rPr>
          <w:rFonts w:ascii="Arial" w:cs="Arial" w:eastAsia="Arial" w:hAnsi="Arial"/>
          <w:sz w:val="20"/>
          <w:szCs w:val="20"/>
          <w:color w:val="auto"/>
        </w:rPr>
        <w:t>______________</w:t>
      </w:r>
    </w:p>
    <w:p>
      <w:pPr>
        <w:spacing w:after="0" w:line="38"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Name: James A. Schroeder</w:t>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9019"/>
          </w:cols>
          <w:pgMar w:left="1440" w:top="5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Fourth Amended and Restated Guarantee and Collateral Agreement dated as of October 29, 2015</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Scotts Miracle-Gro Company</w:t>
      </w:r>
    </w:p>
    <w:p>
      <w:pPr>
        <w:sectPr>
          <w:pgSz w:w="11900" w:h="16838" w:orient="portrait"/>
          <w:cols w:equalWidth="0" w:num="1">
            <w:col w:w="9019"/>
          </w:cols>
          <w:pgMar w:left="1440" w:top="528"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TONY YUNG</w:t>
      </w:r>
      <w:r>
        <w:rPr>
          <w:rFonts w:ascii="Arial" w:cs="Arial" w:eastAsia="Arial" w:hAnsi="Arial"/>
          <w:sz w:val="20"/>
          <w:szCs w:val="20"/>
          <w:color w:val="auto"/>
        </w:rPr>
        <w:t>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Tony Yung</w:t>
      </w:r>
    </w:p>
    <w:p>
      <w:pPr>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Signature Page to Amendment No. 1 to</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Fourth Amended and Restated Guarantee and Collateral Agreement dated as of October 29, 2015</w:t>
      </w:r>
    </w:p>
    <w:p>
      <w:pPr>
        <w:spacing w:after="0" w:line="3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Scotts Miracle-Gro Company</w:t>
      </w:r>
    </w:p>
    <w:p>
      <w:pPr>
        <w:sectPr>
          <w:pgSz w:w="11900" w:h="16838" w:orient="portrait"/>
          <w:cols w:equalWidth="0" w:num="1">
            <w:col w:w="10019"/>
          </w:cols>
          <w:pgMar w:left="440" w:top="528"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360"/>
        <w:spacing w:after="0" w:line="324" w:lineRule="auto"/>
        <w:rPr>
          <w:sz w:val="20"/>
          <w:szCs w:val="20"/>
          <w:color w:val="auto"/>
        </w:rPr>
      </w:pPr>
      <w:r>
        <w:rPr>
          <w:rFonts w:ascii="Arial" w:cs="Arial" w:eastAsia="Arial" w:hAnsi="Arial"/>
          <w:sz w:val="18"/>
          <w:szCs w:val="18"/>
          <w:color w:val="auto"/>
        </w:rPr>
        <w:t>Directly owned subsidiaries, as of July 2, 2016,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31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3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Holland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Holland 2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Worldwide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1120"/>
              <w:spacing w:after="0"/>
              <w:rPr>
                <w:sz w:val="20"/>
                <w:szCs w:val="20"/>
                <w:color w:val="auto"/>
              </w:rPr>
            </w:pPr>
            <w:r>
              <w:rPr>
                <w:rFonts w:ascii="Arial" w:cs="Arial" w:eastAsia="Arial" w:hAnsi="Arial"/>
                <w:sz w:val="18"/>
                <w:szCs w:val="18"/>
                <w:color w:val="auto"/>
              </w:rPr>
              <w:t>Gavita USA, LLC</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Nederland 2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980"/>
              <w:spacing w:after="0"/>
              <w:rPr>
                <w:sz w:val="20"/>
                <w:szCs w:val="20"/>
                <w:color w:val="auto"/>
              </w:rPr>
            </w:pPr>
            <w:r>
              <w:rPr>
                <w:rFonts w:ascii="Arial" w:cs="Arial" w:eastAsia="Arial" w:hAnsi="Arial"/>
                <w:sz w:val="18"/>
                <w:szCs w:val="18"/>
                <w:color w:val="auto"/>
              </w:rPr>
              <w:t>Gavita Canada Inc.</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840"/>
              <w:spacing w:after="0"/>
              <w:rPr>
                <w:sz w:val="20"/>
                <w:szCs w:val="20"/>
                <w:color w:val="auto"/>
              </w:rPr>
            </w:pPr>
            <w:r>
              <w:rPr>
                <w:rFonts w:ascii="Arial" w:cs="Arial" w:eastAsia="Arial" w:hAnsi="Arial"/>
                <w:sz w:val="18"/>
                <w:szCs w:val="18"/>
                <w:color w:val="auto"/>
              </w:rPr>
              <w:t>Gavita AS</w:t>
            </w:r>
          </w:p>
        </w:tc>
        <w:tc>
          <w:tcPr>
            <w:tcW w:w="250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405"/>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45.0%.</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Hawthorne Gardening B.V.'s ownership is 95%.</w:t>
      </w:r>
    </w:p>
    <w:p>
      <w:pPr>
        <w:sectPr>
          <w:pgSz w:w="11900" w:h="16838" w:orient="portrait"/>
          <w:cols w:equalWidth="0" w:num="1">
            <w:col w:w="11420"/>
          </w:cols>
          <w:pgMar w:left="240" w:top="337" w:right="239" w:bottom="1440" w:gutter="0" w:footer="0" w:header="0"/>
        </w:sectPr>
      </w:pPr>
    </w:p>
    <w:bookmarkStart w:id="76" w:name="page77"/>
    <w:bookmarkEnd w:id="76"/>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ASEF B.V.</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Asia,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Australia Pty Limited</w:t>
      </w:r>
    </w:p>
    <w:p>
      <w:pPr>
        <w:spacing w:after="0" w:line="63" w:lineRule="exact"/>
        <w:rPr>
          <w:sz w:val="20"/>
          <w:szCs w:val="20"/>
          <w:color w:val="auto"/>
        </w:rPr>
      </w:pPr>
    </w:p>
    <w:p>
      <w:pPr>
        <w:ind w:left="385"/>
        <w:spacing w:after="0"/>
        <w:rPr>
          <w:sz w:val="20"/>
          <w:szCs w:val="20"/>
          <w:color w:val="auto"/>
        </w:rPr>
      </w:pPr>
      <w:r>
        <w:rPr>
          <w:rFonts w:ascii="Arial" w:cs="Arial" w:eastAsia="Arial" w:hAnsi="Arial"/>
          <w:sz w:val="18"/>
          <w:szCs w:val="18"/>
          <w:color w:val="auto"/>
        </w:rPr>
        <w:t>Scotts Gardening Fertilizer (Wuhan)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Benelux BVBA</w:t>
      </w:r>
      <w:r>
        <w:rPr>
          <w:rFonts w:ascii="Arial" w:cs="Arial" w:eastAsia="Arial" w:hAnsi="Arial"/>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Czech s.r.o.</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7</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Scotts France SAS</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Celaflor GmbH</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Scotts Celaflor HGmbH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The Scotts Company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Poland Sp.z.o.o.</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Teak 2,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Turf-Seed (Europe) Limited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iConservo Incorporated</w:t>
      </w:r>
      <w:r>
        <w:rPr>
          <w:rFonts w:ascii="Arial" w:cs="Arial" w:eastAsia="Arial" w:hAnsi="Arial"/>
          <w:sz w:val="12"/>
          <w:szCs w:val="12"/>
          <w:color w:val="auto"/>
        </w:rPr>
        <w:t>8</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96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41" w:lineRule="exact"/>
        <w:rPr>
          <w:sz w:val="20"/>
          <w:szCs w:val="20"/>
          <w:color w:val="auto"/>
        </w:rPr>
      </w:pPr>
    </w:p>
    <w:p>
      <w:pPr>
        <w:ind w:left="105" w:hanging="105"/>
        <w:spacing w:after="0"/>
        <w:tabs>
          <w:tab w:leader="none" w:pos="105"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OMS Investments, Inc. owns 0.1% and Scotts-Sierra Investments LLC owns the remaining 99.9%.</w:t>
      </w:r>
    </w:p>
    <w:p>
      <w:pPr>
        <w:spacing w:after="0" w:line="1" w:lineRule="exact"/>
        <w:rPr>
          <w:rFonts w:ascii="Arial" w:cs="Arial" w:eastAsia="Arial" w:hAnsi="Arial"/>
          <w:sz w:val="22"/>
          <w:szCs w:val="22"/>
          <w:color w:val="auto"/>
          <w:vertAlign w:val="superscript"/>
        </w:rPr>
      </w:pPr>
    </w:p>
    <w:p>
      <w:pPr>
        <w:ind w:left="5"/>
        <w:spacing w:after="0" w:line="180" w:lineRule="auto"/>
        <w:rPr>
          <w:rFonts w:ascii="Arial" w:cs="Arial" w:eastAsia="Arial" w:hAnsi="Arial"/>
          <w:sz w:val="22"/>
          <w:szCs w:val="22"/>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Scotts Canada Ltd.'s ownership is 50.0%.</w:t>
      </w:r>
    </w:p>
    <w:p>
      <w:pPr>
        <w:ind w:left="5" w:right="2739"/>
        <w:spacing w:after="0" w:line="220" w:lineRule="auto"/>
        <w:rPr>
          <w:rFonts w:ascii="Arial" w:cs="Arial" w:eastAsia="Arial" w:hAnsi="Arial"/>
          <w:sz w:val="22"/>
          <w:szCs w:val="22"/>
          <w:color w:val="auto"/>
          <w:vertAlign w:val="superscript"/>
        </w:rPr>
      </w:pPr>
      <w:r>
        <w:rPr>
          <w:rFonts w:ascii="Arial" w:cs="Arial" w:eastAsia="Arial" w:hAnsi="Arial"/>
          <w:sz w:val="25"/>
          <w:szCs w:val="25"/>
          <w:color w:val="auto"/>
          <w:vertAlign w:val="superscript"/>
        </w:rPr>
        <w:t>7</w:t>
      </w:r>
      <w:r>
        <w:rPr>
          <w:rFonts w:ascii="Arial" w:cs="Arial" w:eastAsia="Arial" w:hAnsi="Arial"/>
          <w:sz w:val="18"/>
          <w:szCs w:val="18"/>
          <w:color w:val="auto"/>
        </w:rPr>
        <w:t xml:space="preserve"> The Scotts Company LLC owns 0.5% and Scotts-Sierra Investments LLC owns the remaining 99.5%. </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The Scotts Company LLC’s ownership is 20%.</w:t>
      </w:r>
    </w:p>
    <w:p>
      <w:pPr>
        <w:sectPr>
          <w:pgSz w:w="11900" w:h="16838" w:orient="portrait"/>
          <w:cols w:equalWidth="0" w:num="1">
            <w:col w:w="10184"/>
          </w:cols>
          <w:pgMar w:left="275" w:top="962" w:right="1440" w:bottom="1440" w:gutter="0" w:footer="0" w:header="0"/>
          <w:type w:val="continuous"/>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July 2, 2016;</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August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Scotts Miracle-Gro Company for the fiscal quarter ended July 2, 2016;</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August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July 2, 2016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August 10, 2016</w:t>
            </w:r>
          </w:p>
        </w:tc>
        <w:tc>
          <w:tcPr>
            <w:tcW w:w="5580" w:type="dxa"/>
            <w:vAlign w:val="bottom"/>
          </w:tcPr>
          <w:p>
            <w:pPr>
              <w:ind w:left="360"/>
              <w:spacing w:after="0"/>
              <w:rPr>
                <w:sz w:val="20"/>
                <w:szCs w:val="20"/>
                <w:color w:val="auto"/>
              </w:rPr>
            </w:pPr>
            <w:r>
              <w:rPr>
                <w:rFonts w:ascii="Arial" w:cs="Arial" w:eastAsia="Arial" w:hAnsi="Arial"/>
                <w:sz w:val="18"/>
                <w:szCs w:val="18"/>
                <w:color w:val="auto"/>
              </w:rPr>
              <w:t>August 10, 2016</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1)"/>
      <w:numFmt w:val="lowerRoman"/>
      <w:start w:val="5"/>
    </w:lvl>
  </w:abstractNum>
  <w:abstractNum w:abstractNumId="3">
    <w:nsid w:val="2443A858"/>
    <w:multiLevelType w:val="hybridMultilevel"/>
    <w:lvl w:ilvl="0">
      <w:lvlJc w:val="left"/>
      <w:lvlText w:val="(%1)"/>
      <w:numFmt w:val="lowerRoman"/>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lvl w:ilvl="1">
      <w:lvlJc w:val="left"/>
      <w:lvlText w:val="◦"/>
      <w:numFmt w:val="bullet"/>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4"/>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lvl w:ilvl="1">
      <w:lvlJc w:val="left"/>
      <w:lvlText w:val="(%2)"/>
      <w:numFmt w:val="lowerLetter"/>
      <w:start w:val="4"/>
    </w:lvl>
  </w:abstractNum>
  <w:abstractNum w:abstractNumId="25">
    <w:nsid w:val="3006C83E"/>
    <w:multiLevelType w:val="hybridMultilevel"/>
    <w:lvl w:ilvl="0">
      <w:lvlJc w:val="left"/>
      <w:lvlText w:val="(%1)"/>
      <w:numFmt w:val="lowerLetter"/>
      <w:start w:val="61"/>
    </w:lvl>
    <w:lvl w:ilvl="1">
      <w:lvlJc w:val="left"/>
      <w:lvlText w:val="(%2)"/>
      <w:numFmt w:val="lowerLetter"/>
      <w:start w:val="7"/>
    </w:lvl>
  </w:abstractNum>
  <w:abstractNum w:abstractNumId="26">
    <w:nsid w:val="614FD4A1"/>
    <w:multiLevelType w:val="hybridMultilevel"/>
    <w:lvl w:ilvl="0">
      <w:lvlJc w:val="left"/>
      <w:lvlText w:val="(%1)"/>
      <w:numFmt w:val="lowerLetter"/>
      <w:start w:val="8"/>
    </w:lvl>
  </w:abstractNum>
  <w:abstractNum w:abstractNumId="27">
    <w:nsid w:val="419AC241"/>
    <w:multiLevelType w:val="hybridMultilevel"/>
    <w:lvl w:ilvl="0">
      <w:lvlJc w:val="left"/>
      <w:lvlText w:val="(%1)"/>
      <w:numFmt w:val="lowerLetter"/>
      <w:start w:val="12"/>
    </w:lvl>
  </w:abstractNum>
  <w:abstractNum w:abstractNumId="28">
    <w:nsid w:val="5577F8E1"/>
    <w:multiLevelType w:val="hybridMultilevel"/>
    <w:lvl w:ilvl="0">
      <w:lvlJc w:val="left"/>
      <w:lvlText w:val="(%1)"/>
      <w:numFmt w:val="lowerLetter"/>
      <w:start w:val="26"/>
    </w:lvl>
  </w:abstractNum>
  <w:abstractNum w:abstractNumId="29">
    <w:nsid w:val="440BADFC"/>
    <w:multiLevelType w:val="hybridMultilevel"/>
    <w:lvl w:ilvl="0">
      <w:lvlJc w:val="left"/>
      <w:lvlText w:val="%1."/>
      <w:numFmt w:val="decimal"/>
      <w:start w:val="2"/>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decimal"/>
      <w:start w:val="4"/>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decimal"/>
      <w:start w:val="6"/>
    </w:lvl>
  </w:abstractNum>
  <w:abstractNum w:abstractNumId="35">
    <w:nsid w:val="2463B9EA"/>
    <w:multiLevelType w:val="hybridMultilevel"/>
    <w:lvl w:ilvl="0">
      <w:lvlJc w:val="left"/>
      <w:lvlText w:val="1"/>
      <w:numFmt w:val="bullet"/>
      <w:start w:val="1"/>
    </w:lvl>
  </w:abstractNum>
  <w:abstractNum w:abstractNumId="36">
    <w:nsid w:val="5E884ADC"/>
    <w:multiLevelType w:val="hybridMultilevel"/>
    <w:lvl w:ilvl="0">
      <w:lvlJc w:val="left"/>
      <w:lvlText w:val="5"/>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2019-12-29T10:48:52Z</dcterms:created>
  <dcterms:modified xsi:type="dcterms:W3CDTF">2019-12-29T10:48:52Z</dcterms:modified>
</cp:coreProperties>
</file>