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October 16, 2008</w:t>
      </w:r>
    </w:p>
    <w:p>
      <w:pPr>
        <w:spacing w:after="0" w:line="22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Registration No. 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-7620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202565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3940" w:type="dxa"/>
            <w:vAlign w:val="bottom"/>
            <w:tcBorders>
              <w:top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100" w:type="dxa"/>
            <w:vAlign w:val="bottom"/>
            <w:tcBorders>
              <w:top w:val="single" w:sz="8" w:color="auto"/>
            </w:tcBorders>
          </w:tcPr>
          <w:p>
            <w:pPr>
              <w:spacing w:after="0"/>
              <w:rPr>
                <w:sz w:val="20"/>
                <w:szCs w:val="20"/>
                <w:color w:val="auto"/>
              </w:rPr>
            </w:pPr>
          </w:p>
        </w:tc>
        <w:tc>
          <w:tcPr>
            <w:tcW w:w="1520" w:type="dxa"/>
            <w:vAlign w:val="bottom"/>
          </w:tcPr>
          <w:p>
            <w:pPr>
              <w:spacing w:after="0"/>
              <w:rPr>
                <w:sz w:val="20"/>
                <w:szCs w:val="20"/>
                <w:color w:val="auto"/>
              </w:rPr>
            </w:pPr>
          </w:p>
        </w:tc>
      </w:tr>
      <w:tr>
        <w:trPr>
          <w:trHeight w:val="407"/>
        </w:trPr>
        <w:tc>
          <w:tcPr>
            <w:tcW w:w="1520" w:type="dxa"/>
            <w:vAlign w:val="bottom"/>
          </w:tcPr>
          <w:p>
            <w:pPr>
              <w:spacing w:after="0"/>
              <w:rPr>
                <w:sz w:val="24"/>
                <w:szCs w:val="24"/>
                <w:color w:val="auto"/>
              </w:rPr>
            </w:pPr>
          </w:p>
        </w:tc>
        <w:tc>
          <w:tcPr>
            <w:tcW w:w="6280" w:type="dxa"/>
            <w:vAlign w:val="bottom"/>
            <w:gridSpan w:val="7"/>
          </w:tcPr>
          <w:p>
            <w:pPr>
              <w:jc w:val="center"/>
              <w:ind w:right="3880"/>
              <w:spacing w:after="0"/>
              <w:rPr>
                <w:sz w:val="20"/>
                <w:szCs w:val="20"/>
                <w:color w:val="auto"/>
              </w:rPr>
            </w:pPr>
            <w:r>
              <w:rPr>
                <w:rFonts w:ascii="Times New Roman" w:cs="Times New Roman" w:eastAsia="Times New Roman" w:hAnsi="Times New Roman"/>
                <w:sz w:val="18"/>
                <w:szCs w:val="18"/>
                <w:color w:val="auto"/>
                <w:w w:val="99"/>
              </w:rPr>
              <w:t>Ohio</w:t>
            </w:r>
          </w:p>
        </w:tc>
        <w:tc>
          <w:tcPr>
            <w:tcW w:w="2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31-1414921</w:t>
            </w:r>
          </w:p>
        </w:tc>
        <w:tc>
          <w:tcPr>
            <w:tcW w:w="1520" w:type="dxa"/>
            <w:vAlign w:val="bottom"/>
          </w:tcPr>
          <w:p>
            <w:pPr>
              <w:spacing w:after="0"/>
              <w:rPr>
                <w:sz w:val="24"/>
                <w:szCs w:val="24"/>
                <w:color w:val="auto"/>
              </w:rPr>
            </w:pPr>
          </w:p>
        </w:tc>
      </w:tr>
      <w:tr>
        <w:trPr>
          <w:trHeight w:val="205"/>
        </w:trPr>
        <w:tc>
          <w:tcPr>
            <w:tcW w:w="152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gridSpan w:val="3"/>
          </w:tcPr>
          <w:p>
            <w:pPr>
              <w:jc w:val="center"/>
              <w:ind w:right="1410"/>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gridSpan w:val="2"/>
          </w:tcPr>
          <w:p>
            <w:pPr>
              <w:jc w:val="center"/>
              <w:ind w:right="1800"/>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520" w:type="dxa"/>
            <w:vAlign w:val="bottom"/>
          </w:tcPr>
          <w:p>
            <w:pPr>
              <w:spacing w:after="0"/>
              <w:rPr>
                <w:sz w:val="20"/>
                <w:szCs w:val="20"/>
                <w:color w:val="auto"/>
              </w:rPr>
            </w:pPr>
          </w:p>
        </w:tc>
        <w:tc>
          <w:tcPr>
            <w:tcW w:w="6280" w:type="dxa"/>
            <w:vAlign w:val="bottom"/>
            <w:gridSpan w:val="7"/>
          </w:tcPr>
          <w:p>
            <w:pPr>
              <w:jc w:val="center"/>
              <w:ind w:right="38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2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800" w:type="dxa"/>
            <w:vAlign w:val="bottom"/>
            <w:tcBorders>
              <w:bottom w:val="single" w:sz="8" w:color="auto"/>
            </w:tcBorders>
            <w:gridSpan w:val="8"/>
          </w:tcPr>
          <w:p>
            <w:pPr>
              <w:jc w:val="center"/>
              <w:ind w:right="2380"/>
              <w:spacing w:after="0"/>
              <w:rPr>
                <w:sz w:val="20"/>
                <w:szCs w:val="20"/>
                <w:color w:val="auto"/>
              </w:rPr>
            </w:pPr>
            <w:r>
              <w:rPr>
                <w:rFonts w:ascii="Times New Roman" w:cs="Times New Roman" w:eastAsia="Times New Roman" w:hAnsi="Times New Roman"/>
                <w:sz w:val="18"/>
                <w:szCs w:val="18"/>
                <w:color w:val="auto"/>
                <w:w w:val="99"/>
              </w:rPr>
              <w:t>14111 Scottslawn Road, Marysville, Ohio</w:t>
            </w:r>
          </w:p>
        </w:tc>
        <w:tc>
          <w:tcPr>
            <w:tcW w:w="21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43041</w:t>
            </w:r>
          </w:p>
        </w:tc>
        <w:tc>
          <w:tcPr>
            <w:tcW w:w="1520" w:type="dxa"/>
            <w:vAlign w:val="bottom"/>
            <w:tcBorders>
              <w:bottom w:val="single" w:sz="8" w:color="auto"/>
            </w:tcBorders>
          </w:tcPr>
          <w:p>
            <w:pPr>
              <w:spacing w:after="0"/>
              <w:rPr>
                <w:sz w:val="24"/>
                <w:szCs w:val="24"/>
                <w:color w:val="auto"/>
              </w:rPr>
            </w:pPr>
          </w:p>
        </w:tc>
      </w:tr>
      <w:tr>
        <w:trPr>
          <w:trHeight w:val="228"/>
        </w:trPr>
        <w:tc>
          <w:tcPr>
            <w:tcW w:w="780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2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rPr>
              <w:t>(Zip Code)</w:t>
            </w:r>
          </w:p>
        </w:tc>
      </w:tr>
      <w:tr>
        <w:trPr>
          <w:trHeight w:val="387"/>
        </w:trPr>
        <w:tc>
          <w:tcPr>
            <w:tcW w:w="1520" w:type="dxa"/>
            <w:vAlign w:val="bottom"/>
          </w:tcPr>
          <w:p>
            <w:pPr>
              <w:spacing w:after="0"/>
              <w:rPr>
                <w:sz w:val="24"/>
                <w:szCs w:val="24"/>
                <w:color w:val="auto"/>
              </w:rPr>
            </w:pPr>
          </w:p>
        </w:tc>
        <w:tc>
          <w:tcPr>
            <w:tcW w:w="6280" w:type="dxa"/>
            <w:vAlign w:val="bottom"/>
            <w:gridSpan w:val="7"/>
          </w:tcPr>
          <w:p>
            <w:pPr>
              <w:jc w:val="center"/>
              <w:ind w:left="2030"/>
              <w:spacing w:after="0"/>
              <w:rPr>
                <w:sz w:val="20"/>
                <w:szCs w:val="20"/>
                <w:color w:val="auto"/>
              </w:rPr>
            </w:pPr>
            <w:r>
              <w:rPr>
                <w:rFonts w:ascii="Times New Roman" w:cs="Times New Roman" w:eastAsia="Times New Roman" w:hAnsi="Times New Roman"/>
                <w:sz w:val="18"/>
                <w:szCs w:val="18"/>
                <w:color w:val="auto"/>
                <w:w w:val="99"/>
              </w:rPr>
              <w:t>The Scotts Company LLC Retirement Savings Plan</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7"/>
        </w:trPr>
        <w:tc>
          <w:tcPr>
            <w:tcW w:w="1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1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rPr>
              <w:t>David C. Evans</w:t>
            </w: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rPr>
              <w:t>The Scotts Miracle-Gro Company</w:t>
            </w:r>
          </w:p>
        </w:tc>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14111 Scottslawn Road</w:t>
            </w:r>
          </w:p>
        </w:tc>
        <w:tc>
          <w:tcPr>
            <w:tcW w:w="2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1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Marysville, Ohio 43041</w:t>
            </w:r>
          </w:p>
        </w:tc>
        <w:tc>
          <w:tcPr>
            <w:tcW w:w="2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8"/>
        </w:trPr>
        <w:tc>
          <w:tcPr>
            <w:tcW w:w="1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640" w:type="dxa"/>
            <w:vAlign w:val="bottom"/>
            <w:gridSpan w:val="2"/>
          </w:tcPr>
          <w:p>
            <w:pPr>
              <w:spacing w:after="0"/>
              <w:rPr>
                <w:sz w:val="19"/>
                <w:szCs w:val="19"/>
                <w:color w:val="auto"/>
              </w:rPr>
            </w:pPr>
          </w:p>
        </w:tc>
        <w:tc>
          <w:tcPr>
            <w:tcW w:w="21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(937) 644-0011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-130810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00" w:type="dxa"/>
            <w:vAlign w:val="bottom"/>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Accelerated filer o</w:t>
            </w: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Non-accelerated filer o</w:t>
            </w:r>
          </w:p>
        </w:tc>
        <w:tc>
          <w:tcPr>
            <w:tcW w:w="3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Smaller reporting company o</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80" w:type="dxa"/>
            <w:vAlign w:val="bottom"/>
            <w:gridSpan w:val="4"/>
          </w:tcPr>
          <w:p>
            <w:pPr>
              <w:jc w:val="center"/>
              <w:ind w:right="343"/>
              <w:spacing w:after="0"/>
              <w:rPr>
                <w:sz w:val="20"/>
                <w:szCs w:val="20"/>
                <w:color w:val="auto"/>
              </w:rPr>
            </w:pPr>
            <w:r>
              <w:rPr>
                <w:rFonts w:ascii="Times New Roman" w:cs="Times New Roman" w:eastAsia="Times New Roman" w:hAnsi="Times New Roman"/>
                <w:sz w:val="18"/>
                <w:szCs w:val="18"/>
                <w:color w:val="auto"/>
                <w:w w:val="99"/>
              </w:rPr>
              <w:t>(Do not check if a smaller reporting company)</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Title of securities to</w:t>
            </w:r>
          </w:p>
        </w:tc>
        <w:tc>
          <w:tcPr>
            <w:tcW w:w="12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to be</w:t>
            </w:r>
          </w:p>
        </w:tc>
        <w:tc>
          <w:tcPr>
            <w:tcW w:w="158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rPr>
              <w:t>Proposed maximum</w:t>
            </w:r>
          </w:p>
        </w:tc>
        <w:tc>
          <w:tcPr>
            <w:tcW w:w="360" w:type="dxa"/>
            <w:vAlign w:val="bottom"/>
          </w:tcPr>
          <w:p>
            <w:pPr>
              <w:spacing w:after="0"/>
              <w:rPr>
                <w:sz w:val="9"/>
                <w:szCs w:val="9"/>
                <w:color w:val="auto"/>
              </w:rPr>
            </w:pPr>
          </w:p>
        </w:tc>
        <w:tc>
          <w:tcPr>
            <w:tcW w:w="2120" w:type="dxa"/>
            <w:vAlign w:val="bottom"/>
            <w:tcBorders>
              <w:right w:val="single" w:sz="8" w:color="auto"/>
            </w:tcBorders>
          </w:tcPr>
          <w:p>
            <w:pPr>
              <w:jc w:val="center"/>
              <w:ind w:right="283"/>
              <w:spacing w:after="0" w:line="106" w:lineRule="exact"/>
              <w:rPr>
                <w:sz w:val="20"/>
                <w:szCs w:val="20"/>
                <w:color w:val="auto"/>
              </w:rPr>
            </w:pPr>
            <w:r>
              <w:rPr>
                <w:rFonts w:ascii="Times New Roman" w:cs="Times New Roman" w:eastAsia="Times New Roman" w:hAnsi="Times New Roman"/>
                <w:sz w:val="12"/>
                <w:szCs w:val="12"/>
                <w:color w:val="auto"/>
              </w:rPr>
              <w:t>Proposed maximum</w:t>
            </w:r>
          </w:p>
        </w:tc>
        <w:tc>
          <w:tcPr>
            <w:tcW w:w="120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0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 price per</w:t>
            </w:r>
          </w:p>
        </w:tc>
        <w:tc>
          <w:tcPr>
            <w:tcW w:w="360" w:type="dxa"/>
            <w:vAlign w:val="bottom"/>
          </w:tcPr>
          <w:p>
            <w:pPr>
              <w:spacing w:after="0"/>
              <w:rPr>
                <w:sz w:val="12"/>
                <w:szCs w:val="12"/>
                <w:color w:val="auto"/>
              </w:rPr>
            </w:pPr>
          </w:p>
        </w:tc>
        <w:tc>
          <w:tcPr>
            <w:tcW w:w="2120" w:type="dxa"/>
            <w:vAlign w:val="bottom"/>
            <w:tcBorders>
              <w:right w:val="single" w:sz="8" w:color="auto"/>
            </w:tcBorders>
          </w:tcPr>
          <w:p>
            <w:pPr>
              <w:jc w:val="center"/>
              <w:ind w:right="263"/>
              <w:spacing w:after="0" w:line="149" w:lineRule="exact"/>
              <w:rPr>
                <w:sz w:val="20"/>
                <w:szCs w:val="20"/>
                <w:color w:val="auto"/>
              </w:rPr>
            </w:pPr>
            <w:r>
              <w:rPr>
                <w:rFonts w:ascii="Times New Roman" w:cs="Times New Roman" w:eastAsia="Times New Roman" w:hAnsi="Times New Roman"/>
                <w:sz w:val="14"/>
                <w:szCs w:val="14"/>
                <w:color w:val="auto"/>
              </w:rPr>
              <w:t>aggregate offering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 registered (1)</w:t>
            </w:r>
          </w:p>
        </w:tc>
        <w:tc>
          <w:tcPr>
            <w:tcW w:w="12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 (2)</w:t>
            </w: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color w:val="auto"/>
              </w:rPr>
              <w:t>price (2)</w:t>
            </w:r>
          </w:p>
        </w:tc>
        <w:tc>
          <w:tcPr>
            <w:tcW w:w="12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124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$23.985</w:t>
            </w: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ind w:right="263"/>
              <w:spacing w:after="0"/>
              <w:rPr>
                <w:sz w:val="20"/>
                <w:szCs w:val="20"/>
                <w:color w:val="auto"/>
              </w:rPr>
            </w:pPr>
            <w:r>
              <w:rPr>
                <w:rFonts w:ascii="Times New Roman" w:cs="Times New Roman" w:eastAsia="Times New Roman" w:hAnsi="Times New Roman"/>
                <w:sz w:val="18"/>
                <w:szCs w:val="18"/>
                <w:color w:val="auto"/>
                <w:w w:val="99"/>
              </w:rPr>
              <w:t>$59,962,500</w:t>
            </w:r>
          </w:p>
        </w:tc>
        <w:tc>
          <w:tcPr>
            <w:tcW w:w="120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right="2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pursuant to Rule 416(c) under the Securities Act of 1933, as amended (the “Securities Act”), this Registration Statement on Form S-8 also covers an indeterminate amount of interests to be offered or sold pursuant to The Scotts Company LLC Retirement Savings Plan.</w:t>
      </w:r>
    </w:p>
    <w:p>
      <w:pPr>
        <w:spacing w:after="0" w:line="53" w:lineRule="exact"/>
        <w:rPr>
          <w:rFonts w:ascii="Times New Roman" w:cs="Times New Roman" w:eastAsia="Times New Roman" w:hAnsi="Times New Roman"/>
          <w:sz w:val="18"/>
          <w:szCs w:val="18"/>
          <w:color w:val="auto"/>
        </w:rPr>
      </w:pPr>
    </w:p>
    <w:p>
      <w:pPr>
        <w:ind w:left="340" w:right="38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aggregate offering price and the registration fee pursuant to Rules 457(c) and 457(h) promulgated under the Securities Act and computed on the basis of $23.985, which is the average of the high and low prices for a common share of The Scotts Miracle-Gro Company as reported on the New York Stock Exchange on October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jc w:val="right"/>
        <w:ind w:right="33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Part I</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Part II</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3. Incorporation of Documents by Reference</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4. Description of Securities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5. Interests of Named Experts and Counsel</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6. Indemnification of Directors and Officers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14">
        <w:r>
          <w:rPr>
            <w:rFonts w:ascii="Times New Roman" w:cs="Times New Roman" w:eastAsia="Times New Roman" w:hAnsi="Times New Roman"/>
            <w:sz w:val="22"/>
            <w:szCs w:val="22"/>
            <w:u w:val="single" w:color="auto"/>
            <w:color w:val="0000EE"/>
          </w:rPr>
          <w:t>Item 7. Exemption from Registration Claimed</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14">
        <w:r>
          <w:rPr>
            <w:rFonts w:ascii="Times New Roman" w:cs="Times New Roman" w:eastAsia="Times New Roman" w:hAnsi="Times New Roman"/>
            <w:sz w:val="22"/>
            <w:szCs w:val="22"/>
            <w:u w:val="single" w:color="auto"/>
            <w:color w:val="0000EE"/>
          </w:rPr>
          <w:t>Item 8. Exhibits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15">
        <w:r>
          <w:rPr>
            <w:rFonts w:ascii="Times New Roman" w:cs="Times New Roman" w:eastAsia="Times New Roman" w:hAnsi="Times New Roman"/>
            <w:sz w:val="22"/>
            <w:szCs w:val="22"/>
            <w:u w:val="single" w:color="auto"/>
            <w:color w:val="0000EE"/>
          </w:rPr>
          <w:t>Item 9. Undertakings</w:t>
        </w:r>
      </w:hyperlink>
    </w:p>
    <w:p>
      <w:pPr>
        <w:spacing w:after="0" w:line="230" w:lineRule="auto"/>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INDEX TO EXHIBITS</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EX-23.1</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EX-23.2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INFORMATION REQUIRED IN THE SECTION 10(a) PROSPECTUS</w:t>
      </w:r>
    </w:p>
    <w:p>
      <w:pPr>
        <w:spacing w:after="0" w:line="117" w:lineRule="exact"/>
        <w:rPr>
          <w:sz w:val="20"/>
          <w:szCs w:val="20"/>
          <w:color w:val="auto"/>
        </w:rPr>
      </w:pPr>
    </w:p>
    <w:p>
      <w:pPr>
        <w:ind w:firstLine="222"/>
        <w:spacing w:after="0" w:line="25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Scotts Company LLC Retirement Savings Plan as specified by Rule 428(b)(1) under the Securities Act of 1933, as amended (the “Securities Act”). In accordance with the instructions to Part I of Form S-8, such documents will not be filed with the Securities and Exchange Commission (the “Commission”) either as part of this Registration Statement on Form S-8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Incorporation of Documents by Reference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222"/>
        <w:spacing w:after="0" w:line="256" w:lineRule="auto"/>
        <w:rPr>
          <w:sz w:val="20"/>
          <w:szCs w:val="20"/>
          <w:color w:val="auto"/>
        </w:rPr>
      </w:pPr>
      <w:r>
        <w:rPr>
          <w:rFonts w:ascii="Times New Roman" w:cs="Times New Roman" w:eastAsia="Times New Roman" w:hAnsi="Times New Roman"/>
          <w:sz w:val="18"/>
          <w:szCs w:val="18"/>
          <w:color w:val="auto"/>
        </w:rPr>
        <w:t>The Commission allows The Scotts Miracle-Gro Company (the “Registrant”) and The Scotts Company LLC Retirement Savings Plan to “incorporate by reference” in this Registration Statement the information in the documents that the Registrant and The Scotts Company LLC Retirement Savings Plan file with the Commission, which means that important information can be disclosed to you by referring you to those documents. The information incorporated by reference is considered to be a part of this Registration Statement. The following documents, filed by the Registrant and The Scotts Company LLC Retirement Savings Plan with the Commission pursuant to the Securities Exchange Act of 1934, as amended (the “Exchange Act”), shall be deemed to be incorporated by reference into this Registration Statement and to be a part hereof:</w:t>
      </w:r>
    </w:p>
    <w:p>
      <w:pPr>
        <w:spacing w:after="0" w:line="80" w:lineRule="exact"/>
        <w:rPr>
          <w:sz w:val="20"/>
          <w:szCs w:val="20"/>
          <w:color w:val="auto"/>
        </w:rPr>
      </w:pPr>
    </w:p>
    <w:p>
      <w:pPr>
        <w:ind w:left="660" w:right="8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Report on Form 10-K of the Registrant for the fiscal year ended September 30, 2007, filed with the Commission on November 29, 2007 (File No. 1-13292);</w:t>
      </w:r>
    </w:p>
    <w:p>
      <w:pPr>
        <w:spacing w:after="0" w:line="67" w:lineRule="exact"/>
        <w:rPr>
          <w:rFonts w:ascii="Times New Roman" w:cs="Times New Roman" w:eastAsia="Times New Roman" w:hAnsi="Times New Roman"/>
          <w:sz w:val="18"/>
          <w:szCs w:val="18"/>
          <w:b w:val="1"/>
          <w:bCs w:val="1"/>
          <w:color w:val="auto"/>
        </w:rPr>
      </w:pPr>
    </w:p>
    <w:p>
      <w:pPr>
        <w:ind w:left="660" w:right="14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Quarterly Report on Form 10-Q of the Registrant for the quarterly period ended December 29, 2007, filed with the Commission on February 7, 2008 (File No. 1-13292);</w:t>
      </w:r>
    </w:p>
    <w:p>
      <w:pPr>
        <w:spacing w:after="0" w:line="67" w:lineRule="exact"/>
        <w:rPr>
          <w:rFonts w:ascii="Times New Roman" w:cs="Times New Roman" w:eastAsia="Times New Roman" w:hAnsi="Times New Roman"/>
          <w:sz w:val="18"/>
          <w:szCs w:val="18"/>
          <w:b w:val="1"/>
          <w:bCs w:val="1"/>
          <w:color w:val="auto"/>
        </w:rPr>
      </w:pPr>
    </w:p>
    <w:p>
      <w:pPr>
        <w:ind w:left="660" w:right="32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Quarterly Report on Form 10-Q of the Registrant for the quarterly period ended March 29, 2008, filed with the Commission on May 8, 2008 (File No. 1-13292);</w:t>
      </w:r>
    </w:p>
    <w:p>
      <w:pPr>
        <w:spacing w:after="0" w:line="67" w:lineRule="exact"/>
        <w:rPr>
          <w:rFonts w:ascii="Times New Roman" w:cs="Times New Roman" w:eastAsia="Times New Roman" w:hAnsi="Times New Roman"/>
          <w:sz w:val="18"/>
          <w:szCs w:val="18"/>
          <w:b w:val="1"/>
          <w:bCs w:val="1"/>
          <w:color w:val="auto"/>
        </w:rPr>
      </w:pPr>
    </w:p>
    <w:p>
      <w:pPr>
        <w:ind w:left="660" w:right="28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Quarterly Report on Form 10-Q of the Registrant for the quarterly period ended June 28, 2008, filed with the Commission on August 7, 2008 (File No. 1-13292);</w:t>
      </w:r>
    </w:p>
    <w:p>
      <w:pPr>
        <w:spacing w:after="0" w:line="67" w:lineRule="exact"/>
        <w:rPr>
          <w:rFonts w:ascii="Times New Roman" w:cs="Times New Roman" w:eastAsia="Times New Roman" w:hAnsi="Times New Roman"/>
          <w:sz w:val="18"/>
          <w:szCs w:val="18"/>
          <w:b w:val="1"/>
          <w:bCs w:val="1"/>
          <w:color w:val="auto"/>
        </w:rPr>
      </w:pPr>
    </w:p>
    <w:p>
      <w:pPr>
        <w:ind w:left="660" w:right="500" w:hanging="436"/>
        <w:spacing w:after="0" w:line="28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Reports on Form 8-K filed by the Registrant with the Commission on November 1, 2007, December 7, 2007, December 17, 2007, December 20, 2007,</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December 21, 2007, January 29, 2008, February 6, 2008, April 15, 2008, April 24, 2008, April 25, 2008, May 5, 2008, May 22, 2008, June 4, 2008, July 1, 2008, July 3, 2008, August 1, 2008, August 22, 2008, September 12, 2008, September 17, 2008, September 18, 2008 and October 15, 2008 (File No. 1-13292);</w:t>
      </w:r>
    </w:p>
    <w:p>
      <w:pPr>
        <w:spacing w:after="0" w:line="82" w:lineRule="exact"/>
        <w:rPr>
          <w:sz w:val="20"/>
          <w:szCs w:val="20"/>
          <w:color w:val="auto"/>
        </w:rPr>
      </w:pPr>
    </w:p>
    <w:p>
      <w:pPr>
        <w:ind w:left="660" w:right="100" w:hanging="436"/>
        <w:spacing w:after="0" w:line="28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Report on Form 11-K of The Scotts Company LLC Retirement Savings Plan for the fiscal year ended December 31, 2007, filed with the Commission on June 26, 2008 (File No. 033-47073); and</w:t>
      </w:r>
    </w:p>
    <w:p>
      <w:pPr>
        <w:spacing w:after="0" w:line="67" w:lineRule="exact"/>
        <w:rPr>
          <w:rFonts w:ascii="Times New Roman" w:cs="Times New Roman" w:eastAsia="Times New Roman" w:hAnsi="Times New Roman"/>
          <w:sz w:val="18"/>
          <w:szCs w:val="18"/>
          <w:b w:val="1"/>
          <w:bCs w:val="1"/>
          <w:color w:val="auto"/>
        </w:rPr>
      </w:pPr>
    </w:p>
    <w:p>
      <w:pPr>
        <w:ind w:left="660" w:right="320" w:hanging="436"/>
        <w:spacing w:after="0" w:line="28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description of the Registrant’s common shares, without par value, contained in the Registrant’s Current Report on Form 8-K filed with the Commission on March 24, 2005, together with any subsequent registration statement or report filed for the purpose of updating such description.</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All documents which may be filed by the Registrant or The Scotts Company LLC Retirement Savings Plan with the Commission pursuant to</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13(a), Section 13(c), Section 14 or Section 15(d) of the Exchange Act subsequent to the date of this Registration Statement and prior to the filing of a post-effective amendment which indicates that all securities offered under The Scotts Company LLC Retirement Savings Plan pursuant to this Registration Statement have been sold or which deregisters all securities then remaining unsold, shall also be deemed to be incorporated by reference in this Registration Statement and to be made a part hereof from the date of filing of such documents. To the extent that any information contained in any Current Report on Form 8-K, or any exhibit thereto, was or is furnished to, rather than filed with, the Commission in accordance with the Commission’s rules, such information or exhibit is specifically not incorporated by reference into this Registration Statement.</w:t>
      </w:r>
    </w:p>
    <w:p>
      <w:pPr>
        <w:spacing w:after="0" w:line="82" w:lineRule="exact"/>
        <w:rPr>
          <w:sz w:val="20"/>
          <w:szCs w:val="20"/>
          <w:color w:val="auto"/>
        </w:rPr>
      </w:pPr>
    </w:p>
    <w:p>
      <w:pPr>
        <w:ind w:right="220" w:firstLine="215"/>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in this Registration Statement by reference, or contained in this Registration Statement, shall be deemed to be modified or superseded for purposes of this Registration Statement to the extent that a statement contained in any subsequently filed document which also is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Description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222"/>
        <w:spacing w:after="0" w:line="282" w:lineRule="auto"/>
        <w:rPr>
          <w:sz w:val="20"/>
          <w:szCs w:val="20"/>
          <w:color w:val="auto"/>
        </w:rPr>
      </w:pPr>
      <w:r>
        <w:rPr>
          <w:rFonts w:ascii="Times New Roman" w:cs="Times New Roman" w:eastAsia="Times New Roman" w:hAnsi="Times New Roman"/>
          <w:sz w:val="18"/>
          <w:szCs w:val="18"/>
          <w:color w:val="auto"/>
        </w:rPr>
        <w:t>The common shares, without par value, of the Registrant are registered under Section 12 of the Exchange Act. Accordingly, in accordance with the instructions to Item 4 of Part II of Form S-8, no description of such common shares is provided hereunder.</w:t>
      </w:r>
    </w:p>
    <w:p>
      <w:pPr>
        <w:spacing w:after="0" w:line="54" w:lineRule="exact"/>
        <w:rPr>
          <w:sz w:val="20"/>
          <w:szCs w:val="20"/>
          <w:color w:val="auto"/>
        </w:rPr>
      </w:pPr>
    </w:p>
    <w:p>
      <w:pPr>
        <w:ind w:right="220" w:firstLine="225"/>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instructions to Item 4 of Part II of Form S-8, no description of the interests to be offered or sold pursuant to The Scotts Company LLC Retirement Savings Plan is provided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Interests of Named Experts and Counsel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Indemnification of Directors and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Article Five of the Code of Regulations of the Registrant governs the indemnification of officers and directors of the Registrant. Article Five provides:</w:t>
      </w:r>
    </w:p>
    <w:p>
      <w:pPr>
        <w:spacing w:after="0" w:line="117" w:lineRule="exact"/>
        <w:rPr>
          <w:sz w:val="20"/>
          <w:szCs w:val="20"/>
          <w:color w:val="auto"/>
        </w:rPr>
      </w:pPr>
    </w:p>
    <w:p>
      <w:pPr>
        <w:ind w:left="240" w:right="120" w:firstLine="225"/>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5.01. Mandatory Indemnification</w:t>
      </w:r>
      <w:r>
        <w:rPr>
          <w:rFonts w:ascii="Times New Roman" w:cs="Times New Roman" w:eastAsia="Times New Roman" w:hAnsi="Times New Roman"/>
          <w:sz w:val="18"/>
          <w:szCs w:val="18"/>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5.02. Court-Approved Indemnification</w:t>
      </w:r>
      <w:r>
        <w:rPr>
          <w:rFonts w:ascii="Times New Roman" w:cs="Times New Roman" w:eastAsia="Times New Roman" w:hAnsi="Times New Roman"/>
          <w:sz w:val="18"/>
          <w:szCs w:val="18"/>
          <w:color w:val="auto"/>
        </w:rPr>
        <w:t>. Anything contained in the Regulations or elsewhere to the contrary notwithstanding:</w:t>
      </w:r>
    </w:p>
    <w:p>
      <w:pPr>
        <w:spacing w:after="0" w:line="117" w:lineRule="exact"/>
        <w:rPr>
          <w:sz w:val="20"/>
          <w:szCs w:val="20"/>
          <w:color w:val="auto"/>
        </w:rPr>
      </w:pPr>
    </w:p>
    <w:p>
      <w:pPr>
        <w:ind w:left="240" w:firstLine="221"/>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case, he is fairly and reasonably entitled to such indemnity as such Court of Common Pleas or such other court shall deem proper; and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the corporation shall promptly make any such unpaid indemnification as is determined by a court to be proper as contemplated by this Section 5.02.</w:t>
      </w:r>
    </w:p>
    <w:p>
      <w:pPr>
        <w:spacing w:after="0" w:line="117" w:lineRule="exact"/>
        <w:rPr>
          <w:sz w:val="20"/>
          <w:szCs w:val="20"/>
          <w:color w:val="auto"/>
        </w:rPr>
      </w:pPr>
    </w:p>
    <w:p>
      <w:pPr>
        <w:ind w:left="240" w:right="40" w:firstLine="225"/>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5.03. Indemnification for Expenses</w:t>
      </w:r>
      <w:r>
        <w:rPr>
          <w:rFonts w:ascii="Times New Roman" w:cs="Times New Roman" w:eastAsia="Times New Roman" w:hAnsi="Times New Roman"/>
          <w:sz w:val="18"/>
          <w:szCs w:val="18"/>
          <w:color w:val="auto"/>
        </w:rPr>
        <w:t>.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72" w:lineRule="exact"/>
        <w:rPr>
          <w:sz w:val="20"/>
          <w:szCs w:val="20"/>
          <w:color w:val="auto"/>
        </w:rPr>
      </w:pPr>
    </w:p>
    <w:p>
      <w:pPr>
        <w:ind w:left="240" w:firstLine="225"/>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5.04. Determination Required</w:t>
      </w:r>
      <w:r>
        <w:rPr>
          <w:rFonts w:ascii="Times New Roman" w:cs="Times New Roman" w:eastAsia="Times New Roman" w:hAnsi="Times New Roman"/>
          <w:sz w:val="18"/>
          <w:szCs w:val="18"/>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County, Ohio or the court in which such action or suit was brought, if any, to review the reasonableness of such determination.</w:t>
      </w:r>
    </w:p>
    <w:p>
      <w:pPr>
        <w:spacing w:after="0" w:line="117" w:lineRule="exact"/>
        <w:rPr>
          <w:sz w:val="20"/>
          <w:szCs w:val="20"/>
          <w:color w:val="auto"/>
        </w:rPr>
      </w:pPr>
    </w:p>
    <w:p>
      <w:pPr>
        <w:ind w:left="240" w:right="100" w:firstLine="225"/>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5.05. Advances for Expenses</w:t>
      </w:r>
      <w:r>
        <w:rPr>
          <w:rFonts w:ascii="Times New Roman" w:cs="Times New Roman" w:eastAsia="Times New Roman" w:hAnsi="Times New Roman"/>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76" w:lineRule="exact"/>
        <w:rPr>
          <w:sz w:val="20"/>
          <w:szCs w:val="20"/>
          <w:color w:val="auto"/>
        </w:rPr>
      </w:pPr>
    </w:p>
    <w:p>
      <w:pPr>
        <w:ind w:left="240" w:right="580" w:firstLine="221"/>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shall ultimately be determined as provided in Section 5.04 that he is not entitled to be indemnified by the corporation as provided under Section 5.01; or</w:t>
      </w:r>
    </w:p>
    <w:p>
      <w:pPr>
        <w:spacing w:after="0" w:line="53" w:lineRule="exact"/>
        <w:rPr>
          <w:rFonts w:ascii="Times New Roman" w:cs="Times New Roman" w:eastAsia="Times New Roman" w:hAnsi="Times New Roman"/>
          <w:sz w:val="18"/>
          <w:szCs w:val="18"/>
          <w:color w:val="auto"/>
        </w:rPr>
      </w:pPr>
    </w:p>
    <w:p>
      <w:pPr>
        <w:ind w:left="240" w:right="20" w:firstLine="221"/>
        <w:spacing w:after="0" w:line="258" w:lineRule="auto"/>
        <w:tabs>
          <w:tab w:leader="none" w:pos="7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76" w:lineRule="exact"/>
        <w:rPr>
          <w:sz w:val="20"/>
          <w:szCs w:val="20"/>
          <w:color w:val="auto"/>
        </w:rPr>
      </w:pPr>
    </w:p>
    <w:p>
      <w:pPr>
        <w:ind w:left="240" w:right="80" w:firstLine="225"/>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5.06. Article FIVE Not Exclusive</w:t>
      </w:r>
      <w:r>
        <w:rPr>
          <w:rFonts w:ascii="Times New Roman" w:cs="Times New Roman" w:eastAsia="Times New Roman" w:hAnsi="Times New Roman"/>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76" w:lineRule="exact"/>
        <w:rPr>
          <w:sz w:val="20"/>
          <w:szCs w:val="20"/>
          <w:color w:val="auto"/>
        </w:rPr>
      </w:pPr>
    </w:p>
    <w:p>
      <w:pPr>
        <w:ind w:left="240" w:firstLine="225"/>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5.07. Insurance</w:t>
      </w:r>
      <w:r>
        <w:rPr>
          <w:rFonts w:ascii="Times New Roman" w:cs="Times New Roman" w:eastAsia="Times New Roman" w:hAnsi="Times New Roman"/>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under the provisions of this Article FIVE. Insurance may be purchased from or maintained with a person in which the corporation has a financial interest.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5.08. Certain Definitions</w:t>
      </w:r>
      <w:r>
        <w:rPr>
          <w:rFonts w:ascii="Times New Roman" w:cs="Times New Roman" w:eastAsia="Times New Roman" w:hAnsi="Times New Roman"/>
          <w:sz w:val="18"/>
          <w:szCs w:val="18"/>
          <w:color w:val="auto"/>
        </w:rPr>
        <w:t>. For purposes of this Article FIVE, and as examples and not by way of limitation:</w:t>
      </w:r>
    </w:p>
    <w:p>
      <w:pPr>
        <w:spacing w:after="0" w:line="117" w:lineRule="exact"/>
        <w:rPr>
          <w:sz w:val="20"/>
          <w:szCs w:val="20"/>
          <w:color w:val="auto"/>
        </w:rPr>
      </w:pPr>
    </w:p>
    <w:p>
      <w:pPr>
        <w:ind w:left="240" w:right="160" w:firstLine="221"/>
        <w:spacing w:after="0" w:line="277"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60" w:lineRule="exact"/>
        <w:rPr>
          <w:rFonts w:ascii="Times New Roman" w:cs="Times New Roman" w:eastAsia="Times New Roman" w:hAnsi="Times New Roman"/>
          <w:sz w:val="17"/>
          <w:szCs w:val="17"/>
          <w:color w:val="auto"/>
        </w:rPr>
      </w:pPr>
    </w:p>
    <w:p>
      <w:pPr>
        <w:ind w:left="240" w:right="40" w:firstLine="221"/>
        <w:spacing w:after="0" w:line="256" w:lineRule="auto"/>
        <w:tabs>
          <w:tab w:leader="none" w:pos="7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80" w:lineRule="exact"/>
        <w:rPr>
          <w:sz w:val="20"/>
          <w:szCs w:val="20"/>
          <w:color w:val="auto"/>
        </w:rPr>
      </w:pPr>
    </w:p>
    <w:p>
      <w:pPr>
        <w:ind w:left="240" w:firstLine="225"/>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5.09. Venue</w:t>
      </w:r>
      <w:r>
        <w:rPr>
          <w:rFonts w:ascii="Times New Roman" w:cs="Times New Roman" w:eastAsia="Times New Roman" w:hAnsi="Times New Roman"/>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Division (E) of Section 1701.13 of the Ohio Revised Code addresses indemnification by an Ohio corporation and provides as follows:</w:t>
      </w:r>
    </w:p>
    <w:p>
      <w:pPr>
        <w:spacing w:after="0" w:line="117" w:lineRule="exact"/>
        <w:rPr>
          <w:sz w:val="20"/>
          <w:szCs w:val="20"/>
          <w:color w:val="auto"/>
        </w:rPr>
      </w:pPr>
    </w:p>
    <w:p>
      <w:pPr>
        <w:ind w:left="240" w:right="280" w:firstLine="225"/>
        <w:spacing w:after="0" w:line="261" w:lineRule="auto"/>
        <w:rPr>
          <w:sz w:val="20"/>
          <w:szCs w:val="20"/>
          <w:color w:val="auto"/>
        </w:rPr>
      </w:pPr>
      <w:r>
        <w:rPr>
          <w:rFonts w:ascii="Times New Roman" w:cs="Times New Roman" w:eastAsia="Times New Roman" w:hAnsi="Times New Roman"/>
          <w:sz w:val="18"/>
          <w:szCs w:val="18"/>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55" w:lineRule="auto"/>
        <w:rPr>
          <w:sz w:val="20"/>
          <w:szCs w:val="20"/>
          <w:color w:val="auto"/>
        </w:rPr>
      </w:pPr>
      <w:r>
        <w:rPr>
          <w:rFonts w:ascii="Times New Roman" w:cs="Times New Roman" w:eastAsia="Times New Roman" w:hAnsi="Times New Roman"/>
          <w:sz w:val="18"/>
          <w:szCs w:val="18"/>
          <w:color w:val="auto"/>
        </w:rPr>
        <w:t>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81" w:lineRule="exact"/>
        <w:rPr>
          <w:sz w:val="20"/>
          <w:szCs w:val="20"/>
          <w:color w:val="auto"/>
        </w:rPr>
      </w:pPr>
    </w:p>
    <w:p>
      <w:pPr>
        <w:ind w:left="240" w:firstLine="221"/>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81" w:lineRule="exact"/>
        <w:rPr>
          <w:sz w:val="20"/>
          <w:szCs w:val="20"/>
          <w:color w:val="auto"/>
        </w:rPr>
      </w:pPr>
    </w:p>
    <w:p>
      <w:pPr>
        <w:ind w:left="240" w:right="460" w:firstLine="221"/>
        <w:spacing w:after="0" w:line="261" w:lineRule="auto"/>
        <w:tabs>
          <w:tab w:leader="none" w:pos="7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71"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suit in which the only liability asserted against a director is pursuant to section 1701.95 of the Revised Code.</w:t>
      </w:r>
    </w:p>
    <w:p>
      <w:pPr>
        <w:spacing w:after="0" w:line="117" w:lineRule="exact"/>
        <w:rPr>
          <w:sz w:val="20"/>
          <w:szCs w:val="20"/>
          <w:color w:val="auto"/>
        </w:rPr>
      </w:pPr>
    </w:p>
    <w:p>
      <w:pPr>
        <w:ind w:left="240" w:right="100" w:firstLine="221"/>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00" w:firstLine="221"/>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72" w:lineRule="exact"/>
        <w:rPr>
          <w:sz w:val="20"/>
          <w:szCs w:val="20"/>
          <w:color w:val="auto"/>
        </w:rPr>
      </w:pPr>
    </w:p>
    <w:p>
      <w:pPr>
        <w:ind w:left="240" w:right="260" w:firstLine="221"/>
        <w:spacing w:after="0" w:line="282" w:lineRule="auto"/>
        <w:tabs>
          <w:tab w:leader="none" w:pos="7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53" w:lineRule="exact"/>
        <w:rPr>
          <w:rFonts w:ascii="Times New Roman" w:cs="Times New Roman" w:eastAsia="Times New Roman" w:hAnsi="Times New Roman"/>
          <w:sz w:val="18"/>
          <w:szCs w:val="18"/>
          <w:color w:val="auto"/>
        </w:rPr>
      </w:pPr>
    </w:p>
    <w:p>
      <w:pPr>
        <w:ind w:left="240" w:firstLine="221"/>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68" w:lineRule="exact"/>
        <w:rPr>
          <w:rFonts w:ascii="Times New Roman" w:cs="Times New Roman" w:eastAsia="Times New Roman" w:hAnsi="Times New Roman"/>
          <w:sz w:val="18"/>
          <w:szCs w:val="18"/>
          <w:color w:val="auto"/>
        </w:rPr>
      </w:pPr>
    </w:p>
    <w:p>
      <w:pPr>
        <w:ind w:left="700" w:hanging="239"/>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117"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court of common pleas or the court in which the action, suit, or proceeding referred to in division (E)(1) or (2) of this section was brought.</w:t>
      </w:r>
    </w:p>
    <w:p>
      <w:pPr>
        <w:spacing w:after="0" w:line="117" w:lineRule="exact"/>
        <w:rPr>
          <w:sz w:val="20"/>
          <w:szCs w:val="20"/>
          <w:color w:val="auto"/>
        </w:rPr>
      </w:pPr>
    </w:p>
    <w:p>
      <w:pPr>
        <w:ind w:left="240" w:right="140" w:firstLine="215"/>
        <w:spacing w:after="0" w:line="261" w:lineRule="auto"/>
        <w:rPr>
          <w:sz w:val="20"/>
          <w:szCs w:val="20"/>
          <w:color w:val="auto"/>
        </w:rPr>
      </w:pPr>
      <w:r>
        <w:rPr>
          <w:rFonts w:ascii="Times New Roman" w:cs="Times New Roman" w:eastAsia="Times New Roman" w:hAnsi="Times New Roman"/>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72" w:lineRule="exact"/>
        <w:rPr>
          <w:sz w:val="20"/>
          <w:szCs w:val="20"/>
          <w:color w:val="auto"/>
        </w:rPr>
      </w:pPr>
    </w:p>
    <w:p>
      <w:pPr>
        <w:ind w:left="240" w:right="20" w:firstLine="225"/>
        <w:spacing w:after="0" w:line="256" w:lineRule="auto"/>
        <w:rPr>
          <w:sz w:val="20"/>
          <w:szCs w:val="20"/>
          <w:color w:val="auto"/>
        </w:rPr>
      </w:pPr>
      <w:r>
        <w:rPr>
          <w:rFonts w:ascii="Times New Roman" w:cs="Times New Roman" w:eastAsia="Times New Roman" w:hAnsi="Times New Roman"/>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80" w:lineRule="exact"/>
        <w:rPr>
          <w:sz w:val="20"/>
          <w:szCs w:val="20"/>
          <w:color w:val="auto"/>
        </w:rPr>
      </w:pPr>
    </w:p>
    <w:p>
      <w:pPr>
        <w:ind w:left="240" w:right="180" w:firstLine="2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such amount if it is proved by clear and convincing evidence in a court of competent jurisdiction that his action or failure to act involved an act or omission undertaken with deliberate intent to cause injury to</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corporation or undertaken with reckless disregard for the best interests of the corporation;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Reasonably cooperate with the corporation concerning the action, suit, or proceeding.</w:t>
      </w:r>
    </w:p>
    <w:p>
      <w:pPr>
        <w:spacing w:after="0" w:line="117" w:lineRule="exact"/>
        <w:rPr>
          <w:sz w:val="20"/>
          <w:szCs w:val="20"/>
          <w:color w:val="auto"/>
        </w:rPr>
      </w:pPr>
    </w:p>
    <w:p>
      <w:pPr>
        <w:ind w:left="240" w:right="160" w:firstLine="221"/>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76" w:lineRule="exact"/>
        <w:rPr>
          <w:sz w:val="20"/>
          <w:szCs w:val="20"/>
          <w:color w:val="auto"/>
        </w:rPr>
      </w:pPr>
    </w:p>
    <w:p>
      <w:pPr>
        <w:ind w:left="240" w:right="80" w:firstLine="221"/>
        <w:spacing w:after="0" w:line="281" w:lineRule="auto"/>
        <w:tabs>
          <w:tab w:leader="none" w:pos="7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56" w:lineRule="exact"/>
        <w:rPr>
          <w:rFonts w:ascii="Times New Roman" w:cs="Times New Roman" w:eastAsia="Times New Roman" w:hAnsi="Times New Roman"/>
          <w:sz w:val="17"/>
          <w:szCs w:val="17"/>
          <w:color w:val="auto"/>
        </w:rPr>
      </w:pPr>
    </w:p>
    <w:p>
      <w:pPr>
        <w:ind w:left="240" w:right="80" w:firstLine="221"/>
        <w:spacing w:after="0" w:line="25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79" w:lineRule="exact"/>
        <w:rPr>
          <w:rFonts w:ascii="Times New Roman" w:cs="Times New Roman" w:eastAsia="Times New Roman" w:hAnsi="Times New Roman"/>
          <w:sz w:val="18"/>
          <w:szCs w:val="18"/>
          <w:color w:val="auto"/>
        </w:rPr>
      </w:pPr>
    </w:p>
    <w:p>
      <w:pPr>
        <w:jc w:val="both"/>
        <w:ind w:left="240" w:firstLine="221"/>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68" w:lineRule="exact"/>
        <w:rPr>
          <w:rFonts w:ascii="Times New Roman" w:cs="Times New Roman" w:eastAsia="Times New Roman" w:hAnsi="Times New Roman"/>
          <w:sz w:val="18"/>
          <w:szCs w:val="18"/>
          <w:color w:val="auto"/>
        </w:rPr>
      </w:pPr>
    </w:p>
    <w:p>
      <w:pPr>
        <w:ind w:left="240" w:right="680" w:firstLine="221"/>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division (E) of this section, “corporation” includes all constituent entities in a consolidation or merger and the new or surviving corporation, so that any person who is or was a director, officer, employee,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61" w:lineRule="auto"/>
        <w:rPr>
          <w:sz w:val="20"/>
          <w:szCs w:val="20"/>
          <w:color w:val="auto"/>
        </w:rPr>
      </w:pPr>
      <w:r>
        <w:rPr>
          <w:rFonts w:ascii="Times New Roman" w:cs="Times New Roman" w:eastAsia="Times New Roman" w:hAnsi="Times New Roman"/>
          <w:sz w:val="18"/>
          <w:szCs w:val="18"/>
          <w:color w:val="auto"/>
        </w:rPr>
        <w:t>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72"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Section 11.5 of The Scotts Company LLC Retirement Savings Plan provides for indemnification of the Administrative Committee which administers The Scotts Company LLC Retirement Savings Plan and the employees carrying out the duties of the Administrative Committee as follows:</w:t>
      </w:r>
    </w:p>
    <w:p>
      <w:pPr>
        <w:spacing w:after="0" w:line="54" w:lineRule="exact"/>
        <w:rPr>
          <w:sz w:val="20"/>
          <w:szCs w:val="20"/>
          <w:color w:val="auto"/>
        </w:rPr>
      </w:pPr>
    </w:p>
    <w:p>
      <w:pPr>
        <w:ind w:left="240" w:right="40"/>
        <w:spacing w:after="0" w:line="254" w:lineRule="auto"/>
        <w:rPr>
          <w:sz w:val="20"/>
          <w:szCs w:val="20"/>
          <w:color w:val="auto"/>
        </w:rPr>
      </w:pPr>
      <w:r>
        <w:rPr>
          <w:rFonts w:ascii="Times New Roman" w:cs="Times New Roman" w:eastAsia="Times New Roman" w:hAnsi="Times New Roman"/>
          <w:sz w:val="18"/>
          <w:szCs w:val="18"/>
          <w:color w:val="auto"/>
        </w:rPr>
        <w:t>Each member of the Administrative Committee and Employees carrying out the duties of the Administrative Committee shall be indemnified by the Employer [The Scotts Company LLC and its affiliates]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 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operating agreement of the Company [The Scotts Company LLC]. Service on the Administrative Committee shall be deemed in partial fulfillment of the person’s function as an Employee, officer, and/or director of the Employer, if the person serves in such capacity as well.</w:t>
      </w:r>
    </w:p>
    <w:p>
      <w:pPr>
        <w:spacing w:after="0" w:line="78" w:lineRule="exact"/>
        <w:rPr>
          <w:sz w:val="20"/>
          <w:szCs w:val="20"/>
          <w:color w:val="auto"/>
        </w:rPr>
      </w:pPr>
    </w:p>
    <w:p>
      <w:pPr>
        <w:ind w:right="260" w:firstLine="215"/>
        <w:spacing w:after="0" w:line="261" w:lineRule="auto"/>
        <w:rPr>
          <w:sz w:val="20"/>
          <w:szCs w:val="20"/>
          <w:color w:val="auto"/>
        </w:rPr>
      </w:pPr>
      <w:r>
        <w:rPr>
          <w:rFonts w:ascii="Times New Roman" w:cs="Times New Roman" w:eastAsia="Times New Roman" w:hAnsi="Times New Roman"/>
          <w:sz w:val="18"/>
          <w:szCs w:val="18"/>
          <w:color w:val="auto"/>
        </w:rPr>
        <w:t>Article 13 of the Employment Agreement between The Scotts Company LLC and each of the following executive officers of the Registrant — Mark R. Baker, President and Chief Operating Officer; David C. Evans, Executive Vice President and Chief Financial Officer; Barry W. Sanders, Executive Vice President, North America; Denise S. Stump, Executive Vice President, Global Human Resources; and Vincent C. Brockman, Executive Vice President and General Counsel — addresses indemnification of such executive officers as follows: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Article 13. Indemnification</w:t>
      </w:r>
    </w:p>
    <w:p>
      <w:pPr>
        <w:spacing w:after="0" w:line="121" w:lineRule="exact"/>
        <w:rPr>
          <w:sz w:val="20"/>
          <w:szCs w:val="20"/>
          <w:color w:val="auto"/>
        </w:rPr>
      </w:pPr>
    </w:p>
    <w:p>
      <w:pPr>
        <w:ind w:left="240" w:right="20"/>
        <w:spacing w:after="0" w:line="266" w:lineRule="auto"/>
        <w:rPr>
          <w:sz w:val="20"/>
          <w:szCs w:val="20"/>
          <w:color w:val="auto"/>
        </w:rPr>
      </w:pPr>
      <w:r>
        <w:rPr>
          <w:rFonts w:ascii="Times New Roman" w:cs="Times New Roman" w:eastAsia="Times New Roman" w:hAnsi="Times New Roman"/>
          <w:sz w:val="18"/>
          <w:szCs w:val="18"/>
          <w:color w:val="auto"/>
        </w:rPr>
        <w:t>The Company [The Scotts Company LLC] hereby covenants and agrees to indemnify and hold harmless the Executive against and in respect to any and all actions, suits, proceedings, claims, demands, judgments, costs, expenses, losses, and damages resulting from the Executive’s performance of his [her] duties and obligations under the terms of this Agreement; provided however, the Executive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82" w:lineRule="auto"/>
        <w:rPr>
          <w:sz w:val="20"/>
          <w:szCs w:val="20"/>
          <w:color w:val="auto"/>
        </w:rPr>
      </w:pPr>
      <w:r>
        <w:rPr>
          <w:rFonts w:ascii="Times New Roman" w:cs="Times New Roman" w:eastAsia="Times New Roman" w:hAnsi="Times New Roman"/>
          <w:sz w:val="18"/>
          <w:szCs w:val="18"/>
          <w:color w:val="auto"/>
        </w:rPr>
        <w:t>acted in good faith and in a manner he [she] reasonably believed to be in or not opposed to the best interests of the Company or its shareholders, and with respect to a criminal action or proceeding, the Executive had no reasonable cause to believe his [her] conduct was unlawful.</w:t>
      </w:r>
    </w:p>
    <w:p>
      <w:pPr>
        <w:spacing w:after="0" w:line="54" w:lineRule="exact"/>
        <w:rPr>
          <w:sz w:val="20"/>
          <w:szCs w:val="20"/>
          <w:color w:val="auto"/>
        </w:rPr>
      </w:pPr>
    </w:p>
    <w:p>
      <w:pPr>
        <w:ind w:right="240" w:firstLine="222"/>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providing for indemnification of directors and officers and for reimbursement to the Registrant for monies which it may pay as indemnity to any director or officer, subject to the conditions and exclusions of the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Exemption from Registration Claimed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Exhibits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u w:val="single" w:color="auto"/>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6663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2" w:lineRule="exact"/>
        <w:rPr>
          <w:sz w:val="20"/>
          <w:szCs w:val="20"/>
          <w:color w:val="auto"/>
        </w:rPr>
      </w:pPr>
    </w:p>
    <w:p>
      <w:pPr>
        <w:ind w:left="920" w:right="340" w:hanging="685"/>
        <w:spacing w:after="0" w:line="313" w:lineRule="auto"/>
        <w:tabs>
          <w:tab w:leader="none" w:pos="9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Initial Articles of Incorporation of The Scotts Miracle-Gro Company as filed with the Ohio Secretary of State on November 22, 2004, incorporated herein by reference to Exhibit 3.1 to the Registrant’s Current Report on Form 8-K filed on March 24, 2005 [File No. 1-13292]</w:t>
      </w:r>
    </w:p>
    <w:p>
      <w:pPr>
        <w:spacing w:after="0" w:line="138" w:lineRule="exact"/>
        <w:rPr>
          <w:sz w:val="20"/>
          <w:szCs w:val="20"/>
          <w:color w:val="auto"/>
        </w:rPr>
      </w:pPr>
    </w:p>
    <w:p>
      <w:pPr>
        <w:ind w:left="920" w:right="40" w:hanging="685"/>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Certificate of Amendment by Shareholders to Articles of Incorporation of The Scotts Miracle-Gro Company as filed with the Ohio Secretary of State on March 18, 2005, incorporated herein by reference to Exhibit 3.2 to the Registrant’s Current Report on Form 8-K filed on March 24, 2005 [File No. 1-13292]</w:t>
      </w:r>
    </w:p>
    <w:p>
      <w:pPr>
        <w:spacing w:after="0" w:line="176" w:lineRule="exact"/>
        <w:rPr>
          <w:sz w:val="20"/>
          <w:szCs w:val="20"/>
          <w:color w:val="auto"/>
        </w:rPr>
      </w:pPr>
    </w:p>
    <w:p>
      <w:pPr>
        <w:ind w:left="920" w:right="40" w:hanging="685"/>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Code of Regulations of The Scotts Miracle-Gro Company, incorporated herein by reference to Exhibit 3.3 to the Registrant’s Current Report on Form 8-K filed on March 24, 2005 [File No. 1-13292]</w:t>
      </w:r>
    </w:p>
    <w:p>
      <w:pPr>
        <w:spacing w:after="0" w:line="16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Deloitte &amp; Touche LLP, independent registered public accounting firm</w:t>
      </w:r>
    </w:p>
    <w:p>
      <w:pPr>
        <w:spacing w:after="0" w:line="225" w:lineRule="exact"/>
        <w:rPr>
          <w:sz w:val="20"/>
          <w:szCs w:val="20"/>
          <w:color w:val="auto"/>
        </w:rPr>
      </w:pPr>
    </w:p>
    <w:p>
      <w:pPr>
        <w:ind w:left="920" w:right="80" w:hanging="73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Meaden &amp; Moore, Ltd., independent registered public accounting firm, in respect of The Scotts Company LLC Retirement Savings Plan</w:t>
      </w:r>
    </w:p>
    <w:p>
      <w:pPr>
        <w:spacing w:after="0" w:line="16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 of Executive Officers and Directors of The Scotts Miracle-Gro Company</w:t>
      </w:r>
    </w:p>
    <w:p>
      <w:pPr>
        <w:spacing w:after="0" w:line="1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33"/>
        <w:spacing w:after="0" w:line="261"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8 of Part II of Form S-8, this Registration Statement does not include Exhibit 5 — Opinion regarding legality for plans subject to the requirements of ERISA — as the Registrant undertakes that, as applicable, The Scotts Company LLC Retirement Savings Plan and any amendments thereto have been or will be submitted to the Internal Revenue Service (the “IRS”) in a timely manner and all changes required by the IRS in order to qualify The Scotts Company LLC Retirement Savings Plan under Section 401 of the Internal Revenue Code of 1986, as amended, have been or will be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Undertakings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120" w:right="20" w:hanging="437"/>
        <w:spacing w:after="0" w:line="255" w:lineRule="auto"/>
        <w:tabs>
          <w:tab w:leader="none" w:pos="11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1120" w:right="420" w:hanging="437"/>
        <w:spacing w:after="0" w:line="282" w:lineRule="auto"/>
        <w:tabs>
          <w:tab w:leader="none" w:pos="11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4"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82" w:lineRule="exact"/>
        <w:rPr>
          <w:sz w:val="20"/>
          <w:szCs w:val="20"/>
          <w:color w:val="auto"/>
        </w:rPr>
      </w:pPr>
    </w:p>
    <w:p>
      <w:pPr>
        <w:ind w:left="660" w:right="20" w:hanging="436"/>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Times New Roman" w:cs="Times New Roman" w:eastAsia="Times New Roman" w:hAnsi="Times New Roman"/>
          <w:sz w:val="18"/>
          <w:szCs w:val="18"/>
          <w:color w:val="auto"/>
        </w:rPr>
      </w:pPr>
    </w:p>
    <w:p>
      <w:pPr>
        <w:ind w:left="320" w:right="20" w:hanging="312"/>
        <w:spacing w:after="0" w:line="255"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13" w:lineRule="exact"/>
        <w:rPr>
          <w:sz w:val="20"/>
          <w:szCs w:val="20"/>
          <w:color w:val="auto"/>
        </w:rPr>
      </w:pPr>
    </w:p>
    <w:p>
      <w:pPr>
        <w:jc w:val="both"/>
        <w:ind w:right="180" w:firstLine="22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requirements for filing on Form S-8 and has duly caused this Registration Statement to be signed on its behalf by the undersigned, thereunto duly authorized, in the City of Marysville, State of Ohio, on the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October, 2008.</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James Hagedorn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315"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October 16, 2008.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w:t>
            </w:r>
          </w:p>
        </w:tc>
        <w:tc>
          <w:tcPr>
            <w:tcW w:w="560" w:type="dxa"/>
            <w:vAlign w:val="bottom"/>
          </w:tcPr>
          <w:p>
            <w:pPr>
              <w:spacing w:after="0"/>
              <w:rPr>
                <w:sz w:val="14"/>
                <w:szCs w:val="1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w:t>
            </w:r>
          </w:p>
        </w:tc>
      </w:tr>
      <w:tr>
        <w:trPr>
          <w:trHeight w:val="426"/>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R. Baker</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Mark R. Baker</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Arnold W. Donald*</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Arnold W. Donald</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Evans</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178"/>
        </w:trPr>
        <w:tc>
          <w:tcPr>
            <w:tcW w:w="51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David C. Evans</w:t>
            </w:r>
          </w:p>
        </w:tc>
        <w:tc>
          <w:tcPr>
            <w:tcW w:w="560" w:type="dxa"/>
            <w:vAlign w:val="bottom"/>
          </w:tcPr>
          <w:p>
            <w:pPr>
              <w:spacing w:after="0"/>
              <w:rPr>
                <w:sz w:val="15"/>
                <w:szCs w:val="15"/>
                <w:color w:val="auto"/>
              </w:rPr>
            </w:pPr>
          </w:p>
        </w:tc>
        <w:tc>
          <w:tcPr>
            <w:tcW w:w="5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and Chief Financial Officer (Principal Financial Officer and Principal</w:t>
            </w:r>
          </w:p>
        </w:tc>
      </w:tr>
      <w:tr>
        <w:trPr>
          <w:trHeight w:val="234"/>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3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P. Flannery*</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Joseph P. Flannery</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Executive Officer) and Director</w:t>
            </w: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N. Kelly Jr.*</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Thomas N. Kelly Jr.</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F. Kohrt, Ph.D.*</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Carl F. Kohrt, Ph.D.</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00"/>
        </w:trPr>
        <w:tc>
          <w:tcPr>
            <w:tcW w:w="5160" w:type="dxa"/>
            <w:vAlign w:val="bottom"/>
          </w:tcPr>
          <w:p>
            <w:pPr>
              <w:spacing w:after="0"/>
              <w:rPr>
                <w:sz w:val="24"/>
                <w:szCs w:val="24"/>
                <w:color w:val="auto"/>
              </w:rPr>
            </w:pPr>
          </w:p>
        </w:tc>
        <w:tc>
          <w:tcPr>
            <w:tcW w:w="6260" w:type="dxa"/>
            <w:vAlign w:val="bottom"/>
            <w:gridSpan w:val="2"/>
          </w:tcPr>
          <w:p>
            <w:pPr>
              <w:jc w:val="right"/>
              <w:ind w:right="5472"/>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5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w:t>
            </w:r>
          </w:p>
        </w:tc>
        <w:tc>
          <w:tcPr>
            <w:tcW w:w="560" w:type="dxa"/>
            <w:vAlign w:val="bottom"/>
          </w:tcPr>
          <w:p>
            <w:pPr>
              <w:spacing w:after="0"/>
              <w:rPr>
                <w:sz w:val="14"/>
                <w:szCs w:val="14"/>
                <w:color w:val="auto"/>
              </w:rPr>
            </w:pP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w:t>
            </w:r>
          </w:p>
        </w:tc>
      </w:tr>
      <w:tr>
        <w:trPr>
          <w:trHeight w:val="426"/>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Hagedorn Littlefield*</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G. Mills*</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Karen G. Mills</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Nancy G. Mistretta*</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Nancy G. Mistretta</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 Norton*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Patrick J. Norton</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Stephanie M. Shern*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Stephanie M. Shern</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27"/>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Shiely*</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John S. Shiely</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5" w:lineRule="exact"/>
        <w:rPr>
          <w:sz w:val="20"/>
          <w:szCs w:val="20"/>
          <w:color w:val="auto"/>
        </w:rPr>
      </w:pPr>
    </w:p>
    <w:p>
      <w:pPr>
        <w:ind w:left="460" w:right="3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Registration Statement on Form S-8 on behalf of each of the directors of the Registrant identified above pursuant to Powers of Attorney executed by the directors identified above, which Powers of Attorney are filed with this Registration Statement on Form S-8 as exhibits.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6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David C. Evans, Attorney-in-Fact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2008</w:t>
      </w:r>
    </w:p>
    <w:p>
      <w:pPr>
        <w:spacing w:after="0" w:line="9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Plan. </w:t>
      </w:r>
      <w:r>
        <w:rPr>
          <w:rFonts w:ascii="Times New Roman" w:cs="Times New Roman" w:eastAsia="Times New Roman" w:hAnsi="Times New Roman"/>
          <w:sz w:val="18"/>
          <w:szCs w:val="18"/>
          <w:color w:val="auto"/>
        </w:rPr>
        <w:t>Pursuant to the requirements of the Securities Act of 1933, the trustee or other persons who administer The Scotts Company LLC Retirement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Savings Plan have duly caused this Registration Statement to be signed on its behalf by the undersigned, thereunto duly authorized, in the City of Marysville, State of Ohio, on October 16, 2008.</w:t>
      </w:r>
    </w:p>
    <w:p>
      <w:pPr>
        <w:spacing w:after="0" w:line="1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THE SCOTTS COMPANY LLC</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RETIREMENT SAVINGS PLAN</w:t>
      </w:r>
    </w:p>
    <w:p>
      <w:pPr>
        <w:spacing w:after="0" w:line="207"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Evans</w:t>
            </w:r>
          </w:p>
        </w:tc>
      </w:tr>
      <w:tr>
        <w:trPr>
          <w:trHeight w:val="439"/>
        </w:trPr>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Printed Name:  David C. Evans</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4"/>
                <w:szCs w:val="24"/>
                <w:color w:val="auto"/>
              </w:rPr>
            </w:pPr>
          </w:p>
        </w:tc>
        <w:tc>
          <w:tcPr>
            <w:tcW w:w="5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Scotts</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Company LLC</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u w:val="single" w:color="auto"/>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6663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2" w:lineRule="exact"/>
        <w:rPr>
          <w:sz w:val="20"/>
          <w:szCs w:val="20"/>
          <w:color w:val="auto"/>
        </w:rPr>
      </w:pPr>
    </w:p>
    <w:p>
      <w:pPr>
        <w:ind w:left="920" w:hanging="685"/>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Initial Articles of Incorporation of The Scotts Miracle-Gro Company as filed with the Ohio Secretary of State on November 22, 2004, incorporated herein by reference to Exhibit 3.1 to the Current Report on Form 8-K of The Scotts Miracle-Gro Company (the “Registrant”) filed on March 24, 2005 [File No. 1-13292]</w:t>
      </w:r>
    </w:p>
    <w:p>
      <w:pPr>
        <w:spacing w:after="0" w:line="176" w:lineRule="exact"/>
        <w:rPr>
          <w:sz w:val="20"/>
          <w:szCs w:val="20"/>
          <w:color w:val="auto"/>
        </w:rPr>
      </w:pPr>
    </w:p>
    <w:p>
      <w:pPr>
        <w:ind w:left="920" w:hanging="685"/>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Certificate of Amendment by Shareholders to Articles of Incorporation of The Scotts Miracle-Gro Company as filed with the Ohio Secretary of State on March 18, 2005, incorporated herein by reference to Exhibit 3.2 to the Registrant’s Current Report on Form 8-K filed on March 24, 2005 [File No. 1-13292]</w:t>
      </w:r>
    </w:p>
    <w:p>
      <w:pPr>
        <w:spacing w:after="0" w:line="176" w:lineRule="exact"/>
        <w:rPr>
          <w:sz w:val="20"/>
          <w:szCs w:val="20"/>
          <w:color w:val="auto"/>
        </w:rPr>
      </w:pPr>
    </w:p>
    <w:p>
      <w:pPr>
        <w:ind w:left="920" w:hanging="685"/>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Code of Regulations of The Scotts Miracle-Gro Company, incorporated herein by reference to Exhibit 3.3 to the Registrant’s Current Report on Form 8-K filed on March 24, 2005 [File No. 1-13292]</w:t>
      </w:r>
    </w:p>
    <w:p>
      <w:pPr>
        <w:spacing w:after="0" w:line="16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Deloitte &amp; Touche LLP, independent registered public accounting firm</w:t>
      </w:r>
    </w:p>
    <w:p>
      <w:pPr>
        <w:spacing w:after="0" w:line="225" w:lineRule="exact"/>
        <w:rPr>
          <w:sz w:val="20"/>
          <w:szCs w:val="20"/>
          <w:color w:val="auto"/>
        </w:rPr>
      </w:pPr>
    </w:p>
    <w:p>
      <w:pPr>
        <w:ind w:left="920" w:right="40" w:hanging="73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Consent of Meaden &amp; Moore, Ltd., independent registered public accounting firm, in respect of The Scotts Company LLC Retirement Savings Plan</w:t>
      </w:r>
    </w:p>
    <w:p>
      <w:pPr>
        <w:spacing w:after="0" w:line="162" w:lineRule="exact"/>
        <w:rPr>
          <w:sz w:val="20"/>
          <w:szCs w:val="20"/>
          <w:color w:val="auto"/>
        </w:rPr>
      </w:pPr>
    </w:p>
    <w:p>
      <w:pPr>
        <w:ind w:left="200"/>
        <w:spacing w:after="0"/>
        <w:tabs>
          <w:tab w:leader="none" w:pos="9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Powers of Attorney of Executive Officers and Directors of The Scotts Miracle-Gro Company</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240" w:top="415" w:right="39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this Registration Statement on Form S-8 of our reports dated November 29, 2007, relating to the consolidated financial statements (which report expresses an unqualified opinion and includes an explanatory paragraph relating to The Scotts Miracle-Gro Company’s adoption of Statement of Financial Accounting Standards No. 158, </w:t>
      </w:r>
      <w:r>
        <w:rPr>
          <w:rFonts w:ascii="Times New Roman" w:cs="Times New Roman" w:eastAsia="Times New Roman" w:hAnsi="Times New Roman"/>
          <w:sz w:val="18"/>
          <w:szCs w:val="18"/>
          <w:i w:val="1"/>
          <w:iCs w:val="1"/>
          <w:color w:val="auto"/>
        </w:rPr>
        <w:t>Employers’ Accounting for Defined Benefit Pension and Other Postretirement Plans</w:t>
      </w:r>
      <w:r>
        <w:rPr>
          <w:rFonts w:ascii="Times New Roman" w:cs="Times New Roman" w:eastAsia="Times New Roman" w:hAnsi="Times New Roman"/>
          <w:sz w:val="18"/>
          <w:szCs w:val="18"/>
          <w:color w:val="auto"/>
        </w:rPr>
        <w:t xml:space="preserve"> on September 30, 2007) and consolidated financial statement schedule of The Scotts Miracle-Gro Company, and the effectiveness of The Scotts Miracle-Gro Company’s internal control over financial reporting, appearing in the Annual Report on Form 10-K of The Scotts Miracle-Gro Company for the year ended September 30, 2007.</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2008</w:t>
      </w:r>
    </w:p>
    <w:p>
      <w:pPr>
        <w:sectPr>
          <w:pgSz w:w="11900" w:h="16838" w:orient="portrait"/>
          <w:cols w:equalWidth="0" w:num="1">
            <w:col w:w="11420"/>
          </w:cols>
          <w:pgMar w:left="240" w:top="117" w:right="2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June 4, 2008 relating to the financial statements and supplemental schedule of The Scotts Company LLC Retirement Savings Plan as of and for the years ended December 31, 2007 and 2006, which appear in the Annual Report of The Scotts Company LLC Retirement Savings Plan on Form 11-K for the year ended December 31, 2007.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Meaden &amp; Moore,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2008</w:t>
      </w:r>
    </w:p>
    <w:p>
      <w:pPr>
        <w:sectPr>
          <w:pgSz w:w="11900" w:h="16838" w:orient="portrait"/>
          <w:cols w:equalWidth="0" w:num="1">
            <w:col w:w="11420"/>
          </w:cols>
          <w:pgMar w:left="240" w:top="117" w:right="239" w:bottom="1440" w:gutter="0" w:footer="0" w:header="0"/>
        </w:sectPr>
      </w:pPr>
    </w:p>
    <w:bookmarkStart w:id="21" w:name="page22"/>
    <w:bookmarkEnd w:id="21"/>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POWERS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officer and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Registration Statement on Form S-8</w:t>
      </w:r>
      <w:r>
        <w:rPr>
          <w:rFonts w:ascii="Times New Roman" w:cs="Times New Roman" w:eastAsia="Times New Roman" w:hAnsi="Times New Roman"/>
          <w:sz w:val="18"/>
          <w:szCs w:val="18"/>
          <w:color w:val="auto"/>
        </w:rPr>
        <w:t xml:space="preserve"> for the registration of 2,500,000 of its common shares for offering and sale or delivery pursuant to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hereby constitutes and appoints</w:t>
      </w:r>
      <w:r>
        <w:rPr>
          <w:rFonts w:ascii="Times New Roman" w:cs="Times New Roman" w:eastAsia="Times New Roman" w:hAnsi="Times New Roman"/>
          <w:sz w:val="18"/>
          <w:szCs w:val="18"/>
          <w:b w:val="1"/>
          <w:bCs w:val="1"/>
          <w:color w:val="auto"/>
        </w:rPr>
        <w:t xml:space="preserve"> James Hagedorn, David C. Evans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officer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5" w:name="page26"/>
    <w:bookmarkEnd w:id="25"/>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officer and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Registration Statement on Form S-8</w:t>
      </w:r>
      <w:r>
        <w:rPr>
          <w:rFonts w:ascii="Times New Roman" w:cs="Times New Roman" w:eastAsia="Times New Roman" w:hAnsi="Times New Roman"/>
          <w:sz w:val="18"/>
          <w:szCs w:val="18"/>
          <w:color w:val="auto"/>
        </w:rPr>
        <w:t xml:space="preserve"> for the registration of 2,500,000 of its common shares for offering and sale or delivery pursuant to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hereby constitutes and appoints</w:t>
      </w:r>
      <w:r>
        <w:rPr>
          <w:rFonts w:ascii="Times New Roman" w:cs="Times New Roman" w:eastAsia="Times New Roman" w:hAnsi="Times New Roman"/>
          <w:sz w:val="18"/>
          <w:szCs w:val="18"/>
          <w:b w:val="1"/>
          <w:bCs w:val="1"/>
          <w:color w:val="auto"/>
        </w:rPr>
        <w:t xml:space="preserve"> Mark R. Baker, David C. Evans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Vincent C. Brockman</w:t>
      </w:r>
      <w:r>
        <w:rPr>
          <w:rFonts w:ascii="Times New Roman" w:cs="Times New Roman" w:eastAsia="Times New Roman" w:hAnsi="Times New Roman"/>
          <w:sz w:val="18"/>
          <w:szCs w:val="18"/>
          <w:color w:val="auto"/>
        </w:rPr>
        <w:t>, and each of them, as his true and lawful attorneys-in-fact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29" w:name="page30"/>
    <w:bookmarkEnd w:id="29"/>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her true and lawful attorneys-in-fact and agents with full power of substitution and 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her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4" w:right="359" w:bottom="1440" w:gutter="0" w:footer="0" w:header="0"/>
        </w:sectPr>
      </w:pPr>
    </w:p>
    <w:bookmarkStart w:id="30" w:name="page31"/>
    <w:bookmarkEnd w:id="30"/>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her true and lawful attorneys-in-fact and agents with full power of substitution and 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her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4" w:right="359" w:bottom="1440" w:gutter="0" w:footer="0" w:header="0"/>
        </w:sectPr>
      </w:pPr>
    </w:p>
    <w:bookmarkStart w:id="31" w:name="page32"/>
    <w:bookmarkEnd w:id="31"/>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her true and lawful attorneys-in-fact and agents with full power of substitution and 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her hand this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4" w:right="35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33" w:name="page34"/>
    <w:bookmarkEnd w:id="33"/>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her true and lawful attorneys-in-fact and agents with full power of substitution and resubstitution, for her and in her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her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54" w:right="359" w:bottom="1440" w:gutter="0" w:footer="0" w:header="0"/>
        </w:sectPr>
      </w:pPr>
    </w:p>
    <w:bookmarkStart w:id="34" w:name="page35"/>
    <w:bookmarkEnd w:id="34"/>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17"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b w:val="1"/>
          <w:bCs w:val="1"/>
          <w:color w:val="auto"/>
        </w:rPr>
        <w:t>KNOW ALL MEN BY THESE PRESENTS</w:t>
      </w:r>
      <w:r>
        <w:rPr>
          <w:rFonts w:ascii="Times New Roman" w:cs="Times New Roman" w:eastAsia="Times New Roman" w:hAnsi="Times New Roman"/>
          <w:sz w:val="18"/>
          <w:szCs w:val="18"/>
          <w:color w:val="auto"/>
        </w:rPr>
        <w:t>, that the undersigned director of</w:t>
      </w:r>
      <w:r>
        <w:rPr>
          <w:rFonts w:ascii="Times New Roman" w:cs="Times New Roman" w:eastAsia="Times New Roman" w:hAnsi="Times New Roman"/>
          <w:sz w:val="18"/>
          <w:szCs w:val="18"/>
          <w:b w:val="1"/>
          <w:bCs w:val="1"/>
          <w:color w:val="auto"/>
        </w:rPr>
        <w:t xml:space="preserve"> THE SCOTTS MIRACLE-GRO COMPANY</w:t>
      </w:r>
      <w:r>
        <w:rPr>
          <w:rFonts w:ascii="Times New Roman" w:cs="Times New Roman" w:eastAsia="Times New Roman" w:hAnsi="Times New Roman"/>
          <w:sz w:val="18"/>
          <w:szCs w:val="18"/>
          <w:color w:val="auto"/>
        </w:rPr>
        <w:t>, an Ohio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about to file with the Securities and Exchange Commission, Washington, D.C., under the provisions of the Securities Act of 1933, as amended, a </w:t>
      </w:r>
      <w:r>
        <w:rPr>
          <w:rFonts w:ascii="Times New Roman" w:cs="Times New Roman" w:eastAsia="Times New Roman" w:hAnsi="Times New Roman"/>
          <w:sz w:val="18"/>
          <w:szCs w:val="18"/>
          <w:b w:val="1"/>
          <w:bCs w:val="1"/>
          <w:color w:val="auto"/>
        </w:rPr>
        <w:t xml:space="preserve">Registration Statement on Form S-8 </w:t>
      </w:r>
      <w:r>
        <w:rPr>
          <w:rFonts w:ascii="Times New Roman" w:cs="Times New Roman" w:eastAsia="Times New Roman" w:hAnsi="Times New Roman"/>
          <w:sz w:val="18"/>
          <w:szCs w:val="18"/>
          <w:color w:val="auto"/>
        </w:rPr>
        <w:t>for the registration of 2,500,000 of its common shares for offering and sale or delivery pursuant to</w:t>
      </w:r>
      <w:r>
        <w:rPr>
          <w:rFonts w:ascii="Times New Roman" w:cs="Times New Roman" w:eastAsia="Times New Roman" w:hAnsi="Times New Roman"/>
          <w:sz w:val="18"/>
          <w:szCs w:val="18"/>
          <w:b w:val="1"/>
          <w:bCs w:val="1"/>
          <w:color w:val="auto"/>
        </w:rPr>
        <w:t xml:space="preserve"> The Scotts Company LLC Retirement Savings Plan</w:t>
      </w:r>
      <w:r>
        <w:rPr>
          <w:rFonts w:ascii="Times New Roman" w:cs="Times New Roman" w:eastAsia="Times New Roman" w:hAnsi="Times New Roman"/>
          <w:sz w:val="18"/>
          <w:szCs w:val="18"/>
          <w:color w:val="auto"/>
        </w:rPr>
        <w:t>, together with an indeterminate amount of interests in</w:t>
      </w:r>
      <w:r>
        <w:rPr>
          <w:rFonts w:ascii="Times New Roman" w:cs="Times New Roman" w:eastAsia="Times New Roman" w:hAnsi="Times New Roman"/>
          <w:sz w:val="18"/>
          <w:szCs w:val="18"/>
          <w:b w:val="1"/>
          <w:bCs w:val="1"/>
          <w:color w:val="auto"/>
        </w:rPr>
        <w:t xml:space="preserve"> The Scotts Company LLC Retirement Savings Plan, </w:t>
      </w:r>
      <w:r>
        <w:rPr>
          <w:rFonts w:ascii="Times New Roman" w:cs="Times New Roman" w:eastAsia="Times New Roman" w:hAnsi="Times New Roman"/>
          <w:sz w:val="18"/>
          <w:szCs w:val="18"/>
          <w:color w:val="auto"/>
        </w:rPr>
        <w:t xml:space="preserve">hereby constitutes and appoints </w:t>
      </w:r>
      <w:r>
        <w:rPr>
          <w:rFonts w:ascii="Times New Roman" w:cs="Times New Roman" w:eastAsia="Times New Roman" w:hAnsi="Times New Roman"/>
          <w:sz w:val="18"/>
          <w:szCs w:val="18"/>
          <w:b w:val="1"/>
          <w:bCs w:val="1"/>
          <w:color w:val="auto"/>
        </w:rPr>
        <w:t>James Hagedorn, Mark R. Baker, David C. Evans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Vincent C. Brockman</w:t>
      </w:r>
      <w:r>
        <w:rPr>
          <w:rFonts w:ascii="Times New Roman" w:cs="Times New Roman" w:eastAsia="Times New Roman" w:hAnsi="Times New Roman"/>
          <w:sz w:val="18"/>
          <w:szCs w:val="18"/>
          <w:color w:val="auto"/>
        </w:rPr>
        <w:t>, and each of them, as his true and lawful attorneys-in-fact and agents with full power of substitution and resubstitution, for him and in his name, place and stead, in any and all capacities, to sign such Registration Statement and any and all amendments and documents related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has hereunto set his hand this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October, 2008.</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17145</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John S. Shiely</w:t>
      </w:r>
    </w:p>
    <w:sectPr>
      <w:pgSz w:w="11900" w:h="16838" w:orient="portrait"/>
      <w:cols w:equalWidth="0" w:num="1">
        <w:col w:w="11340"/>
      </w:cols>
      <w:pgMar w:left="240" w:top="9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upperLetter"/>
      <w:start w:val="1"/>
    </w:lvl>
  </w:abstractNum>
  <w:abstractNum w:abstractNumId="6">
    <w:nsid w:val="DED7263"/>
    <w:multiLevelType w:val="hybridMultilevel"/>
    <w:lvl w:ilvl="0">
      <w:lvlJc w:val="left"/>
      <w:lvlText w:val="(%1)"/>
      <w:numFmt w:val="decimal"/>
      <w:start w:val="2"/>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lowerLetter"/>
      <w:start w:val="1"/>
    </w:lvl>
    <w:lvl w:ilvl="1">
      <w:lvlJc w:val="left"/>
      <w:lvlText w:val="(%2)"/>
      <w:numFmt w:val="decimal"/>
      <w:start w:val="3"/>
    </w:lvl>
  </w:abstractNum>
  <w:abstractNum w:abstractNumId="19">
    <w:nsid w:val="436C6125"/>
    <w:multiLevelType w:val="hybridMultilevel"/>
    <w:lvl w:ilvl="0">
      <w:lvlJc w:val="left"/>
      <w:lvlText w:val="(%1)"/>
      <w:numFmt w:val="lowerLetter"/>
      <w:start w:val="2"/>
    </w:lvl>
    <w:lvl w:ilvl="1">
      <w:lvlJc w:val="left"/>
      <w:lvlText w:val="%2"/>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2019-12-20T06:32:13Z</dcterms:created>
  <dcterms:modified xsi:type="dcterms:W3CDTF">2019-12-20T06:32:13Z</dcterms:modified>
</cp:coreProperties>
</file>