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619760</wp:posOffset>
            </wp:positionH>
            <wp:positionV relativeFrom="page">
              <wp:posOffset>157480</wp:posOffset>
            </wp:positionV>
            <wp:extent cx="294005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4005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999999"/>
        </w:rPr>
        <w:t>Ivan Smith</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3"/>
          <w:szCs w:val="13"/>
          <w:i w:val="1"/>
          <w:iCs w:val="1"/>
          <w:color w:val="999999"/>
        </w:rPr>
        <w:t>Executive Vice President</w:t>
      </w:r>
    </w:p>
    <w:p>
      <w:pPr>
        <w:spacing w:after="0" w:line="26" w:lineRule="exact"/>
        <w:rPr>
          <w:sz w:val="24"/>
          <w:szCs w:val="24"/>
          <w:color w:val="auto"/>
        </w:rPr>
      </w:pPr>
    </w:p>
    <w:p>
      <w:pPr>
        <w:ind w:left="20"/>
        <w:spacing w:after="0"/>
        <w:rPr>
          <w:sz w:val="20"/>
          <w:szCs w:val="20"/>
          <w:color w:val="auto"/>
        </w:rPr>
      </w:pPr>
      <w:r>
        <w:rPr>
          <w:rFonts w:ascii="Arial" w:cs="Arial" w:eastAsia="Arial" w:hAnsi="Arial"/>
          <w:sz w:val="12"/>
          <w:szCs w:val="12"/>
          <w:i w:val="1"/>
          <w:iCs w:val="1"/>
          <w:color w:val="999999"/>
        </w:rPr>
        <w:t>General Counsel and Secretary</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2"/>
          <w:szCs w:val="12"/>
          <w:color w:val="999999"/>
        </w:rPr>
        <w:t>14111 Scottslawn Road</w:t>
      </w:r>
    </w:p>
    <w:p>
      <w:pPr>
        <w:spacing w:after="0" w:line="38" w:lineRule="exact"/>
        <w:rPr>
          <w:sz w:val="24"/>
          <w:szCs w:val="24"/>
          <w:color w:val="auto"/>
        </w:rPr>
      </w:pPr>
    </w:p>
    <w:p>
      <w:pPr>
        <w:spacing w:after="0"/>
        <w:rPr>
          <w:sz w:val="20"/>
          <w:szCs w:val="20"/>
          <w:color w:val="auto"/>
        </w:rPr>
      </w:pPr>
      <w:r>
        <w:rPr>
          <w:rFonts w:ascii="Arial" w:cs="Arial" w:eastAsia="Arial" w:hAnsi="Arial"/>
          <w:sz w:val="13"/>
          <w:szCs w:val="13"/>
          <w:color w:val="999999"/>
        </w:rPr>
        <w:t>Marysville, OH 43041</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b w:val="1"/>
          <w:bCs w:val="1"/>
          <w:color w:val="999999"/>
        </w:rPr>
        <w:t xml:space="preserve">p </w:t>
      </w:r>
      <w:r>
        <w:rPr>
          <w:rFonts w:ascii="Arial" w:cs="Arial" w:eastAsia="Arial" w:hAnsi="Arial"/>
          <w:sz w:val="13"/>
          <w:szCs w:val="13"/>
          <w:color w:val="999999"/>
        </w:rPr>
        <w:t>937.644.0011</w:t>
      </w:r>
    </w:p>
    <w:p>
      <w:pPr>
        <w:spacing w:after="0" w:line="200" w:lineRule="exact"/>
        <w:rPr>
          <w:sz w:val="24"/>
          <w:szCs w:val="24"/>
          <w:color w:val="auto"/>
        </w:rPr>
      </w:pPr>
    </w:p>
    <w:p>
      <w:pPr>
        <w:sectPr>
          <w:pgSz w:w="11900" w:h="16838" w:orient="portrait"/>
          <w:cols w:equalWidth="0" w:num="2">
            <w:col w:w="8260" w:space="720"/>
            <w:col w:w="2260"/>
          </w:cols>
          <w:pgMar w:left="320" w:top="1440" w:right="339" w:bottom="1440" w:gutter="0" w:footer="0" w:header="0"/>
        </w:sectPr>
      </w:pP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December 10, 2021</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0"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The Scotts Miracle-Gro Company</w:t>
      </w:r>
    </w:p>
    <w:p>
      <w:pPr>
        <w:spacing w:after="0" w:line="3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Filed December 10, 2021 (File Nos. 333-261596 and 333-261596-01 through 333-261596-22)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ind w:right="100" w:firstLine="200"/>
        <w:spacing w:after="0" w:line="253" w:lineRule="auto"/>
        <w:rPr>
          <w:sz w:val="20"/>
          <w:szCs w:val="20"/>
          <w:color w:val="auto"/>
        </w:rPr>
      </w:pPr>
      <w:r>
        <w:rPr>
          <w:rFonts w:ascii="Arial" w:cs="Arial" w:eastAsia="Arial" w:hAnsi="Arial"/>
          <w:sz w:val="18"/>
          <w:szCs w:val="18"/>
          <w:color w:val="auto"/>
        </w:rPr>
        <w:t>In connection with the above-referenced Registration Statement on Form S-4, relating to the offer by The Scotts Miracle-Gro Company (the “Company”) and its subsidiary guarantors to exchange up to $400 million aggregate principal amount of 4.375% Senior Notes due 2032 (the “Exchange Notes”), which have been registered under the Securities Act of 1933, as amended (the “Securities Act”), for an equal principal amount of outstanding 4.375% Senior Notes due 2032 (the “Original Notes”), which were offered and sold in a private placement transaction that was exempt from the registration requirements of the Securities Act, on behalf of the Company, I hereby represent that:</w:t>
      </w:r>
    </w:p>
    <w:p>
      <w:pPr>
        <w:spacing w:after="0" w:line="232" w:lineRule="exact"/>
        <w:rPr>
          <w:sz w:val="24"/>
          <w:szCs w:val="24"/>
          <w:color w:val="auto"/>
        </w:rPr>
      </w:pPr>
    </w:p>
    <w:p>
      <w:pPr>
        <w:jc w:val="both"/>
        <w:ind w:left="1300" w:right="340" w:hanging="644"/>
        <w:spacing w:after="0" w:line="256" w:lineRule="auto"/>
        <w:tabs>
          <w:tab w:leader="none" w:pos="129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 is registering the Exchange Notes in reliance on the positions enunciated by the staff of the Securities and Exchange Commission (the “Staff”) in the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xml:space="preserve"> (available May 13, 1988), </w:t>
      </w:r>
      <w:r>
        <w:rPr>
          <w:rFonts w:ascii="Arial" w:cs="Arial" w:eastAsia="Arial" w:hAnsi="Arial"/>
          <w:sz w:val="18"/>
          <w:szCs w:val="18"/>
          <w:i w:val="1"/>
          <w:iCs w:val="1"/>
          <w:color w:val="auto"/>
        </w:rPr>
        <w:t>Morgan Stanley &amp; Co.</w:t>
      </w:r>
      <w:r>
        <w:rPr>
          <w:rFonts w:ascii="Arial" w:cs="Arial" w:eastAsia="Arial" w:hAnsi="Arial"/>
          <w:sz w:val="18"/>
          <w:szCs w:val="18"/>
          <w:color w:val="auto"/>
        </w:rPr>
        <w:t xml:space="preserve"> (available June 5, 1991) and </w:t>
      </w:r>
      <w:r>
        <w:rPr>
          <w:rFonts w:ascii="Arial" w:cs="Arial" w:eastAsia="Arial" w:hAnsi="Arial"/>
          <w:sz w:val="18"/>
          <w:szCs w:val="18"/>
          <w:i w:val="1"/>
          <w:iCs w:val="1"/>
          <w:color w:val="auto"/>
        </w:rPr>
        <w:t>Shearman &amp; Sterling</w:t>
      </w:r>
      <w:r>
        <w:rPr>
          <w:rFonts w:ascii="Arial" w:cs="Arial" w:eastAsia="Arial" w:hAnsi="Arial"/>
          <w:sz w:val="18"/>
          <w:szCs w:val="18"/>
          <w:color w:val="auto"/>
        </w:rPr>
        <w:t xml:space="preserve"> (available July 2, 1993) SEC No-Action Letters.</w:t>
      </w:r>
    </w:p>
    <w:p>
      <w:pPr>
        <w:spacing w:after="0" w:line="228" w:lineRule="exact"/>
        <w:rPr>
          <w:rFonts w:ascii="Arial" w:cs="Arial" w:eastAsia="Arial" w:hAnsi="Arial"/>
          <w:sz w:val="18"/>
          <w:szCs w:val="18"/>
          <w:color w:val="auto"/>
        </w:rPr>
      </w:pPr>
    </w:p>
    <w:p>
      <w:pPr>
        <w:ind w:left="1300" w:right="80" w:hanging="644"/>
        <w:spacing w:after="0" w:line="254" w:lineRule="auto"/>
        <w:tabs>
          <w:tab w:leader="none" w:pos="1122" w:val="left"/>
        </w:tabs>
        <w:numPr>
          <w:ilvl w:val="0"/>
          <w:numId w:val="1"/>
        </w:numPr>
        <w:rPr>
          <w:rFonts w:ascii="Arial" w:cs="Arial" w:eastAsia="Arial" w:hAnsi="Arial"/>
          <w:sz w:val="18"/>
          <w:szCs w:val="18"/>
          <w:color w:val="auto"/>
        </w:rPr>
      </w:pPr>
      <w:r>
        <w:rPr>
          <w:rFonts w:ascii="Arial" w:cs="Arial" w:eastAsia="Arial" w:hAnsi="Arial"/>
          <w:sz w:val="18"/>
          <w:szCs w:val="18"/>
          <w:color w:val="auto"/>
        </w:rPr>
        <w:t>Neither the Company nor any affiliate of the Company has entered into any arrangement or understanding with any person, including any broker-dealer, to distribute the Exchange Notes and, to the best of the Company’s information and belief, each person participating in the exchange offer is acquiring the Exchange Notes in its ordinary course of business and has no arrangement or understanding with any person to participate in the distribution of the Exchange Notes.</w:t>
      </w:r>
    </w:p>
    <w:p>
      <w:pPr>
        <w:spacing w:after="0" w:line="230" w:lineRule="exact"/>
        <w:rPr>
          <w:rFonts w:ascii="Arial" w:cs="Arial" w:eastAsia="Arial" w:hAnsi="Arial"/>
          <w:sz w:val="18"/>
          <w:szCs w:val="18"/>
          <w:color w:val="auto"/>
        </w:rPr>
      </w:pPr>
    </w:p>
    <w:p>
      <w:pPr>
        <w:ind w:left="1300" w:hanging="644"/>
        <w:spacing w:after="0" w:line="252" w:lineRule="auto"/>
        <w:tabs>
          <w:tab w:leader="none" w:pos="111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 will make each person participating in the exchange offer aware (through the exchange offer prospectus or otherwise) that, if such person is using the exchange offer for the purpose of participating in a distribution of the Exchange Notes, such person (i) could not rely on the Staff position enunciated in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xml:space="preserve"> or interpretive letters of similar effect and (ii) must comply with the registration and prospectus delivery requirements of the Securities Act in connection with a secondary resale transaction. The Company acknowledges that such a secondary resale transaction should be covered by an effective registration statement containing the selling securityholder information required by Item 507 of Regulation S-K.</w:t>
      </w:r>
    </w:p>
    <w:p>
      <w:pPr>
        <w:spacing w:after="0" w:line="233" w:lineRule="exact"/>
        <w:rPr>
          <w:rFonts w:ascii="Arial" w:cs="Arial" w:eastAsia="Arial" w:hAnsi="Arial"/>
          <w:sz w:val="18"/>
          <w:szCs w:val="18"/>
          <w:color w:val="auto"/>
        </w:rPr>
      </w:pPr>
    </w:p>
    <w:p>
      <w:pPr>
        <w:ind w:left="1300" w:right="120" w:hanging="644"/>
        <w:spacing w:after="0" w:line="253" w:lineRule="auto"/>
        <w:tabs>
          <w:tab w:leader="none" w:pos="111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will make each person participating in the exchange offer aware (through the exchange offer prospectus) that any broker-dealer who holds Original Notes acquired for its own account as a result of market making activities or other trading activities, and who receives Exchange Notes in exchange for such Original Notes pursuant to the exchange offer, may be a statutory underwriter and must deliver a prospectus meeting the requirements of the Securities Act, which may be the exchange offer prospectus so long as it contains 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3A6E43"/>
        </w:rPr>
        <w:t>Established in 1868, Marysville, OH</w:t>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300"/>
        <w:spacing w:after="0"/>
        <w:rPr>
          <w:sz w:val="20"/>
          <w:szCs w:val="20"/>
          <w:color w:val="auto"/>
        </w:rPr>
      </w:pPr>
      <w:r>
        <w:rPr>
          <w:rFonts w:ascii="Arial" w:cs="Arial" w:eastAsia="Arial" w:hAnsi="Arial"/>
          <w:sz w:val="18"/>
          <w:szCs w:val="18"/>
          <w:color w:val="auto"/>
        </w:rPr>
        <w:t>plan of distribution with respect to such resale transactions, in connection with any resale of such Exchange Notes.</w:t>
      </w:r>
    </w:p>
    <w:p>
      <w:pPr>
        <w:spacing w:after="0" w:line="252" w:lineRule="exact"/>
        <w:rPr>
          <w:sz w:val="20"/>
          <w:szCs w:val="20"/>
          <w:color w:val="auto"/>
        </w:rPr>
      </w:pPr>
    </w:p>
    <w:p>
      <w:pPr>
        <w:ind w:left="1300" w:right="220" w:hanging="644"/>
        <w:spacing w:after="0" w:line="261" w:lineRule="auto"/>
        <w:tabs>
          <w:tab w:leader="none" w:pos="111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will include in the transmittal letter or similar documentation to be executed by an exchange offeree in order to participate in the exchange offer provisions to the effect that, by accepting the exchange offer:</w:t>
      </w:r>
    </w:p>
    <w:p>
      <w:pPr>
        <w:spacing w:after="0" w:line="224" w:lineRule="exact"/>
        <w:rPr>
          <w:rFonts w:ascii="Arial" w:cs="Arial" w:eastAsia="Arial" w:hAnsi="Arial"/>
          <w:sz w:val="18"/>
          <w:szCs w:val="18"/>
          <w:color w:val="auto"/>
        </w:rPr>
      </w:pPr>
    </w:p>
    <w:p>
      <w:pPr>
        <w:ind w:left="1960" w:right="80" w:hanging="656"/>
        <w:spacing w:after="0" w:line="261" w:lineRule="auto"/>
        <w:tabs>
          <w:tab w:leader="none" w:pos="1955"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exchange offeree that is not a broker dealer will represent to the Company that it is not engaged in, and does not intend to engage in, a distribution of the Exchange Notes; and</w:t>
      </w:r>
    </w:p>
    <w:p>
      <w:pPr>
        <w:spacing w:after="0" w:line="224" w:lineRule="exact"/>
        <w:rPr>
          <w:rFonts w:ascii="Arial" w:cs="Arial" w:eastAsia="Arial" w:hAnsi="Arial"/>
          <w:sz w:val="18"/>
          <w:szCs w:val="18"/>
          <w:color w:val="auto"/>
        </w:rPr>
      </w:pPr>
    </w:p>
    <w:p>
      <w:pPr>
        <w:ind w:left="1960" w:hanging="656"/>
        <w:spacing w:after="0" w:line="252" w:lineRule="auto"/>
        <w:tabs>
          <w:tab w:leader="none" w:pos="1955"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exchange offeree that is a broker-dealer holding Original Notes acquired for its own account as a result of market-making activities or other trading activities will acknowledge that it will deliver a prospectus meeting the requirements of the Securities Act in connection with any resale of Exchange Notes received in respect of such Original Notes pursuant to the exchange offer. The transmittal letter or similar documentation will also include a statement to the effect that by so acknowledging and by delivering a prospectus, a broker-dealer will not be deemed to admit that it is an “underwriter” within the meaning of the Securities Act.</w:t>
      </w:r>
    </w:p>
    <w:p>
      <w:pPr>
        <w:spacing w:after="0" w:line="235"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Please do not hesitate to contact the undersigned at (937) 644-0011 or the Company’s outside counsel, Adam L. Miller of Vorys, Sater, Seymour and Pease LLP, at (614) 464-6250 with any questions or comments regarding the foregoing.</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THE SCOTTS MIRACLE-GRO COMPANY</w:t>
      </w:r>
    </w:p>
    <w:p>
      <w:pPr>
        <w:spacing w:after="0" w:line="252" w:lineRule="exact"/>
        <w:rPr>
          <w:sz w:val="20"/>
          <w:szCs w:val="20"/>
          <w:color w:val="auto"/>
        </w:rPr>
      </w:pPr>
    </w:p>
    <w:p>
      <w:pPr>
        <w:ind w:left="390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Ivan C. Smith</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Ivan C. Smith, Executive Vice President,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General Counsel, Corporate Secretary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A6E43"/>
        </w:rPr>
        <w:t>Established in 1868, Marysville, OH</w:t>
      </w:r>
    </w:p>
    <w:sectPr>
      <w:pgSz w:w="11900" w:h="16838" w:orient="portrait"/>
      <w:cols w:equalWidth="0" w:num="1">
        <w:col w:w="11240"/>
      </w:cols>
      <w:pgMar w:left="320" w:top="14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2022-03-08T21:29:51Z</dcterms:created>
  <dcterms:modified xsi:type="dcterms:W3CDTF">2022-03-08T21:29:51Z</dcterms:modified>
</cp:coreProperties>
</file>