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ind w:left="1060" w:hanging="73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For the quarterly period ended July 1, 1995</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THE SCOTTS COMPANY</w:t>
      </w:r>
    </w:p>
    <w:p>
      <w:pPr>
        <w:jc w:val="center"/>
        <w:ind w:right="38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852" w:right="1440" w:bottom="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280" w:space="620"/>
            <w:col w:w="6319"/>
          </w:cols>
          <w:pgMar w:left="240" w:top="852" w:right="1440" w:bottom="0" w:gutter="0" w:footer="0" w:header="0"/>
          <w:type w:val="continuous"/>
        </w:sectPr>
      </w:pPr>
    </w:p>
    <w:p>
      <w:pPr>
        <w:spacing w:after="0" w:line="18"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14111 Scottslawn Road</w:t>
      </w:r>
    </w:p>
    <w:p>
      <w:pPr>
        <w:ind w:left="2440"/>
        <w:spacing w:after="0" w:line="238" w:lineRule="auto"/>
        <w:tabs>
          <w:tab w:leader="none" w:pos="4300" w:val="left"/>
        </w:tabs>
        <w:rPr>
          <w:sz w:val="20"/>
          <w:szCs w:val="20"/>
          <w:color w:val="auto"/>
        </w:rPr>
      </w:pPr>
      <w:r>
        <w:rPr>
          <w:rFonts w:ascii="Courier New" w:cs="Courier New" w:eastAsia="Courier New" w:hAnsi="Courier New"/>
          <w:sz w:val="18"/>
          <w:szCs w:val="18"/>
          <w:color w:val="auto"/>
        </w:rPr>
        <w:t>Marysville, Ohio</w:t>
        <w:tab/>
        <w:t>43041</w:t>
      </w:r>
    </w:p>
    <w:p>
      <w:pPr>
        <w:ind w:left="1480"/>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3039"/>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(513) 644-0011</w:t>
      </w:r>
    </w:p>
    <w:p>
      <w:pPr>
        <w:spacing w:after="0" w:line="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 change</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(Former name, former address and former fiscal year, if</w:t>
      </w:r>
    </w:p>
    <w:p>
      <w:pPr>
        <w:jc w:val="center"/>
        <w:ind w:right="3779"/>
        <w:spacing w:after="0" w:line="238" w:lineRule="auto"/>
        <w:rPr>
          <w:sz w:val="20"/>
          <w:szCs w:val="20"/>
          <w:color w:val="auto"/>
        </w:rPr>
      </w:pPr>
      <w:r>
        <w:rPr>
          <w:rFonts w:ascii="Courier New" w:cs="Courier New" w:eastAsia="Courier New" w:hAnsi="Courier New"/>
          <w:sz w:val="18"/>
          <w:szCs w:val="18"/>
          <w:color w:val="auto"/>
        </w:rPr>
        <w:t>changed since last report.)</w:t>
      </w:r>
    </w:p>
    <w:p>
      <w:pPr>
        <w:spacing w:after="0" w:line="207" w:lineRule="exact"/>
        <w:rPr>
          <w:sz w:val="24"/>
          <w:szCs w:val="24"/>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0" w:lineRule="exact"/>
        <w:rPr>
          <w:sz w:val="24"/>
          <w:szCs w:val="24"/>
          <w:color w:val="auto"/>
        </w:rPr>
      </w:pPr>
    </w:p>
    <w:p>
      <w:pPr>
        <w:ind w:left="3700"/>
        <w:spacing w:after="0"/>
        <w:tabs>
          <w:tab w:leader="none" w:pos="4300" w:val="left"/>
          <w:tab w:leader="none" w:pos="4720" w:val="left"/>
        </w:tabs>
        <w:rPr>
          <w:sz w:val="20"/>
          <w:szCs w:val="20"/>
          <w:color w:val="auto"/>
        </w:rPr>
      </w:pPr>
      <w:r>
        <w:rPr>
          <w:rFonts w:ascii="Courier New" w:cs="Courier New" w:eastAsia="Courier New" w:hAnsi="Courier New"/>
          <w:sz w:val="18"/>
          <w:szCs w:val="18"/>
          <w:color w:val="auto"/>
        </w:rPr>
        <w:t>Yes</w:t>
        <w:tab/>
        <w:t>X</w:t>
        <w:tab/>
        <w:t>No</w:t>
      </w:r>
    </w:p>
    <w:p>
      <w:pPr>
        <w:spacing w:after="0" w:line="207" w:lineRule="exact"/>
        <w:rPr>
          <w:sz w:val="24"/>
          <w:szCs w:val="24"/>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852" w:right="1440" w:bottom="0" w:gutter="0" w:footer="0" w:header="0"/>
          <w:type w:val="continuous"/>
        </w:sect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18,672,064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August 9, 1995</w:t>
      </w:r>
    </w:p>
    <w:p>
      <w:pPr>
        <w:spacing w:after="0" w:line="402" w:lineRule="exact"/>
        <w:rPr>
          <w:sz w:val="24"/>
          <w:szCs w:val="24"/>
          <w:color w:val="auto"/>
        </w:rPr>
      </w:pPr>
    </w:p>
    <w:p>
      <w:pPr>
        <w:sectPr>
          <w:pgSz w:w="11900" w:h="16855" w:orient="portrait"/>
          <w:cols w:equalWidth="0" w:num="2">
            <w:col w:w="3720" w:space="720"/>
            <w:col w:w="577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1 of 18 pages</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Exhibit Index at page 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right"/>
        <w:ind w:right="3679"/>
        <w:spacing w:after="0"/>
        <w:rPr>
          <w:sz w:val="20"/>
          <w:szCs w:val="20"/>
          <w:color w:val="auto"/>
        </w:rPr>
      </w:pPr>
      <w:r>
        <w:rPr>
          <w:rFonts w:ascii="Courier New" w:cs="Courier New" w:eastAsia="Courier New" w:hAnsi="Courier New"/>
          <w:sz w:val="18"/>
          <w:szCs w:val="18"/>
          <w:color w:val="auto"/>
        </w:rPr>
        <w:t>Page No.</w:t>
      </w:r>
    </w:p>
    <w:p>
      <w:pPr>
        <w:spacing w:after="0" w:line="201" w:lineRule="exact"/>
        <w:rPr>
          <w:sz w:val="24"/>
          <w:szCs w:val="24"/>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Part</w:t>
        <w:tab/>
        <w:t>I.</w:t>
      </w:r>
      <w:r>
        <w:rPr>
          <w:sz w:val="20"/>
          <w:szCs w:val="20"/>
          <w:color w:val="auto"/>
        </w:rPr>
        <w:tab/>
      </w:r>
      <w:r>
        <w:rPr>
          <w:rFonts w:ascii="Courier New" w:cs="Courier New" w:eastAsia="Courier New" w:hAnsi="Courier New"/>
          <w:sz w:val="16"/>
          <w:szCs w:val="16"/>
          <w:color w:val="auto"/>
        </w:rPr>
        <w:t>Financial Information:</w:t>
      </w:r>
    </w:p>
    <w:p>
      <w:pPr>
        <w:sectPr>
          <w:pgSz w:w="11900" w:h="16855" w:orient="portrait"/>
          <w:cols w:equalWidth="0" w:num="1">
            <w:col w:w="10219"/>
          </w:cols>
          <w:pgMar w:left="240" w:top="85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800" w:type="dxa"/>
            <w:vAlign w:val="bottom"/>
            <w:gridSpan w:val="3"/>
          </w:tcPr>
          <w:p>
            <w:pPr>
              <w:jc w:val="right"/>
              <w:ind w:right="1272"/>
              <w:spacing w:after="0"/>
              <w:rPr>
                <w:sz w:val="20"/>
                <w:szCs w:val="20"/>
                <w:color w:val="auto"/>
              </w:rPr>
            </w:pPr>
            <w:r>
              <w:rPr>
                <w:rFonts w:ascii="Courier New" w:cs="Courier New" w:eastAsia="Courier New" w:hAnsi="Courier New"/>
                <w:sz w:val="18"/>
                <w:szCs w:val="18"/>
                <w:color w:val="auto"/>
                <w:w w:val="99"/>
              </w:rPr>
              <w:t>Item 1.  Financial Statements (unaudited)</w:t>
            </w:r>
          </w:p>
        </w:tc>
        <w:tc>
          <w:tcPr>
            <w:tcW w:w="840" w:type="dxa"/>
            <w:vAlign w:val="bottom"/>
          </w:tcPr>
          <w:p>
            <w:pPr>
              <w:spacing w:after="0"/>
              <w:rPr>
                <w:sz w:val="17"/>
                <w:szCs w:val="17"/>
                <w:color w:val="auto"/>
              </w:rPr>
            </w:pPr>
          </w:p>
        </w:tc>
      </w:tr>
      <w:tr>
        <w:trPr>
          <w:trHeight w:val="203"/>
        </w:trPr>
        <w:tc>
          <w:tcPr>
            <w:tcW w:w="5800" w:type="dxa"/>
            <w:vAlign w:val="bottom"/>
            <w:gridSpan w:val="3"/>
          </w:tcPr>
          <w:p>
            <w:pPr>
              <w:jc w:val="right"/>
              <w:ind w:right="2012"/>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84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Three</w:t>
            </w:r>
          </w:p>
        </w:tc>
        <w:tc>
          <w:tcPr>
            <w:tcW w:w="47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w w:val="99"/>
              </w:rPr>
              <w:t>month and nine month periods ended</w:t>
            </w:r>
          </w:p>
        </w:tc>
        <w:tc>
          <w:tcPr>
            <w:tcW w:w="84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2,</w:t>
            </w:r>
          </w:p>
        </w:tc>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 and July 1, 1995</w:t>
            </w:r>
          </w:p>
        </w:tc>
        <w:tc>
          <w:tcPr>
            <w:tcW w:w="2260" w:type="dxa"/>
            <w:vAlign w:val="bottom"/>
          </w:tcPr>
          <w:p>
            <w:pPr>
              <w:spacing w:after="0"/>
              <w:rPr>
                <w:sz w:val="17"/>
                <w:szCs w:val="17"/>
                <w:color w:val="auto"/>
              </w:rPr>
            </w:pP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Consolidated Statements of Cash</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Flows - Nine month</w:t>
            </w:r>
          </w:p>
        </w:tc>
        <w:tc>
          <w:tcPr>
            <w:tcW w:w="840" w:type="dxa"/>
            <w:vAlign w:val="bottom"/>
          </w:tcPr>
          <w:p>
            <w:pPr>
              <w:spacing w:after="0"/>
              <w:rPr>
                <w:sz w:val="24"/>
                <w:szCs w:val="24"/>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 July 2, 1994 and</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July 1, 1995</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58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Consolidated Balance Sheets - July 2, 1994,</w:t>
            </w:r>
          </w:p>
        </w:tc>
        <w:tc>
          <w:tcPr>
            <w:tcW w:w="840" w:type="dxa"/>
            <w:vAlign w:val="bottom"/>
          </w:tcPr>
          <w:p>
            <w:pPr>
              <w:spacing w:after="0"/>
              <w:rPr>
                <w:sz w:val="24"/>
                <w:szCs w:val="24"/>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1,</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 and September 30,</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Notes to</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Consolidated Financial</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Statements</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6-10</w:t>
            </w:r>
          </w:p>
        </w:tc>
      </w:tr>
      <w:tr>
        <w:trPr>
          <w:trHeight w:val="405"/>
        </w:trPr>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Item 2.</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Management's Discussion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and Analysis of</w:t>
            </w:r>
          </w:p>
        </w:tc>
        <w:tc>
          <w:tcPr>
            <w:tcW w:w="840" w:type="dxa"/>
            <w:vAlign w:val="bottom"/>
          </w:tcPr>
          <w:p>
            <w:pPr>
              <w:spacing w:after="0"/>
              <w:rPr>
                <w:sz w:val="24"/>
                <w:szCs w:val="24"/>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Financial Condition and Results</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Operations</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11-13</w:t>
            </w:r>
          </w:p>
        </w:tc>
      </w:tr>
      <w:tr>
        <w:trPr>
          <w:trHeight w:val="608"/>
        </w:trPr>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Part II.</w:t>
            </w:r>
          </w:p>
        </w:tc>
        <w:tc>
          <w:tcPr>
            <w:tcW w:w="248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Other Information</w:t>
            </w: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Item 1.</w:t>
            </w:r>
          </w:p>
        </w:tc>
        <w:tc>
          <w:tcPr>
            <w:tcW w:w="248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Legal Proceedings</w:t>
            </w:r>
          </w:p>
        </w:tc>
        <w:tc>
          <w:tcPr>
            <w:tcW w:w="226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14</w:t>
            </w:r>
          </w:p>
        </w:tc>
      </w:tr>
      <w:tr>
        <w:trPr>
          <w:trHeight w:val="405"/>
        </w:trPr>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Item 6.</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Exhibits and Reports on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Form 8-K</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14</w:t>
            </w:r>
          </w:p>
        </w:tc>
      </w:tr>
      <w:tr>
        <w:trPr>
          <w:trHeight w:val="608"/>
        </w:trPr>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Signatures</w:t>
            </w:r>
          </w:p>
        </w:tc>
        <w:tc>
          <w:tcPr>
            <w:tcW w:w="2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15</w:t>
            </w:r>
          </w:p>
        </w:tc>
      </w:tr>
      <w:tr>
        <w:trPr>
          <w:trHeight w:val="608"/>
        </w:trPr>
        <w:tc>
          <w:tcPr>
            <w:tcW w:w="3540" w:type="dxa"/>
            <w:vAlign w:val="bottom"/>
            <w:gridSpan w:val="2"/>
          </w:tcPr>
          <w:p>
            <w:pPr>
              <w:jc w:val="right"/>
              <w:ind w:right="2072"/>
              <w:spacing w:after="0"/>
              <w:rPr>
                <w:sz w:val="20"/>
                <w:szCs w:val="20"/>
                <w:color w:val="auto"/>
              </w:rPr>
            </w:pPr>
            <w:r>
              <w:rPr>
                <w:rFonts w:ascii="Courier New" w:cs="Courier New" w:eastAsia="Courier New" w:hAnsi="Courier New"/>
                <w:sz w:val="18"/>
                <w:szCs w:val="18"/>
                <w:color w:val="auto"/>
                <w:w w:val="96"/>
              </w:rPr>
              <w:t>Exhibit Index</w:t>
            </w:r>
          </w:p>
        </w:tc>
        <w:tc>
          <w:tcPr>
            <w:tcW w:w="226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16</w:t>
            </w:r>
          </w:p>
        </w:tc>
      </w:tr>
      <w:tr>
        <w:trPr>
          <w:trHeight w:val="608"/>
        </w:trPr>
        <w:tc>
          <w:tcPr>
            <w:tcW w:w="10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Page 2</w:t>
            </w: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tabs>
          <w:tab w:leader="none" w:pos="2300" w:val="left"/>
          <w:tab w:leader="none" w:pos="2620" w:val="left"/>
        </w:tabs>
        <w:rPr>
          <w:sz w:val="20"/>
          <w:szCs w:val="20"/>
          <w:color w:val="auto"/>
        </w:rPr>
      </w:pPr>
      <w:r>
        <w:rPr>
          <w:rFonts w:ascii="Courier New" w:cs="Courier New" w:eastAsia="Courier New" w:hAnsi="Courier New"/>
          <w:sz w:val="18"/>
          <w:szCs w:val="18"/>
          <w:color w:val="auto"/>
        </w:rPr>
        <w:t>PART I</w:t>
        <w:tab/>
        <w:t>-</w:t>
      </w:r>
      <w:r>
        <w:rPr>
          <w:sz w:val="20"/>
          <w:szCs w:val="20"/>
          <w:color w:val="auto"/>
        </w:rPr>
        <w:tab/>
      </w:r>
      <w:r>
        <w:rPr>
          <w:rFonts w:ascii="Courier New" w:cs="Courier New" w:eastAsia="Courier New" w:hAnsi="Courier New"/>
          <w:sz w:val="16"/>
          <w:szCs w:val="16"/>
          <w:color w:val="auto"/>
        </w:rPr>
        <w:t>FINANCIAL INFORMATION</w:t>
      </w: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779"/>
        <w:spacing w:after="0"/>
        <w:rPr>
          <w:sz w:val="20"/>
          <w:szCs w:val="20"/>
          <w:color w:val="auto"/>
        </w:rPr>
      </w:pPr>
      <w:r>
        <w:rPr>
          <w:rFonts w:ascii="Courier New" w:cs="Courier New" w:eastAsia="Courier New" w:hAnsi="Courier New"/>
          <w:sz w:val="18"/>
          <w:szCs w:val="18"/>
          <w:color w:val="auto"/>
        </w:rPr>
        <w:t>(Unaudited)</w:t>
      </w:r>
    </w:p>
    <w:p>
      <w:pPr>
        <w:ind w:left="128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3"/>
          </w:tcPr>
          <w:p>
            <w:pPr>
              <w:jc w:val="right"/>
              <w:ind w:right="712"/>
              <w:spacing w:after="0"/>
              <w:rPr>
                <w:sz w:val="20"/>
                <w:szCs w:val="20"/>
                <w:color w:val="auto"/>
              </w:rPr>
            </w:pPr>
            <w:r>
              <w:rPr>
                <w:rFonts w:ascii="Courier New" w:cs="Courier New" w:eastAsia="Courier New" w:hAnsi="Courier New"/>
                <w:sz w:val="18"/>
                <w:szCs w:val="18"/>
                <w:color w:val="auto"/>
              </w:rPr>
              <w:t>Three Months Ended</w:t>
            </w:r>
          </w:p>
        </w:tc>
        <w:tc>
          <w:tcPr>
            <w:tcW w:w="560" w:type="dxa"/>
            <w:vAlign w:val="bottom"/>
          </w:tcPr>
          <w:p>
            <w:pPr>
              <w:spacing w:after="0"/>
              <w:rPr>
                <w:sz w:val="17"/>
                <w:szCs w:val="17"/>
                <w:color w:val="auto"/>
              </w:rPr>
            </w:pPr>
          </w:p>
        </w:tc>
        <w:tc>
          <w:tcPr>
            <w:tcW w:w="22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July 2</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July 1</w:t>
            </w:r>
          </w:p>
        </w:tc>
        <w:tc>
          <w:tcPr>
            <w:tcW w:w="5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July 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1</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560" w:type="dxa"/>
            <w:vAlign w:val="bottom"/>
          </w:tcPr>
          <w:p>
            <w:pPr>
              <w:spacing w:after="0"/>
              <w:rPr>
                <w:sz w:val="17"/>
                <w:szCs w:val="17"/>
                <w:color w:val="auto"/>
              </w:rPr>
            </w:pP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5"/>
              </w:rPr>
              <w:t>200,915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229,028</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476,665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563,139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104,539</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120,515</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251,003</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297,925</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96,376</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108,513</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225,662</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265,214</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32,765</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38,867</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78,676</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95,537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30,730</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35,714</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66,594</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80,733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7,781</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7,344</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22,122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20,308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2,814</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2,515</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7,752</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950</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1,060</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1,754</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3,613</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21,336</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23,013</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48,764</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56,780</w:t>
            </w:r>
          </w:p>
        </w:tc>
      </w:tr>
      <w:tr>
        <w:trPr>
          <w:trHeight w:val="405"/>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4,749</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6,838</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12,306</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20,646</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16,587</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16,175</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36,458</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36,134</w:t>
            </w:r>
          </w:p>
        </w:tc>
      </w:tr>
      <w:tr>
        <w:trPr>
          <w:trHeight w:val="405"/>
        </w:trPr>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24"/>
                <w:szCs w:val="24"/>
                <w:color w:val="auto"/>
              </w:rPr>
            </w:pP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7,182</w:t>
            </w:r>
          </w:p>
        </w:tc>
        <w:tc>
          <w:tcPr>
            <w:tcW w:w="62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5,630</w:t>
            </w:r>
          </w:p>
        </w:tc>
        <w:tc>
          <w:tcPr>
            <w:tcW w:w="56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15,597</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13,912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9,405</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10,545</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20,861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22,222</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shares</w:t>
            </w: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18,811</w:t>
            </w:r>
          </w:p>
        </w:tc>
        <w:tc>
          <w:tcPr>
            <w:tcW w:w="62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23,580</w:t>
            </w:r>
          </w:p>
        </w:tc>
        <w:tc>
          <w:tcPr>
            <w:tcW w:w="5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18,840</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20,380</w:t>
            </w:r>
          </w:p>
        </w:tc>
      </w:tr>
      <w:tr>
        <w:trPr>
          <w:trHeight w:val="203"/>
        </w:trPr>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ectPr>
          <w:pgSz w:w="11900" w:h="16838" w:orient="portrait"/>
          <w:cols w:equalWidth="0" w:num="1">
            <w:col w:w="10219"/>
          </w:cols>
          <w:pgMar w:left="240" w:top="339"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37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4600" w:type="dxa"/>
            <w:vAlign w:val="bottom"/>
          </w:tcPr>
          <w:p>
            <w:pPr>
              <w:ind w:left="2440"/>
              <w:spacing w:after="0" w:line="202"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4600" w:type="dxa"/>
            <w:vAlign w:val="bottom"/>
          </w:tcPr>
          <w:p>
            <w:pPr>
              <w:ind w:left="2640"/>
              <w:spacing w:after="0"/>
              <w:rPr>
                <w:sz w:val="20"/>
                <w:szCs w:val="20"/>
                <w:color w:val="auto"/>
              </w:rPr>
            </w:pPr>
            <w:r>
              <w:rPr>
                <w:rFonts w:ascii="Courier New" w:cs="Courier New" w:eastAsia="Courier New" w:hAnsi="Courier New"/>
                <w:sz w:val="18"/>
                <w:szCs w:val="18"/>
                <w:color w:val="auto"/>
              </w:rPr>
              <w:t>Nine Months Ended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July 2</w:t>
            </w:r>
          </w:p>
        </w:tc>
        <w:tc>
          <w:tcPr>
            <w:tcW w:w="360" w:type="dxa"/>
            <w:vAlign w:val="bottom"/>
          </w:tcPr>
          <w:p>
            <w:pPr>
              <w:spacing w:after="0"/>
              <w:rPr>
                <w:sz w:val="17"/>
                <w:szCs w:val="17"/>
                <w:color w:val="auto"/>
              </w:rPr>
            </w:pP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July 1</w:t>
            </w: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20,861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22,222</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16,424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18,427</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increase in certain components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working capital</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(13,388)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(15,036)</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change in other assets and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liabilities and other</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4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adjustments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600" w:type="dxa"/>
            <w:vAlign w:val="bottom"/>
          </w:tcPr>
          <w:p>
            <w:pPr>
              <w:ind w:left="1060"/>
              <w:spacing w:after="0"/>
              <w:rPr>
                <w:sz w:val="20"/>
                <w:szCs w:val="20"/>
                <w:color w:val="auto"/>
              </w:rPr>
            </w:pPr>
            <w:r>
              <w:rPr>
                <w:rFonts w:ascii="Courier New" w:cs="Courier New" w:eastAsia="Courier New" w:hAnsi="Courier New"/>
                <w:sz w:val="18"/>
                <w:szCs w:val="18"/>
                <w:color w:val="auto"/>
              </w:rPr>
              <w:t>Net cash provided by operating</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19,528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25,652</w:t>
            </w: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plant and equipment, net</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(21,655)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(15,098)</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other assets</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Affiliate</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Sierra, net of cash</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(118,986)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acquired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acquired in merger with Miracle-Gro</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6,448</w:t>
            </w:r>
          </w:p>
        </w:tc>
      </w:tr>
      <w:tr>
        <w:trPr>
          <w:trHeight w:val="405"/>
        </w:trPr>
        <w:tc>
          <w:tcPr>
            <w:tcW w:w="4600" w:type="dxa"/>
            <w:vAlign w:val="bottom"/>
          </w:tcPr>
          <w:p>
            <w:pPr>
              <w:ind w:left="1060"/>
              <w:spacing w:after="0"/>
              <w:rPr>
                <w:sz w:val="20"/>
                <w:szCs w:val="20"/>
                <w:color w:val="auto"/>
              </w:rPr>
            </w:pPr>
            <w:r>
              <w:rPr>
                <w:rFonts w:ascii="Courier New" w:cs="Courier New" w:eastAsia="Courier New" w:hAnsi="Courier New"/>
                <w:sz w:val="18"/>
                <w:szCs w:val="18"/>
                <w:color w:val="auto"/>
              </w:rPr>
              <w:t>Net cash used in investing</w:t>
            </w:r>
          </w:p>
        </w:tc>
        <w:tc>
          <w:tcPr>
            <w:tcW w:w="2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(140,641)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(9,499)</w:t>
            </w: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Borrowings under term debt</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125,000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113,500</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term and other debt</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lines of credit and bank line</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7,208</w:t>
            </w:r>
          </w:p>
        </w:tc>
        <w:tc>
          <w:tcPr>
            <w:tcW w:w="36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(128,121)</w:t>
            </w: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credit, net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Class A Common Stock</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financing costs incurred</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Dividends on preferred stock</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w:t>
            </w:r>
          </w:p>
        </w:tc>
      </w:tr>
      <w:tr>
        <w:trPr>
          <w:trHeight w:val="405"/>
        </w:trPr>
        <w:tc>
          <w:tcPr>
            <w:tcW w:w="4600" w:type="dxa"/>
            <w:vAlign w:val="bottom"/>
          </w:tcPr>
          <w:p>
            <w:pPr>
              <w:ind w:left="1060"/>
              <w:spacing w:after="0"/>
              <w:rPr>
                <w:sz w:val="20"/>
                <w:szCs w:val="20"/>
                <w:color w:val="auto"/>
              </w:rPr>
            </w:pPr>
            <w:r>
              <w:rPr>
                <w:rFonts w:ascii="Courier New" w:cs="Courier New" w:eastAsia="Courier New" w:hAnsi="Courier New"/>
                <w:sz w:val="18"/>
                <w:szCs w:val="18"/>
                <w:color w:val="auto"/>
              </w:rPr>
              <w:t>Net cash provided by (used in)</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126,677</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(17,569)</w:t>
            </w:r>
          </w:p>
        </w:tc>
      </w:tr>
      <w:tr>
        <w:trPr>
          <w:trHeight w:val="203"/>
        </w:trPr>
        <w:tc>
          <w:tcPr>
            <w:tcW w:w="46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925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6,489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2,323</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10,695</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at end of period</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8,812</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10,672</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paid, net of amount capitalized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7,430</w:t>
            </w:r>
          </w:p>
        </w:tc>
        <w:tc>
          <w:tcPr>
            <w:tcW w:w="3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17,610</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14,229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10,855</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Detail of entities acquired: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144,501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235,564</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(25,515)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(39,875)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paid for acquisition of Sierra</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118,986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issued for acquisition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177,255</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Miracle-Gro</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Warrants issued for acquisition of</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14,434</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Miracle-Gro</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339" w:right="1440" w:bottom="0" w:gutter="0" w:footer="0" w:header="0"/>
        </w:sectPr>
      </w:pPr>
    </w:p>
    <w:bookmarkStart w:id="3" w:name="page4"/>
    <w:bookmarkEnd w:id="3"/>
    <w:p>
      <w:pPr>
        <w:jc w:val="center"/>
        <w:ind w:right="37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37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37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4740" w:type="dxa"/>
            <w:vAlign w:val="bottom"/>
            <w:gridSpan w:val="3"/>
          </w:tcPr>
          <w:p>
            <w:pPr>
              <w:ind w:left="2440"/>
              <w:spacing w:after="0" w:line="202" w:lineRule="exact"/>
              <w:rPr>
                <w:sz w:val="20"/>
                <w:szCs w:val="20"/>
                <w:color w:val="auto"/>
              </w:rPr>
            </w:pPr>
            <w:r>
              <w:rPr>
                <w:rFonts w:ascii="Courier New" w:cs="Courier New" w:eastAsia="Courier New" w:hAnsi="Courier New"/>
                <w:sz w:val="18"/>
                <w:szCs w:val="18"/>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540" w:type="dxa"/>
            <w:vAlign w:val="bottom"/>
          </w:tcPr>
          <w:p>
            <w:pPr>
              <w:ind w:left="2860"/>
              <w:spacing w:after="0"/>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July 2</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1</w:t>
            </w:r>
          </w:p>
        </w:tc>
        <w:tc>
          <w:tcPr>
            <w:tcW w:w="1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September 30</w:t>
            </w:r>
          </w:p>
        </w:tc>
      </w:tr>
      <w:tr>
        <w:trPr>
          <w:trHeight w:val="203"/>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8,812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10,672</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10,695</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less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allowances</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90,468</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142,309</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115,772</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$3,442, $4,313 and $2,933,</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 net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106,444</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155,550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106,636</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and other assets</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16,379</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20,838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17,151</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222,103</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329,369</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250,254</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2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131,812</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145,721</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140,105</w:t>
            </w:r>
          </w:p>
        </w:tc>
      </w:tr>
      <w:tr>
        <w:trPr>
          <w:trHeight w:val="203"/>
        </w:trPr>
        <w:tc>
          <w:tcPr>
            <w:tcW w:w="3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 and other</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31,308</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115,401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28,880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net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106,453</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185,810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104,578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4,736</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20,858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4,767</w:t>
            </w:r>
          </w:p>
        </w:tc>
      </w:tr>
      <w:tr>
        <w:trPr>
          <w:trHeight w:val="405"/>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496,412</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797,159</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528,584</w:t>
            </w:r>
          </w:p>
        </w:tc>
      </w:tr>
      <w:tr>
        <w:trPr>
          <w:trHeight w:val="608"/>
        </w:trPr>
        <w:tc>
          <w:tcPr>
            <w:tcW w:w="50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LIABILITIES AND SHAREHOLDERS' EQUITY</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credit line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14,545</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23,416</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portion of term debt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20,403</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3,755</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37,387</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62,820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46,967</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32,559</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38,874</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31,167</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taxes</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8,687</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17,925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4,383</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99,949</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134,672</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109,688</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Term debt, less current portion</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198,000</w:t>
            </w:r>
          </w:p>
        </w:tc>
        <w:tc>
          <w:tcPr>
            <w:tcW w:w="3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243,041</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220,130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26,742</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27,256</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27,014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than pensions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5,979</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7,929</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3,592</w:t>
            </w:r>
          </w:p>
        </w:tc>
      </w:tr>
      <w:tr>
        <w:trPr>
          <w:trHeight w:val="405"/>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330,670</w:t>
            </w:r>
          </w:p>
        </w:tc>
        <w:tc>
          <w:tcPr>
            <w:tcW w:w="32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412,898</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360,424</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177,255</w:t>
            </w:r>
          </w:p>
        </w:tc>
        <w:tc>
          <w:tcPr>
            <w:tcW w:w="32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no par value</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193,724</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207,569</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193,450</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11,853</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34,975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13,875</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translation</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1,395</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5,692</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2,065</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2,415 shares at</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(41,441)</w:t>
            </w:r>
          </w:p>
        </w:tc>
        <w:tc>
          <w:tcPr>
            <w:tcW w:w="3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(41,441)</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(41,441)</w:t>
            </w: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165,742</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384,261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168,160</w:t>
            </w:r>
          </w:p>
        </w:tc>
      </w:tr>
      <w:tr>
        <w:trPr>
          <w:trHeight w:val="405"/>
        </w:trPr>
        <w:tc>
          <w:tcPr>
            <w:tcW w:w="3540" w:type="dxa"/>
            <w:vAlign w:val="bottom"/>
          </w:tcPr>
          <w:p>
            <w:pPr>
              <w:ind w:left="220"/>
              <w:spacing w:after="0"/>
              <w:rPr>
                <w:sz w:val="20"/>
                <w:szCs w:val="20"/>
                <w:color w:val="auto"/>
              </w:rPr>
            </w:pPr>
            <w:r>
              <w:rPr>
                <w:rFonts w:ascii="Courier New" w:cs="Courier New" w:eastAsia="Courier New" w:hAnsi="Courier New"/>
                <w:sz w:val="18"/>
                <w:szCs w:val="18"/>
                <w:color w:val="auto"/>
              </w:rPr>
              <w:t>Total Liabilities and</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496,412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797,159</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528,584</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w:t>
      </w:r>
    </w:p>
    <w:p>
      <w:pPr>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6" w:lineRule="exact"/>
        <w:rPr>
          <w:rFonts w:ascii="Courier New" w:cs="Courier New" w:eastAsia="Courier New" w:hAnsi="Courier New"/>
          <w:sz w:val="18"/>
          <w:szCs w:val="18"/>
          <w:color w:val="auto"/>
        </w:rPr>
      </w:pPr>
    </w:p>
    <w:p>
      <w:pPr>
        <w:ind w:left="320" w:right="4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Scotts Company ("Scotts") and its wholly owned subsidiaries, Hyponex Corporation ("Hyponex"), Republic</w:t>
      </w:r>
    </w:p>
    <w:p>
      <w:pPr>
        <w:sectPr>
          <w:pgSz w:w="11900" w:h="16838" w:orient="portrait"/>
          <w:cols w:equalWidth="0" w:num="1">
            <w:col w:w="10219"/>
          </w:cols>
          <w:pgMar w:left="240" w:top="339" w:right="1440" w:bottom="0" w:gutter="0" w:footer="0" w:header="0"/>
        </w:sectPr>
      </w:pPr>
    </w:p>
    <w:bookmarkStart w:id="4" w:name="page5"/>
    <w:bookmarkEnd w:id="4"/>
    <w:p>
      <w:pPr>
        <w:ind w:left="312" w:right="3999"/>
        <w:spacing w:after="0" w:line="237" w:lineRule="auto"/>
        <w:rPr>
          <w:sz w:val="20"/>
          <w:szCs w:val="20"/>
          <w:color w:val="auto"/>
        </w:rPr>
      </w:pPr>
      <w:r>
        <w:rPr>
          <w:rFonts w:ascii="Courier New" w:cs="Courier New" w:eastAsia="Courier New" w:hAnsi="Courier New"/>
          <w:sz w:val="18"/>
          <w:szCs w:val="18"/>
          <w:color w:val="auto"/>
        </w:rPr>
        <w:t>Tool and Manufacturing Corp. ("Republic"), Scotts-Sierra Horticultural Products Company ("Sierra") and Scotts Miracle-Gro Products, Inc. ("Miracle-Gro"), (collectively, the "Company"), are engaged in the manufacture and sale of lawn care and garden products. The Company's business is highly seasonal with approximately 70% of sales occurring in the second and third fiscal quarters.</w:t>
      </w:r>
    </w:p>
    <w:p>
      <w:pPr>
        <w:spacing w:after="0" w:line="212" w:lineRule="exact"/>
        <w:rPr>
          <w:sz w:val="20"/>
          <w:szCs w:val="20"/>
          <w:color w:val="auto"/>
        </w:rPr>
      </w:pPr>
    </w:p>
    <w:p>
      <w:pPr>
        <w:ind w:left="312" w:right="3999"/>
        <w:spacing w:after="0" w:line="238" w:lineRule="auto"/>
        <w:rPr>
          <w:sz w:val="20"/>
          <w:szCs w:val="20"/>
          <w:color w:val="auto"/>
        </w:rPr>
      </w:pPr>
      <w:r>
        <w:rPr>
          <w:rFonts w:ascii="Courier New" w:cs="Courier New" w:eastAsia="Courier New" w:hAnsi="Courier New"/>
          <w:sz w:val="18"/>
          <w:szCs w:val="18"/>
          <w:color w:val="auto"/>
        </w:rPr>
        <w:t>The consolidated balance sheets as of July 2, 1994 and July 1, 1995, the related consolidated statements of income for the three and nine month periods ended July 2, 1994 and July 1, 1995 and the related consolidated statements of cash flows for the nine month periods ended July 2, 1994 and July 1,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203" w:lineRule="exact"/>
        <w:rPr>
          <w:sz w:val="20"/>
          <w:szCs w:val="20"/>
          <w:color w:val="auto"/>
        </w:rPr>
      </w:pPr>
    </w:p>
    <w:p>
      <w:pPr>
        <w:ind w:left="312" w:hanging="312"/>
        <w:spacing w:after="0"/>
        <w:tabs>
          <w:tab w:leader="none" w:pos="3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Mergers and Acquisitions</w:t>
      </w:r>
    </w:p>
    <w:p>
      <w:pPr>
        <w:spacing w:after="0" w:line="206" w:lineRule="exact"/>
        <w:rPr>
          <w:rFonts w:ascii="Courier New" w:cs="Courier New" w:eastAsia="Courier New" w:hAnsi="Courier New"/>
          <w:sz w:val="18"/>
          <w:szCs w:val="18"/>
          <w:color w:val="auto"/>
        </w:rPr>
      </w:pPr>
    </w:p>
    <w:p>
      <w:pPr>
        <w:ind w:left="312"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08" w:lineRule="exact"/>
        <w:rPr>
          <w:rFonts w:ascii="Courier New" w:cs="Courier New" w:eastAsia="Courier New" w:hAnsi="Courier New"/>
          <w:sz w:val="18"/>
          <w:szCs w:val="18"/>
          <w:color w:val="auto"/>
        </w:rPr>
      </w:pPr>
    </w:p>
    <w:p>
      <w:pPr>
        <w:ind w:left="312" w:right="3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19, 1995, the Company completed the merger with Stern's Miracle-Gro Products, Inc. and affiliated companies for an aggregate purchase price of approximately $195,689,000. The merger cost was comprised of $195,000,000 face amount of convertible preferred stock of Scotts with a fair value of $177,255,000, warrants to purchase 3,000,000 common shares of Scotts with a fair value of $14,434,000 and $4,000,000 of estimated transaction costs. The preferred stock has a dividend yield of 5.0% and is convertible into common shares of Scotts at $19.00 per share. The warrants are exercisable for 1,000,000 common shares at $21.00 per share, 1,000,000 common shares at $25.00 per share and 1,000,000 common shares at $29.00 per share. The fair value of the warrants has been included in capital in excess of par value in the Company's July 1, 1995 balance sheet.</w:t>
      </w:r>
    </w:p>
    <w:p>
      <w:pPr>
        <w:spacing w:after="0" w:line="208" w:lineRule="exact"/>
        <w:rPr>
          <w:rFonts w:ascii="Courier New" w:cs="Courier New" w:eastAsia="Courier New" w:hAnsi="Courier New"/>
          <w:sz w:val="18"/>
          <w:szCs w:val="18"/>
          <w:color w:val="auto"/>
        </w:rPr>
      </w:pPr>
    </w:p>
    <w:p>
      <w:pPr>
        <w:jc w:val="both"/>
        <w:ind w:left="312" w:right="3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Miracle-Gro is engaged in the marketing and distribution of plant foods and lawn and garden products primarily in the United States and Canada and Europe. On</w:t>
      </w:r>
    </w:p>
    <w:p>
      <w:pPr>
        <w:ind w:left="312"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 1994, Miracle-Gro Products Limited ("MG Limited"), a subsidiary of Miracle-Gro, entered into an agreement to exchange its equipment and a license for distribution of Miracle-Gro products in certain areas of Europe for a 32.5% equity interest in a U.K. based garden products company. The initial period of the license is five years and may be extended up to twenty years from January 1, 1995, under certain circumstances set forth in the license agreement.</w:t>
      </w:r>
    </w:p>
    <w:p>
      <w:pPr>
        <w:sectPr>
          <w:pgSz w:w="11900" w:h="16838" w:orient="portrait"/>
          <w:cols w:equalWidth="0" w:num="1">
            <w:col w:w="10211"/>
          </w:cols>
          <w:pgMar w:left="248"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852"/>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1"/>
          </w:cols>
          <w:pgMar w:left="248" w:top="142" w:right="1440" w:bottom="0" w:gutter="0" w:footer="0" w:header="0"/>
          <w:type w:val="continuous"/>
        </w:sectPr>
      </w:pPr>
    </w:p>
    <w:bookmarkStart w:id="5" w:name="page6"/>
    <w:bookmarkEnd w:id="5"/>
    <w:p>
      <w:pPr>
        <w:ind w:left="1372"/>
        <w:spacing w:after="0"/>
        <w:rPr>
          <w:sz w:val="20"/>
          <w:szCs w:val="20"/>
          <w:color w:val="auto"/>
        </w:rPr>
      </w:pPr>
      <w:r>
        <w:rPr>
          <w:rFonts w:ascii="Courier New" w:cs="Courier New" w:eastAsia="Courier New" w:hAnsi="Courier New"/>
          <w:sz w:val="18"/>
          <w:szCs w:val="18"/>
          <w:color w:val="auto"/>
        </w:rPr>
        <w:t>THE SCOTTS COMPANY AND SUBSIDIARIES</w:t>
      </w:r>
    </w:p>
    <w:p>
      <w:pPr>
        <w:ind w:left="95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312" w:right="3999"/>
        <w:spacing w:after="0" w:line="236" w:lineRule="auto"/>
        <w:rPr>
          <w:sz w:val="20"/>
          <w:szCs w:val="20"/>
          <w:color w:val="auto"/>
        </w:rPr>
      </w:pPr>
      <w:r>
        <w:rPr>
          <w:rFonts w:ascii="Courier New" w:cs="Courier New" w:eastAsia="Courier New" w:hAnsi="Courier New"/>
          <w:sz w:val="18"/>
          <w:szCs w:val="18"/>
          <w:color w:val="auto"/>
        </w:rPr>
        <w:t>MG Limited is entitled to annual royalties for the first five years of the license. The Company accounts for this investment on the equity method.</w:t>
      </w:r>
    </w:p>
    <w:p>
      <w:pPr>
        <w:spacing w:after="0" w:line="209" w:lineRule="exact"/>
        <w:rPr>
          <w:sz w:val="20"/>
          <w:szCs w:val="20"/>
          <w:color w:val="auto"/>
        </w:rPr>
      </w:pPr>
    </w:p>
    <w:p>
      <w:pPr>
        <w:ind w:left="312" w:right="4419"/>
        <w:spacing w:after="0" w:line="237" w:lineRule="auto"/>
        <w:rPr>
          <w:sz w:val="20"/>
          <w:szCs w:val="20"/>
          <w:color w:val="auto"/>
        </w:rPr>
      </w:pPr>
      <w:r>
        <w:rPr>
          <w:rFonts w:ascii="Courier New" w:cs="Courier New" w:eastAsia="Courier New" w:hAnsi="Courier New"/>
          <w:sz w:val="18"/>
          <w:szCs w:val="18"/>
          <w:color w:val="auto"/>
        </w:rPr>
        <w:t>The Federal Trade Commission ("FTC"), in granting permission for the Miracle-Gro acquisition, required that the Company divest its Peters line of consumer water soluble fertilizers. See Note 8.</w:t>
      </w:r>
    </w:p>
    <w:p>
      <w:pPr>
        <w:spacing w:after="0" w:line="207" w:lineRule="exact"/>
        <w:rPr>
          <w:sz w:val="20"/>
          <w:szCs w:val="20"/>
          <w:color w:val="auto"/>
        </w:rPr>
      </w:pPr>
    </w:p>
    <w:p>
      <w:pPr>
        <w:ind w:left="312" w:right="3999"/>
        <w:spacing w:after="0" w:line="237" w:lineRule="auto"/>
        <w:rPr>
          <w:sz w:val="20"/>
          <w:szCs w:val="20"/>
          <w:color w:val="auto"/>
        </w:rPr>
      </w:pPr>
      <w:r>
        <w:rPr>
          <w:rFonts w:ascii="Courier New" w:cs="Courier New" w:eastAsia="Courier New" w:hAnsi="Courier New"/>
          <w:sz w:val="18"/>
          <w:szCs w:val="18"/>
          <w:color w:val="auto"/>
        </w:rPr>
        <w:t>The merger has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 $83,506,000 is being amortized on a straight-line basis over 40 years. Miracle-Gro's results of operations have been included in the Consolidated Statements of Income from the acquisition date of May 19, 1995.</w:t>
      </w:r>
    </w:p>
    <w:p>
      <w:pPr>
        <w:spacing w:after="0" w:line="216" w:lineRule="exact"/>
        <w:rPr>
          <w:sz w:val="20"/>
          <w:szCs w:val="20"/>
          <w:color w:val="auto"/>
        </w:rPr>
      </w:pPr>
    </w:p>
    <w:p>
      <w:pPr>
        <w:ind w:left="312" w:right="4319"/>
        <w:spacing w:after="0" w:line="275" w:lineRule="auto"/>
        <w:rPr>
          <w:sz w:val="20"/>
          <w:szCs w:val="20"/>
          <w:color w:val="auto"/>
        </w:rPr>
      </w:pPr>
      <w:r>
        <w:rPr>
          <w:rFonts w:ascii="Courier New" w:cs="Courier New" w:eastAsia="Courier New" w:hAnsi="Courier New"/>
          <w:sz w:val="16"/>
          <w:szCs w:val="16"/>
          <w:color w:val="auto"/>
        </w:rPr>
        <w:t>The following pro forma results of operations give effect to the above Sierra acquisition as if it had occurred on October 1, 1992 and the Miracle-Gro acquisition as if it had occurred on October 1, 1993.</w:t>
      </w:r>
    </w:p>
    <w:p>
      <w:pPr>
        <w:spacing w:after="0" w:line="177" w:lineRule="exact"/>
        <w:rPr>
          <w:sz w:val="20"/>
          <w:szCs w:val="20"/>
          <w:color w:val="auto"/>
        </w:rPr>
      </w:pPr>
    </w:p>
    <w:tbl>
      <w:tblPr>
        <w:tblLayout w:type="fixed"/>
        <w:tblInd w:w="732"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840" w:type="dxa"/>
            <w:vAlign w:val="bottom"/>
          </w:tcPr>
          <w:p>
            <w:pPr>
              <w:spacing w:after="0"/>
              <w:rPr>
                <w:sz w:val="17"/>
                <w:szCs w:val="17"/>
                <w:color w:val="auto"/>
              </w:rPr>
            </w:pP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thousands, except per</w:t>
            </w:r>
          </w:p>
        </w:tc>
      </w:tr>
      <w:tr>
        <w:trPr>
          <w:trHeight w:val="203"/>
        </w:trPr>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 amounts)</w:t>
            </w:r>
          </w:p>
        </w:tc>
        <w:tc>
          <w:tcPr>
            <w:tcW w:w="74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July 2</w:t>
            </w:r>
          </w:p>
        </w:tc>
        <w:tc>
          <w:tcPr>
            <w:tcW w:w="5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July 1</w:t>
            </w:r>
          </w:p>
        </w:tc>
      </w:tr>
      <w:tr>
        <w:trPr>
          <w:trHeight w:val="203"/>
        </w:trPr>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591,409</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651,491</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34,934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33,262</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Net income per</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1.14</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7" w:lineRule="exact"/>
        <w:rPr>
          <w:sz w:val="20"/>
          <w:szCs w:val="20"/>
          <w:color w:val="auto"/>
        </w:rPr>
      </w:pPr>
    </w:p>
    <w:p>
      <w:pPr>
        <w:ind w:left="312" w:right="3999"/>
        <w:spacing w:after="0" w:line="269" w:lineRule="auto"/>
        <w:rPr>
          <w:sz w:val="20"/>
          <w:szCs w:val="20"/>
          <w:color w:val="auto"/>
        </w:rPr>
      </w:pPr>
      <w:r>
        <w:rPr>
          <w:rFonts w:ascii="Courier New" w:cs="Courier New" w:eastAsia="Courier New" w:hAnsi="Courier New"/>
          <w:sz w:val="16"/>
          <w:szCs w:val="16"/>
          <w:color w:val="auto"/>
        </w:rPr>
        <w:t>Miracle-Gro contributes net sales of $103,459 and $93,918, net income of $12,600 and $14,066 and net income per common share of $.43 and $.48 for the nine months ended July 1, 1995 and July 2, 1994, respectively. For purposes of computing earnings per share, the convertible preferred stock is considered a common stock equivalent. Pro forma primary earnings per share for the nine months ended July 1, 1995 and July 2, 1994 are calculated using the weighted average common shares outstanding for Scotts of 18,860 and 18,840, respectively and the common shares that would have been issued assuming conversion of preferred stock at the beginning of the year to 10,263 common shares. The computation of pro forma primary earnings per share assuming reduction of earnings for preferred dividends and no conversion of preferred stock was anti-dilutive.</w:t>
      </w:r>
    </w:p>
    <w:p>
      <w:pPr>
        <w:spacing w:after="0" w:line="397" w:lineRule="exact"/>
        <w:rPr>
          <w:sz w:val="20"/>
          <w:szCs w:val="20"/>
          <w:color w:val="auto"/>
        </w:rPr>
      </w:pPr>
    </w:p>
    <w:p>
      <w:pPr>
        <w:ind w:left="312" w:right="4199"/>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Miracle-Gro acquisition had occurred as of October 1, 1993, and is not intended to be indicative of future results or trends.</w:t>
      </w:r>
    </w:p>
    <w:p>
      <w:pPr>
        <w:spacing w:after="0" w:line="203" w:lineRule="exact"/>
        <w:rPr>
          <w:sz w:val="20"/>
          <w:szCs w:val="20"/>
          <w:color w:val="auto"/>
        </w:rPr>
      </w:pPr>
    </w:p>
    <w:p>
      <w:pPr>
        <w:ind w:left="312" w:hanging="312"/>
        <w:spacing w:after="0"/>
        <w:tabs>
          <w:tab w:leader="none" w:pos="3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6" w:lineRule="exact"/>
        <w:rPr>
          <w:rFonts w:ascii="Courier New" w:cs="Courier New" w:eastAsia="Courier New" w:hAnsi="Courier New"/>
          <w:sz w:val="18"/>
          <w:szCs w:val="18"/>
          <w:color w:val="auto"/>
        </w:rPr>
      </w:pPr>
    </w:p>
    <w:p>
      <w:pPr>
        <w:ind w:left="312"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reclassifications have been made to the prior periods' financial statements to conform to July 1, 1995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4" w:lineRule="exact"/>
        <w:rPr>
          <w:sz w:val="20"/>
          <w:szCs w:val="20"/>
          <w:color w:val="auto"/>
        </w:rPr>
      </w:pPr>
    </w:p>
    <w:p>
      <w:pPr>
        <w:ind w:left="1372"/>
        <w:spacing w:after="0"/>
        <w:rPr>
          <w:sz w:val="20"/>
          <w:szCs w:val="20"/>
          <w:color w:val="auto"/>
        </w:rPr>
      </w:pPr>
      <w:r>
        <w:rPr>
          <w:rFonts w:ascii="Courier New" w:cs="Courier New" w:eastAsia="Courier New" w:hAnsi="Courier New"/>
          <w:sz w:val="18"/>
          <w:szCs w:val="18"/>
          <w:color w:val="auto"/>
        </w:rPr>
        <w:t>THE SCOTTS COMPANY AND SUBSIDIARIES</w:t>
      </w:r>
    </w:p>
    <w:p>
      <w:pPr>
        <w:sectPr>
          <w:pgSz w:w="11900" w:h="16838" w:orient="portrait"/>
          <w:cols w:equalWidth="0" w:num="1">
            <w:col w:w="10211"/>
          </w:cols>
          <w:pgMar w:left="248" w:top="541" w:right="1440" w:bottom="0" w:gutter="0" w:footer="0" w:header="0"/>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left="320" w:right="8419" w:hanging="312"/>
        <w:spacing w:after="0" w:line="290"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4"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July 2</w:t>
            </w:r>
          </w:p>
        </w:tc>
        <w:tc>
          <w:tcPr>
            <w:tcW w:w="520" w:type="dxa"/>
            <w:vAlign w:val="bottom"/>
          </w:tcPr>
          <w:p>
            <w:pPr>
              <w:spacing w:after="0"/>
              <w:rPr>
                <w:sz w:val="17"/>
                <w:szCs w:val="17"/>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July 1</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Raw material</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35,332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66,246</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51,656</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products</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71,112</w:t>
            </w:r>
          </w:p>
        </w:tc>
        <w:tc>
          <w:tcPr>
            <w:tcW w:w="5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89,304</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54,980</w:t>
            </w: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Inventories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106,444</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$ 155,550</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$ 106,636</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5. Long-Term Debt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July 2</w:t>
            </w: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July 1</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September 30</w:t>
            </w: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1995</w:t>
            </w:r>
          </w:p>
        </w:tc>
        <w:tc>
          <w:tcPr>
            <w:tcW w:w="1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Revolving Credit Line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28,913</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158,045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53,416</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Senior Subordinated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Notes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99,287</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99,221</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 million face</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amount)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 Loan</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190,000</w:t>
            </w:r>
          </w:p>
        </w:tc>
        <w:tc>
          <w:tcPr>
            <w:tcW w:w="5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93,598</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Lease</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6,382</w:t>
            </w:r>
          </w:p>
        </w:tc>
        <w:tc>
          <w:tcPr>
            <w:tcW w:w="5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762</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225,295</w:t>
            </w:r>
          </w:p>
        </w:tc>
        <w:tc>
          <w:tcPr>
            <w:tcW w:w="14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258,094</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247,301</w:t>
            </w:r>
          </w:p>
        </w:tc>
      </w:tr>
      <w:tr>
        <w:trPr>
          <w:trHeight w:val="203"/>
        </w:trPr>
        <w:tc>
          <w:tcPr>
            <w:tcW w:w="2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current portions</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21,316</w:t>
            </w:r>
          </w:p>
        </w:tc>
        <w:tc>
          <w:tcPr>
            <w:tcW w:w="5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15,053</w:t>
            </w:r>
          </w:p>
        </w:tc>
        <w:tc>
          <w:tcPr>
            <w:tcW w:w="7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27,171</w:t>
            </w:r>
          </w:p>
        </w:tc>
      </w:tr>
      <w:tr>
        <w:trPr>
          <w:trHeight w:val="405"/>
        </w:trPr>
        <w:tc>
          <w:tcPr>
            <w:tcW w:w="2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203,979</w:t>
            </w:r>
          </w:p>
        </w:tc>
        <w:tc>
          <w:tcPr>
            <w:tcW w:w="14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$ 243,041</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220,130</w:t>
            </w:r>
          </w:p>
        </w:tc>
      </w:tr>
    </w:tbl>
    <w:p>
      <w:pPr>
        <w:spacing w:after="0" w:line="207" w:lineRule="exact"/>
        <w:rPr>
          <w:sz w:val="20"/>
          <w:szCs w:val="20"/>
          <w:color w:val="auto"/>
        </w:rPr>
      </w:pPr>
    </w:p>
    <w:p>
      <w:pPr>
        <w:ind w:left="320" w:right="3999"/>
        <w:spacing w:after="0" w:line="270" w:lineRule="auto"/>
        <w:rPr>
          <w:sz w:val="20"/>
          <w:szCs w:val="20"/>
          <w:color w:val="auto"/>
        </w:rPr>
      </w:pPr>
      <w:r>
        <w:rPr>
          <w:rFonts w:ascii="Courier New" w:cs="Courier New" w:eastAsia="Courier New" w:hAnsi="Courier New"/>
          <w:sz w:val="16"/>
          <w:szCs w:val="16"/>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commercial paper/competitive advance facility and a committed revolving credit facility through the scheduled termination date of March 31, 2000. The Agreement contains a requirement limiting the maximum amount borrowed to $225 million for a minimum of 30 consecutive days each fiscal year. Expenses expected to be incurred related to the Agreement were approximately $500,000 and were deferred.</w:t>
      </w:r>
    </w:p>
    <w:p>
      <w:pPr>
        <w:spacing w:after="0" w:line="389" w:lineRule="exact"/>
        <w:rPr>
          <w:sz w:val="20"/>
          <w:szCs w:val="20"/>
          <w:color w:val="auto"/>
        </w:rPr>
      </w:pPr>
    </w:p>
    <w:p>
      <w:pPr>
        <w:ind w:left="320" w:right="4099"/>
        <w:spacing w:after="0" w:line="269" w:lineRule="auto"/>
        <w:rPr>
          <w:sz w:val="20"/>
          <w:szCs w:val="20"/>
          <w:color w:val="auto"/>
        </w:rPr>
      </w:pPr>
      <w:r>
        <w:rPr>
          <w:rFonts w:ascii="Courier New" w:cs="Courier New" w:eastAsia="Courier New" w:hAnsi="Courier New"/>
          <w:sz w:val="16"/>
          <w:szCs w:val="16"/>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facilities ranged from 6.29% to 9.00% at July 1, 1995. The Agreement provides for the payment of an annual administration fee of $100,000 and a facility fee of .1875% per annum, which fee may be reduced to .15% or increased up to .375% based on the changes in the unsecured debt ratings of the Company.</w:t>
      </w:r>
    </w:p>
    <w:p>
      <w:pPr>
        <w:spacing w:after="0" w:line="397" w:lineRule="exact"/>
        <w:rPr>
          <w:sz w:val="20"/>
          <w:szCs w:val="20"/>
          <w:color w:val="auto"/>
        </w:rPr>
      </w:pPr>
    </w:p>
    <w:p>
      <w:pPr>
        <w:ind w:left="320" w:right="4199"/>
        <w:spacing w:after="0" w:line="272" w:lineRule="auto"/>
        <w:rPr>
          <w:sz w:val="20"/>
          <w:szCs w:val="20"/>
          <w:color w:val="auto"/>
        </w:rPr>
      </w:pPr>
      <w:r>
        <w:rPr>
          <w:rFonts w:ascii="Courier New" w:cs="Courier New" w:eastAsia="Courier New" w:hAnsi="Courier New"/>
          <w:sz w:val="16"/>
          <w:szCs w:val="16"/>
          <w:color w:val="auto"/>
        </w:rPr>
        <w:t>The Agreement contains certain financial and operating covenants, including maintenance of interest coverage ratios, maintenance of consolidated net worth, and restrictions on additional indebtedness and capital expenditures. The Company was in compliance with all required covenants at July 1, 1995.</w:t>
      </w:r>
    </w:p>
    <w:p>
      <w:pPr>
        <w:spacing w:after="0" w:line="186" w:lineRule="exact"/>
        <w:rPr>
          <w:sz w:val="20"/>
          <w:szCs w:val="20"/>
          <w:color w:val="auto"/>
        </w:rPr>
      </w:pPr>
    </w:p>
    <w:p>
      <w:pPr>
        <w:ind w:left="320" w:right="3999"/>
        <w:spacing w:after="0" w:line="237" w:lineRule="auto"/>
        <w:rPr>
          <w:sz w:val="20"/>
          <w:szCs w:val="20"/>
          <w:color w:val="auto"/>
        </w:rPr>
      </w:pPr>
      <w:r>
        <w:rPr>
          <w:rFonts w:ascii="Courier New" w:cs="Courier New" w:eastAsia="Courier New" w:hAnsi="Courier New"/>
          <w:sz w:val="18"/>
          <w:szCs w:val="18"/>
          <w:color w:val="auto"/>
        </w:rPr>
        <w:t>Miracle-Gro maintains a secured line of credit facility with the Chase Manhattan Bank for up to $25,000,000. This line bears interest at a rate of prime less 1/4% (8.75% as of July 1, 1995) and expires on July 31, 1995. Miracle-Gro also has outstanding debt with an entity owned by its shareholders, The Hagedorn Family Fund, of $1,600,000 at July 1, 1995.</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136" w:right="1440" w:bottom="0" w:gutter="0" w:footer="0" w:header="0"/>
        </w:sectPr>
      </w:pPr>
    </w:p>
    <w:bookmarkStart w:id="7" w:name="page8"/>
    <w:bookmarkEnd w:id="7"/>
    <w:p>
      <w:pPr>
        <w:ind w:left="1380"/>
        <w:spacing w:after="0"/>
        <w:rPr>
          <w:sz w:val="20"/>
          <w:szCs w:val="20"/>
          <w:color w:val="auto"/>
        </w:rPr>
      </w:pPr>
      <w:r>
        <w:rPr>
          <w:rFonts w:ascii="Courier New" w:cs="Courier New" w:eastAsia="Courier New" w:hAnsi="Courier New"/>
          <w:sz w:val="18"/>
          <w:szCs w:val="18"/>
          <w:color w:val="auto"/>
        </w:rPr>
        <w:t>THE SCOTTS COMPANY AND SUBSIDIARIES</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right="4199" w:firstLine="316"/>
        <w:spacing w:after="0" w:line="235" w:lineRule="auto"/>
        <w:rPr>
          <w:sz w:val="20"/>
          <w:szCs w:val="20"/>
          <w:color w:val="auto"/>
        </w:rPr>
      </w:pPr>
      <w:r>
        <w:rPr>
          <w:rFonts w:ascii="Courier New" w:cs="Courier New" w:eastAsia="Courier New" w:hAnsi="Courier New"/>
          <w:sz w:val="18"/>
          <w:szCs w:val="18"/>
          <w:color w:val="auto"/>
        </w:rPr>
        <w:t>Maturities of term debt for the next five years are as follows:</w:t>
      </w:r>
    </w:p>
    <w:p>
      <w:pPr>
        <w:ind w:left="32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Fiscal Year</w:t>
            </w:r>
          </w:p>
        </w:tc>
        <w:tc>
          <w:tcPr>
            <w:tcW w:w="10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$ 14,629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thereafter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243,500</w:t>
            </w:r>
          </w:p>
        </w:tc>
      </w:tr>
    </w:tbl>
    <w:p>
      <w:pPr>
        <w:spacing w:after="0" w:line="201"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6"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effective tax rate for the quarter and the year-to-date has been adjusted to reflect the anticipated annual effective tax rate. The principal difference in the effective tax rate from prior quarters relate to the effects of goodwill in the Miracle-Gro acquisition and the effect of the disposition of the Peters line of consumer water soluble fertilizers. See Note 8.</w:t>
      </w: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6"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3"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$264,000 at July 1, 1995.</w:t>
      </w:r>
    </w:p>
    <w:p>
      <w:pPr>
        <w:spacing w:after="0" w:line="212" w:lineRule="exact"/>
        <w:rPr>
          <w:rFonts w:ascii="Courier New" w:cs="Courier New" w:eastAsia="Courier New" w:hAnsi="Courier New"/>
          <w:sz w:val="18"/>
          <w:szCs w:val="18"/>
          <w:color w:val="auto"/>
        </w:rPr>
      </w:pPr>
    </w:p>
    <w:p>
      <w:pPr>
        <w:ind w:left="320" w:right="4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 July 1, 1995, the Company's European operations had foreign exchange risk in various European currencies tied to the Dutch guilder. These currencies are: the Australian Dollar, Belgian Franc, German Mark, Spanish Peseta, French Franc, British Pound and the U. S. Dollar. The Company's U. S. operations have foreign exchange rate risk in the Canadian Dollar, the Dutch Guilder and the British Pound which are tied to the U. S. Dollar. As of July 1, 1995, the Company had outstanding forward foreign exchange contracts with a contract value of approximately $8.2 million and outstanding purchased currency options with a contract value of approximately $1.2 million. These contracts have maturity dates ranging from July 13, 1995 to August 1, 1995.</w:t>
      </w:r>
    </w:p>
    <w:p>
      <w:pPr>
        <w:spacing w:after="0" w:line="380"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6" w:lineRule="exact"/>
        <w:rPr>
          <w:rFonts w:ascii="Courier New" w:cs="Courier New" w:eastAsia="Courier New" w:hAnsi="Courier New"/>
          <w:sz w:val="18"/>
          <w:szCs w:val="18"/>
          <w:color w:val="auto"/>
        </w:rPr>
      </w:pPr>
    </w:p>
    <w:p>
      <w:pPr>
        <w:ind w:left="3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July 28, 1995, the Company divested its Peters U. S. consumer water-soluble fertilizer business for approximately $10 million. The transaction is pursuant to a FTC consent order which the Company entered into in connection with its merger with Miracle-Gro.</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ind w:left="320" w:right="4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w:t>
      </w:r>
    </w:p>
    <w:p>
      <w:pPr>
        <w:sectPr>
          <w:pgSz w:w="11900" w:h="16838" w:orient="portrait"/>
          <w:cols w:equalWidth="0" w:num="1">
            <w:col w:w="10219"/>
          </w:cols>
          <w:pgMar w:left="240" w:top="339" w:right="1440" w:bottom="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SCOTTS COMPANY AND SUBSIDIARIES</w:t>
      </w:r>
    </w:p>
    <w:p>
      <w:pPr>
        <w:ind w:left="74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100" w:right="3999"/>
        <w:spacing w:after="0" w:line="237" w:lineRule="auto"/>
        <w:rPr>
          <w:sz w:val="20"/>
          <w:szCs w:val="20"/>
          <w:color w:val="auto"/>
        </w:rPr>
      </w:pPr>
      <w:r>
        <w:rPr>
          <w:rFonts w:ascii="Courier New" w:cs="Courier New" w:eastAsia="Courier New" w:hAnsi="Courier New"/>
          <w:sz w:val="18"/>
          <w:szCs w:val="18"/>
          <w:color w:val="auto"/>
        </w:rPr>
        <w:t>result of operations, however, there can be no assurance that future quarterly or annual operating results will not be materially affected by final resolution of these matters. The following details the more significant of these matters.</w:t>
      </w:r>
    </w:p>
    <w:p>
      <w:pPr>
        <w:spacing w:after="0" w:line="209" w:lineRule="exact"/>
        <w:rPr>
          <w:sz w:val="20"/>
          <w:szCs w:val="20"/>
          <w:color w:val="auto"/>
        </w:rPr>
      </w:pPr>
    </w:p>
    <w:p>
      <w:pPr>
        <w:ind w:left="100" w:right="4099"/>
        <w:spacing w:after="0" w:line="270" w:lineRule="auto"/>
        <w:rPr>
          <w:sz w:val="20"/>
          <w:szCs w:val="20"/>
          <w:color w:val="auto"/>
        </w:rPr>
      </w:pPr>
      <w:r>
        <w:rPr>
          <w:rFonts w:ascii="Courier New" w:cs="Courier New" w:eastAsia="Courier New" w:hAnsi="Courier New"/>
          <w:sz w:val="16"/>
          <w:szCs w:val="16"/>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189" w:lineRule="exact"/>
        <w:rPr>
          <w:sz w:val="20"/>
          <w:szCs w:val="20"/>
          <w:color w:val="auto"/>
        </w:rPr>
      </w:pPr>
    </w:p>
    <w:p>
      <w:pPr>
        <w:ind w:left="100" w:right="3999"/>
        <w:spacing w:after="0" w:line="238" w:lineRule="auto"/>
        <w:rPr>
          <w:sz w:val="20"/>
          <w:szCs w:val="20"/>
          <w:color w:val="auto"/>
        </w:rPr>
      </w:pPr>
      <w:r>
        <w:rPr>
          <w:rFonts w:ascii="Courier New" w:cs="Courier New" w:eastAsia="Courier New" w:hAnsi="Courier New"/>
          <w:sz w:val="18"/>
          <w:szCs w:val="18"/>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211"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189"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207" w:lineRule="exact"/>
        <w:rPr>
          <w:sz w:val="20"/>
          <w:szCs w:val="20"/>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An action was commenced against Miracle-Gro on March 2, 1995 in a U. S. District Court in Alabama by Pursell Industries. This action alleges, among other things, that Miracle-Gro breached an alleged joint venture contract with the Plaintiff, committed fraud and breached an alleged fiduciary duty owed to the Plaintiff by not informing it of the negotiations concerning the merger</w:t>
      </w:r>
    </w:p>
    <w:p>
      <w:pPr>
        <w:sectPr>
          <w:pgSz w:w="11900" w:h="16838" w:orient="portrait"/>
          <w:cols w:equalWidth="0" w:num="1">
            <w:col w:w="9999"/>
          </w:cols>
          <w:pgMar w:left="460" w:top="339" w:right="1440" w:bottom="0" w:gutter="0" w:footer="0" w:header="0"/>
        </w:sectPr>
      </w:pPr>
    </w:p>
    <w:bookmarkStart w:id="9" w:name="page10"/>
    <w:bookmarkEnd w:id="9"/>
    <w:p>
      <w:pPr>
        <w:ind w:left="220" w:right="3999"/>
        <w:spacing w:after="0" w:line="270" w:lineRule="auto"/>
        <w:rPr>
          <w:sz w:val="20"/>
          <w:szCs w:val="20"/>
          <w:color w:val="auto"/>
        </w:rPr>
      </w:pPr>
      <w:r>
        <w:rPr>
          <w:rFonts w:ascii="Courier New" w:cs="Courier New" w:eastAsia="Courier New" w:hAnsi="Courier New"/>
          <w:sz w:val="16"/>
          <w:szCs w:val="16"/>
          <w:color w:val="auto"/>
        </w:rPr>
        <w:t>with The Scotts Company described in Note 2. The Plaintiff seeks compensatory and punitive damages in excess of $10 million. Prior to that, Miracle-Gro had filed suit in New York seeking a declatory judgment there was no enforceable joint venture agreement. The cases are presently in discovery and there are several motions pending. The Company does not believe the Alabama action has any merit and intends to defend it vigorously. The financial statements do not include any adjustments that might result from the outcome of this litigation.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Three Months Ended July 1, 1995, versus Three Months Ended July 2, 1994</w:t>
      </w:r>
    </w:p>
    <w:p>
      <w:pPr>
        <w:spacing w:after="0" w:line="208"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Net sales increased 14% to $229,028,000 primarily due to increased volume. The increase included $15,107,000 of sales from Miracle-Gro which merged with the Company on May 19, 1995. Net sales for the Consumer Business Group increased by 5.2% to $157,980,000 due to sales volume increases primarily in the organics product line. Commercial Business Group (previously referred to as the Professional Business Group) sales of $39,265,000 increased by approximately 8.1% resulting from sales volume increases in all product lines. International sales increased 15.3% to $16,576,000 due to increased volume (approximately 6.1%) reflecting the introduction of Scotts products in the international distribution network. In addition, International sales increased approximately 9.2% due to favorable exchange rates.</w:t>
      </w:r>
    </w:p>
    <w:p>
      <w:pPr>
        <w:spacing w:after="0" w:line="208"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Cost of sales for the three months ended July 1, 1995 was 52.6% of net sales, a slight increase over cost of sales for the three months ended July 2, 1994, which was 52% of net sales. The increase was partially attributable to sales mix which reflected increased volume in lower margin organic products.</w:t>
      </w:r>
    </w:p>
    <w:p>
      <w:pPr>
        <w:spacing w:after="0" w:line="210" w:lineRule="exact"/>
        <w:rPr>
          <w:sz w:val="20"/>
          <w:szCs w:val="20"/>
          <w:color w:val="auto"/>
        </w:rPr>
      </w:pPr>
    </w:p>
    <w:p>
      <w:pPr>
        <w:ind w:right="3999"/>
        <w:spacing w:after="0" w:line="270" w:lineRule="auto"/>
        <w:rPr>
          <w:sz w:val="20"/>
          <w:szCs w:val="20"/>
          <w:color w:val="auto"/>
        </w:rPr>
      </w:pPr>
      <w:r>
        <w:rPr>
          <w:rFonts w:ascii="Courier New" w:cs="Courier New" w:eastAsia="Courier New" w:hAnsi="Courier New"/>
          <w:sz w:val="16"/>
          <w:szCs w:val="16"/>
          <w:color w:val="auto"/>
        </w:rPr>
        <w:t>Operating expenses increased by approximately 13.9% partially due to the inclusion of Miracle-Gro operating expenses in the 1995 quarter (5.2% of the overall 13.9% increase). Marketing cost increased 18.6% due to increased spending for promotion programs to support the Scotts brand and increased sales volume. Distribution costs increased 16.2% due to increased sales volume, higher warehousing and storage costs and to a lesser extent higher freight rates. These increases were partially offset by lower general and administrative expenses (5.6%) and research and development expenses (10.6%) primarily due to synergies achieved from the integration of Sierra.</w:t>
      </w:r>
    </w:p>
    <w:p>
      <w:pPr>
        <w:spacing w:after="0" w:line="391"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Interest expense increased approximately 44%. The increase was attributable to higher interest rates (29%) and higher borrowings (15%).</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Net income of $10,545,000 increased by $1,140,000 or approximately 12.1%, partially attributable to the inclusion of Miracle-Gro income, operating synergies of the Sierra acquisition and a lower effective tax rate as discussed in Footnote No. 6 to the Company's Consolidated Financial Statements on page 9.</w:t>
      </w:r>
    </w:p>
    <w:p>
      <w:pPr>
        <w:spacing w:after="0" w:line="210"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Nine Months Ended July 1, 1995 versus Nine Months Ended July 2, 1994</w:t>
      </w:r>
    </w:p>
    <w:p>
      <w:pPr>
        <w:spacing w:after="0" w:line="208" w:lineRule="exact"/>
        <w:rPr>
          <w:sz w:val="20"/>
          <w:szCs w:val="20"/>
          <w:color w:val="auto"/>
        </w:rPr>
      </w:pPr>
    </w:p>
    <w:p>
      <w:pPr>
        <w:ind w:right="3899"/>
        <w:spacing w:after="0" w:line="275" w:lineRule="auto"/>
        <w:rPr>
          <w:sz w:val="20"/>
          <w:szCs w:val="20"/>
          <w:color w:val="auto"/>
        </w:rPr>
      </w:pPr>
      <w:r>
        <w:rPr>
          <w:rFonts w:ascii="Courier New" w:cs="Courier New" w:eastAsia="Courier New" w:hAnsi="Courier New"/>
          <w:sz w:val="16"/>
          <w:szCs w:val="16"/>
          <w:color w:val="auto"/>
        </w:rPr>
        <w:t>Net sales increased to $563,139,000, up approximately 18.1%. Net sales included net sales for Sierra, which was acquired by Scotts on December 16, 1993. On a pro forma basis, including net sales of Sierra from October 1, 1993, net</w:t>
      </w:r>
    </w:p>
    <w:p>
      <w:pPr>
        <w:sectPr>
          <w:pgSz w:w="11900" w:h="16838" w:orient="portrait"/>
          <w:cols w:equalWidth="0" w:num="1">
            <w:col w:w="10219"/>
          </w:cols>
          <w:pgMar w:left="240" w:top="142" w:right="1440" w:bottom="0" w:gutter="0" w:footer="0" w:header="0"/>
        </w:sectPr>
      </w:pPr>
    </w:p>
    <w:bookmarkStart w:id="10" w:name="page11"/>
    <w:bookmarkEnd w:id="10"/>
    <w:p>
      <w:pPr>
        <w:ind w:right="3899"/>
        <w:spacing w:after="0" w:line="269" w:lineRule="auto"/>
        <w:rPr>
          <w:sz w:val="20"/>
          <w:szCs w:val="20"/>
          <w:color w:val="auto"/>
        </w:rPr>
      </w:pPr>
      <w:r>
        <w:rPr>
          <w:rFonts w:ascii="Courier New" w:cs="Courier New" w:eastAsia="Courier New" w:hAnsi="Courier New"/>
          <w:sz w:val="16"/>
          <w:szCs w:val="16"/>
          <w:color w:val="auto"/>
        </w:rPr>
        <w:t>sales for the nine months ended July 1, 1995 would have increased by $65,648,000 or approximately 13.2%. The net sales increase also included $15,107,000 of sales from Miracle-Gro which merged with the Company on May 19, 1995. Consumer Business Group net sales increased by approximately 12.3% to $395,703,000 resulting primarily from increased sales volume. Increased demand in lawn fertilizers and organics and to a lesser extent, demand for seed and spreaders contributed to the increase. Commercial Business Group sales of $101,781,000 increased by 13.2%, due to the inclusion of net sales for Sierra. International sales increased by 47.2% to $50,548,000 due to gains in these markets combined with positive impact resulting from the introduction of Scotts products into the international distribution network (approximately 17.6%), the inclusion of Sierra net sales for the full period in 1995 (23.3%) and favorable exchange rates (approximately 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Cost of sales represents 52.9% of net sales, a slight increase compared to cost of sales for the nine months ended July 2, 1994 which represented 52.7% of net sales.</w:t>
      </w:r>
    </w:p>
    <w:p>
      <w:pPr>
        <w:spacing w:after="0" w:line="209" w:lineRule="exact"/>
        <w:rPr>
          <w:sz w:val="20"/>
          <w:szCs w:val="20"/>
          <w:color w:val="auto"/>
        </w:rPr>
      </w:pPr>
    </w:p>
    <w:p>
      <w:pPr>
        <w:ind w:right="3999"/>
        <w:spacing w:after="0" w:line="238" w:lineRule="auto"/>
        <w:rPr>
          <w:sz w:val="20"/>
          <w:szCs w:val="20"/>
          <w:color w:val="auto"/>
        </w:rPr>
      </w:pPr>
      <w:r>
        <w:rPr>
          <w:rFonts w:ascii="Courier New" w:cs="Courier New" w:eastAsia="Courier New" w:hAnsi="Courier New"/>
          <w:sz w:val="18"/>
          <w:szCs w:val="18"/>
          <w:color w:val="auto"/>
        </w:rPr>
        <w:t>Operating expenses increased approximately 17.8% which was proportional to the sales increase. The increase was partially due to the inclusion of operating expenses of the acquired companies (approximately 7.7%). Marketing cost increased 21.4% due to increased marketing spending for promotion programs reflecting a continuing commitment to supporting the Scotts brand and increased sales volume. Distribution expenses increased 21.2% related to higher sales volume, higher warehousing and storage costs, and slightly higher freight rates. These increases were partially offset by lower general and administrative expenses, and research and development expenses due to synergies achieved from the integration of Sierra. These synergies were partially offset by the full year-to-date amortization of Sierra intangibles and goodwill.</w:t>
      </w:r>
    </w:p>
    <w:p>
      <w:pPr>
        <w:spacing w:after="0" w:line="208"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Interest expense increased approximately 67.8%. The increase was caused by higher interest rates on the floating-rate bank debt and the 9 7/8% Senior Subordinated notes compared with the floating rate bank debt the notes replaced (42.0%), borrowings to fund the Sierra acquisition (12.2%), which were outstanding for the full nine months ended</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July 1, 1995 compared to six and one-half months for the previous period, and an increase in borrowing levels (13.6%) principally to support higher working capital and capital expenditures.</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Net income of $22,222,000 increased by $1,361,000 partially attributable to the inclusion of Miracle-Gro income, operating synergies of the Sierra acquisition and a lower effective tax rate as discussed in Footnote No. 6 to the Company's Consolidated Financial Statements on page 9, partially offset by higher marketing and distribution costs and increased interest expense.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July 1, 1995</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Cash flow from operations was $25,652,000, an increase of 31.4% over the 1994 period.</w:t>
      </w:r>
    </w:p>
    <w:p>
      <w:pPr>
        <w:spacing w:after="0" w:line="208"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Current assets of $329,369,000 increased by $79,115,000 compared with September 30, 1994, and by $107,266,000 compared with July 2, 1994. The increase was partially attributable to the inclusion of Miracle-Gro's current assets this year which amounted to $36,098,000. The increase was also caused by higher accounts receivable associated with year-to-year sales increases and higher inventory levels due in part to favorable raw material purchasing opportunities and production of finished goods to support fall sales plans.</w:t>
      </w:r>
    </w:p>
    <w:p>
      <w:pPr>
        <w:sectPr>
          <w:pgSz w:w="11900" w:h="16838" w:orient="portrait"/>
          <w:cols w:equalWidth="0" w:num="1">
            <w:col w:w="10219"/>
          </w:cols>
          <w:pgMar w:left="240" w:top="142" w:right="1440" w:bottom="0" w:gutter="0" w:footer="0" w:header="0"/>
        </w:sectPr>
      </w:pPr>
    </w:p>
    <w:bookmarkStart w:id="11" w:name="page12"/>
    <w:bookmarkEnd w:id="11"/>
    <w:p>
      <w:pPr>
        <w:ind w:right="3899"/>
        <w:spacing w:after="0" w:line="270" w:lineRule="auto"/>
        <w:rPr>
          <w:sz w:val="20"/>
          <w:szCs w:val="20"/>
          <w:color w:val="auto"/>
        </w:rPr>
      </w:pPr>
      <w:r>
        <w:rPr>
          <w:rFonts w:ascii="Courier New" w:cs="Courier New" w:eastAsia="Courier New" w:hAnsi="Courier New"/>
          <w:sz w:val="16"/>
          <w:szCs w:val="16"/>
          <w:color w:val="auto"/>
        </w:rPr>
        <w:t>Current liabilities of $134,672,000 increased by $24,984,000 compared with September 30, 1994 and by $34,723,000 compared with July 2, 1994. The increase was partially attributable to the inclusion of Miracle-Gro's current liabilities this year which amounted to $27,707,000. The increase was also caused by higher levels of trade payables reflecting business growth. The increase was primarily offset by a decrease in short-term debt due to the terms of the Fourth Amended and Restated Credit Agreement ("the Agreement") dated as of March 17, 1995 entered into by the Company with Chemical Bank and various participating banks which requires the Company to reduce revolving credit borrowing to no more than $225,000,000 for 30 consecutive days each year as compared to $30,000,000 prior to the amendment.</w:t>
      </w:r>
    </w:p>
    <w:p>
      <w:pPr>
        <w:spacing w:after="0" w:line="388"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Capital expenditures for the year ending September 30, 1995 are expected to be approximately $23,000,000, including capital expenditures of Miracle-Gro, which will be financed with cash provided by operations and utilization of existing credit facilities.</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Long-term debt increased by $22,911,000 compared with September 30, 1994 and increased by $45,041,000 compared with July 2, 1994. The increase compared with September 30, 1994 was primarily caused by the change in terms of borrowings under the amended credit agreement discussed above. The increase compared with July 2, 1994 is due to the change in borrowing terms and an increase in borrowings to support increased working capital and capital expenditures.</w:t>
      </w: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99"/>
        <w:spacing w:after="0" w:line="238" w:lineRule="auto"/>
        <w:rPr>
          <w:sz w:val="20"/>
          <w:szCs w:val="20"/>
          <w:color w:val="auto"/>
        </w:rPr>
      </w:pPr>
      <w:r>
        <w:rPr>
          <w:rFonts w:ascii="Courier New" w:cs="Courier New" w:eastAsia="Courier New" w:hAnsi="Courier New"/>
          <w:sz w:val="18"/>
          <w:szCs w:val="18"/>
          <w:color w:val="auto"/>
        </w:rPr>
        <w:t>Shareholders' equity increased $216,101,000 compared with September 30, 1994 due to the issuance of convertible preferred stock with a fair value of $177,255,000 and warrants with a fair value of $14,434,000 for the merger with Miracle-Gro, as discussed in Footnote No. 2 to the Company's Consolidated Financial Statements on pages 6 and 7, net income of $22,222,000 for the nine months ended July 1, 1995, partially offset by convertible preferred stock dividends of $1,122,000 and to the change in the cumulative foreign currency adjustment related to the translation of the assets and liabilities of foreign subsidiaries to U. S. dollars. Shareholders equity increased $218,519,000 compared with July 2, 1994 due to the issuance of convertible preferred stock and warrants as discussed above and income of $24,244,000 reduced by convertible preferred stock dividends of $1,122,000 and the change in the cumulative foreign currency adjustment related to the translation of the assets and liabilities of foreign subsidiaries to U. S. dollars.</w:t>
      </w:r>
    </w:p>
    <w:p>
      <w:pPr>
        <w:spacing w:after="0" w:line="210"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The Credit Agreement was amended in March 1995. As amended, the Credit Agreement provides, on an unsecured basis, up to $375 million through March 31, 2000, and does not contain a term loan facility. Additional information on the Credit Agreement is described in Footnote No. 5 on page 8 of this report.</w:t>
      </w:r>
    </w:p>
    <w:p>
      <w:pPr>
        <w:spacing w:after="0" w:line="212"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The Company has foreign exchange rate risk related to international earnings and cash flows. A management program was designed to minimize the exposure to adverse currency impacts on the cash value of the Company's non-local currency receivables and payables, as well as the associated earnings impact. Beginning in January 1995, the Company entered into forward foreign exchange contracts and purchased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w:t>
      </w:r>
    </w:p>
    <w:p>
      <w:pPr>
        <w:sectPr>
          <w:pgSz w:w="11900" w:h="16838" w:orient="portrait"/>
          <w:cols w:equalWidth="0" w:num="1">
            <w:col w:w="10219"/>
          </w:cols>
          <w:pgMar w:left="240" w:top="344" w:right="1440" w:bottom="0" w:gutter="0" w:footer="0" w:header="0"/>
        </w:sectPr>
      </w:pPr>
    </w:p>
    <w:bookmarkStart w:id="12" w:name="page13"/>
    <w:bookmarkEnd w:id="12"/>
    <w:p>
      <w:pPr>
        <w:ind w:right="4099"/>
        <w:spacing w:after="0" w:line="236" w:lineRule="auto"/>
        <w:rPr>
          <w:sz w:val="20"/>
          <w:szCs w:val="20"/>
          <w:color w:val="auto"/>
        </w:rPr>
      </w:pPr>
      <w:r>
        <w:rPr>
          <w:rFonts w:ascii="Courier New" w:cs="Courier New" w:eastAsia="Courier New" w:hAnsi="Courier New"/>
          <w:sz w:val="18"/>
          <w:szCs w:val="18"/>
          <w:color w:val="auto"/>
        </w:rPr>
        <w:t>however, that the program will minimize but not completely eliminate the Company's exposure to adverse currency movements.</w:t>
      </w:r>
    </w:p>
    <w:p>
      <w:pPr>
        <w:spacing w:after="0" w:line="209" w:lineRule="exact"/>
        <w:rPr>
          <w:sz w:val="20"/>
          <w:szCs w:val="20"/>
          <w:color w:val="auto"/>
        </w:rPr>
      </w:pPr>
    </w:p>
    <w:p>
      <w:pPr>
        <w:ind w:right="3899"/>
        <w:spacing w:after="0" w:line="270" w:lineRule="auto"/>
        <w:rPr>
          <w:sz w:val="20"/>
          <w:szCs w:val="20"/>
          <w:color w:val="auto"/>
        </w:rPr>
      </w:pPr>
      <w:r>
        <w:rPr>
          <w:rFonts w:ascii="Courier New" w:cs="Courier New" w:eastAsia="Courier New" w:hAnsi="Courier New"/>
          <w:sz w:val="16"/>
          <w:szCs w:val="16"/>
          <w:color w:val="auto"/>
        </w:rPr>
        <w:t>As of July 1, 1995, the Company's European operations had foreign exchange risk in various European currencies tied to the Dutch guilder. These currencies are: the Australian Dollar, Belgian Franc, German Mark, Spanish Peseta, French Franc, British Pound and the U. S. Dollar. The Company's U.S. operations have foreign exchange rate risk in the Canadian Dollar, Dutch Guilder and the British Pound which are tied to the U.S. Dollar. As of July 1, 1995, outstanding foreign exchange forward contracts had a contract value of approximately $8.2 million and outstanding purchased currency options had a contract value of approximately $1.2 million. These contracts have maturity dates ranging from July 13, 1995 to August 1, 1995.</w:t>
      </w:r>
    </w:p>
    <w:p>
      <w:pPr>
        <w:spacing w:after="0" w:line="389"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The merger with Miracle-Gro and its affiliated companies is described in Footnote No. 2 to the Company's Consolidated Financial Statements on pages 6 and 7 of this Report. Any additional working capital needs resulting from this transaction are expected to be financed through funds available under the amended credit agreement.</w:t>
      </w:r>
    </w:p>
    <w:p>
      <w:pPr>
        <w:spacing w:after="0" w:line="18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future debt service and working capital needs.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In March 1995 the Financial Accounting Standards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540" w:right="4199"/>
        <w:spacing w:after="0" w:line="236" w:lineRule="auto"/>
        <w:rPr>
          <w:sz w:val="20"/>
          <w:szCs w:val="20"/>
          <w:color w:val="auto"/>
        </w:rPr>
      </w:pPr>
      <w:r>
        <w:rPr>
          <w:rFonts w:ascii="Courier New" w:cs="Courier New" w:eastAsia="Courier New" w:hAnsi="Courier New"/>
          <w:sz w:val="18"/>
          <w:szCs w:val="18"/>
          <w:color w:val="auto"/>
        </w:rPr>
        <w:t>Please see the information provided in Footnote 9 on pages 9-10 of this Report, which information is incorporated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280" w:right="3159" w:hanging="745"/>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16 for a list of the exhibits included herewith.</w:t>
      </w:r>
    </w:p>
    <w:p>
      <w:pPr>
        <w:spacing w:after="0" w:line="208" w:lineRule="exact"/>
        <w:rPr>
          <w:rFonts w:ascii="Courier New" w:cs="Courier New" w:eastAsia="Courier New" w:hAnsi="Courier New"/>
          <w:sz w:val="18"/>
          <w:szCs w:val="18"/>
          <w:color w:val="auto"/>
        </w:rPr>
      </w:pPr>
    </w:p>
    <w:p>
      <w:pPr>
        <w:ind w:left="1280" w:right="3159" w:hanging="745"/>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 1995 Scotts filed a Form 8-K to report the acquisition of Miracle-Gro. On August 2, 1995 Scotts filed a Form 8-K/A to include the financial statements specified by Rules 3-05 and 11-01 of Regulation S-X and Items 7(a) and 7(b) of Form 8-K.</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142" w:right="1440" w:bottom="335"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1995</w:t>
      </w:r>
    </w:p>
    <w:p>
      <w:pPr>
        <w:ind w:left="3580"/>
        <w:spacing w:after="0" w:line="238" w:lineRule="auto"/>
        <w:tabs>
          <w:tab w:leader="none" w:pos="4100" w:val="left"/>
        </w:tabs>
        <w:rPr>
          <w:sz w:val="20"/>
          <w:szCs w:val="20"/>
          <w:color w:val="auto"/>
        </w:rPr>
      </w:pPr>
      <w:r>
        <w:rPr>
          <w:rFonts w:ascii="Courier New" w:cs="Courier New" w:eastAsia="Courier New" w:hAnsi="Courier New"/>
          <w:sz w:val="18"/>
          <w:szCs w:val="18"/>
          <w:color w:val="auto"/>
        </w:rPr>
        <w:t>/s/</w:t>
        <w:tab/>
        <w:t>Paul D. Yeager</w:t>
      </w:r>
    </w:p>
    <w:p>
      <w:pPr>
        <w:ind w:left="4120"/>
        <w:spacing w:after="0"/>
        <w:rPr>
          <w:sz w:val="20"/>
          <w:szCs w:val="20"/>
          <w:color w:val="auto"/>
        </w:rPr>
      </w:pPr>
      <w:r>
        <w:rPr>
          <w:rFonts w:ascii="Courier New" w:cs="Courier New" w:eastAsia="Courier New" w:hAnsi="Courier New"/>
          <w:sz w:val="18"/>
          <w:szCs w:val="18"/>
          <w:color w:val="auto"/>
        </w:rPr>
        <w:t>Paul D. Yeager</w:t>
      </w:r>
    </w:p>
    <w:p>
      <w:pPr>
        <w:ind w:left="41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120"/>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QUARTERLY REPORT ON FORM 10-Q FOR</w:t>
      </w:r>
    </w:p>
    <w:p>
      <w:pPr>
        <w:ind w:left="1480"/>
        <w:spacing w:after="0" w:line="238" w:lineRule="auto"/>
        <w:rPr>
          <w:sz w:val="20"/>
          <w:szCs w:val="20"/>
          <w:color w:val="auto"/>
        </w:rPr>
      </w:pPr>
      <w:r>
        <w:rPr>
          <w:rFonts w:ascii="Courier New" w:cs="Courier New" w:eastAsia="Courier New" w:hAnsi="Courier New"/>
          <w:sz w:val="18"/>
          <w:szCs w:val="18"/>
          <w:color w:val="auto"/>
        </w:rPr>
        <w:t>FISCAL QUARTER ENDED JULY 1, 1995</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3740" w:type="dxa"/>
            <w:vAlign w:val="bottom"/>
          </w:tcPr>
          <w:p>
            <w:pPr>
              <w:spacing w:after="0"/>
              <w:rPr>
                <w:sz w:val="17"/>
                <w:szCs w:val="17"/>
                <w:color w:val="auto"/>
              </w:rPr>
            </w:pPr>
          </w:p>
        </w:tc>
        <w:tc>
          <w:tcPr>
            <w:tcW w:w="120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Number</w:t>
            </w:r>
          </w:p>
        </w:tc>
        <w:tc>
          <w:tcPr>
            <w:tcW w:w="37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Description</w:t>
            </w:r>
          </w:p>
        </w:tc>
        <w:tc>
          <w:tcPr>
            <w:tcW w:w="12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5"/>
              </w:rPr>
              <w:t>Number</w:t>
            </w:r>
          </w:p>
        </w:tc>
      </w:tr>
      <w:tr>
        <w:trPr>
          <w:trHeight w:val="608"/>
        </w:trPr>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rPr>
              <w:t>11</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Computation of Net Income Per</w:t>
            </w:r>
          </w:p>
        </w:tc>
        <w:tc>
          <w:tcPr>
            <w:tcW w:w="1200" w:type="dxa"/>
            <w:vAlign w:val="bottom"/>
          </w:tcPr>
          <w:p>
            <w:pPr>
              <w:jc w:val="center"/>
              <w:ind w:left="492"/>
              <w:spacing w:after="0"/>
              <w:rPr>
                <w:sz w:val="20"/>
                <w:szCs w:val="20"/>
                <w:color w:val="auto"/>
              </w:rPr>
            </w:pPr>
            <w:r>
              <w:rPr>
                <w:rFonts w:ascii="Courier New" w:cs="Courier New" w:eastAsia="Courier New" w:hAnsi="Courier New"/>
                <w:sz w:val="18"/>
                <w:szCs w:val="18"/>
                <w:color w:val="auto"/>
              </w:rPr>
              <w:t>17</w:t>
            </w:r>
          </w:p>
        </w:tc>
      </w:tr>
      <w:tr>
        <w:trPr>
          <w:trHeight w:val="203"/>
        </w:trPr>
        <w:tc>
          <w:tcPr>
            <w:tcW w:w="840" w:type="dxa"/>
            <w:vAlign w:val="bottom"/>
          </w:tcPr>
          <w:p>
            <w:pPr>
              <w:spacing w:after="0"/>
              <w:rPr>
                <w:sz w:val="17"/>
                <w:szCs w:val="17"/>
                <w:color w:val="auto"/>
              </w:rPr>
            </w:pPr>
          </w:p>
        </w:tc>
        <w:tc>
          <w:tcPr>
            <w:tcW w:w="3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Share</w:t>
            </w:r>
          </w:p>
        </w:tc>
        <w:tc>
          <w:tcPr>
            <w:tcW w:w="1200" w:type="dxa"/>
            <w:vAlign w:val="bottom"/>
          </w:tcPr>
          <w:p>
            <w:pPr>
              <w:spacing w:after="0"/>
              <w:rPr>
                <w:sz w:val="17"/>
                <w:szCs w:val="17"/>
                <w:color w:val="auto"/>
              </w:rPr>
            </w:pPr>
          </w:p>
        </w:tc>
      </w:tr>
      <w:tr>
        <w:trPr>
          <w:trHeight w:val="405"/>
        </w:trPr>
        <w:tc>
          <w:tcPr>
            <w:tcW w:w="840" w:type="dxa"/>
            <w:vAlign w:val="bottom"/>
          </w:tcPr>
          <w:p>
            <w:pPr>
              <w:jc w:val="center"/>
              <w:ind w:right="132"/>
              <w:spacing w:after="0"/>
              <w:rPr>
                <w:sz w:val="20"/>
                <w:szCs w:val="20"/>
                <w:color w:val="auto"/>
              </w:rPr>
            </w:pPr>
            <w:r>
              <w:rPr>
                <w:rFonts w:ascii="Courier New" w:cs="Courier New" w:eastAsia="Courier New" w:hAnsi="Courier New"/>
                <w:sz w:val="18"/>
                <w:szCs w:val="18"/>
                <w:color w:val="auto"/>
              </w:rPr>
              <w:t>27</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Financial Data Schedule</w:t>
            </w:r>
          </w:p>
        </w:tc>
        <w:tc>
          <w:tcPr>
            <w:tcW w:w="1200" w:type="dxa"/>
            <w:vAlign w:val="bottom"/>
          </w:tcPr>
          <w:p>
            <w:pPr>
              <w:jc w:val="center"/>
              <w:ind w:left="492"/>
              <w:spacing w:after="0"/>
              <w:rPr>
                <w:sz w:val="20"/>
                <w:szCs w:val="20"/>
                <w:color w:val="auto"/>
              </w:rPr>
            </w:pPr>
            <w:r>
              <w:rPr>
                <w:rFonts w:ascii="Courier New" w:cs="Courier New" w:eastAsia="Courier New" w:hAnsi="Courier New"/>
                <w:sz w:val="18"/>
                <w:szCs w:val="18"/>
                <w:color w:val="auto"/>
              </w:rPr>
              <w:t>18</w:t>
            </w:r>
          </w:p>
        </w:tc>
      </w:tr>
      <w:tr>
        <w:trPr>
          <w:trHeight w:val="810"/>
        </w:trPr>
        <w:tc>
          <w:tcPr>
            <w:tcW w:w="840" w:type="dxa"/>
            <w:vAlign w:val="bottom"/>
          </w:tcPr>
          <w:p>
            <w:pPr>
              <w:spacing w:after="0"/>
              <w:rPr>
                <w:sz w:val="24"/>
                <w:szCs w:val="24"/>
                <w:color w:val="auto"/>
              </w:rPr>
            </w:pPr>
          </w:p>
        </w:tc>
        <w:tc>
          <w:tcPr>
            <w:tcW w:w="3740" w:type="dxa"/>
            <w:vAlign w:val="bottom"/>
          </w:tcPr>
          <w:p>
            <w:pPr>
              <w:ind w:left="1900"/>
              <w:spacing w:after="0"/>
              <w:rPr>
                <w:sz w:val="20"/>
                <w:szCs w:val="20"/>
                <w:color w:val="auto"/>
              </w:rPr>
            </w:pPr>
            <w:r>
              <w:rPr>
                <w:rFonts w:ascii="Courier New" w:cs="Courier New" w:eastAsia="Courier New" w:hAnsi="Courier New"/>
                <w:sz w:val="18"/>
                <w:szCs w:val="18"/>
                <w:color w:val="auto"/>
              </w:rPr>
              <w:t>Page 16</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Exhibit 11(a)</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232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THE SCOTTS COMPANY</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608"/>
        </w:trPr>
        <w:tc>
          <w:tcPr>
            <w:tcW w:w="5600" w:type="dxa"/>
            <w:vAlign w:val="bottom"/>
            <w:gridSpan w:val="5"/>
          </w:tcPr>
          <w:p>
            <w:pPr>
              <w:jc w:val="center"/>
              <w:ind w:left="1072"/>
              <w:spacing w:after="0"/>
              <w:rPr>
                <w:sz w:val="20"/>
                <w:szCs w:val="20"/>
                <w:color w:val="auto"/>
              </w:rPr>
            </w:pPr>
            <w:r>
              <w:rPr>
                <w:rFonts w:ascii="Courier New" w:cs="Courier New" w:eastAsia="Courier New" w:hAnsi="Courier New"/>
                <w:sz w:val="18"/>
                <w:szCs w:val="18"/>
                <w:color w:val="auto"/>
                <w:w w:val="97"/>
              </w:rPr>
              <w:t>Computation of Net Income Per Common Share</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212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Primary (Unaudited)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90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(Dollars in thousands except per share amounts)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For the Three Months</w:t>
            </w:r>
          </w:p>
        </w:tc>
        <w:tc>
          <w:tcPr>
            <w:tcW w:w="100" w:type="dxa"/>
            <w:vAlign w:val="bottom"/>
          </w:tcPr>
          <w:p>
            <w:pPr>
              <w:spacing w:after="0"/>
              <w:rPr>
                <w:sz w:val="24"/>
                <w:szCs w:val="24"/>
                <w:color w:val="auto"/>
              </w:rPr>
            </w:pPr>
          </w:p>
        </w:tc>
        <w:tc>
          <w:tcPr>
            <w:tcW w:w="21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For the Nine Months</w:t>
            </w: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gridSpan w:val="2"/>
          </w:tcPr>
          <w:p>
            <w:pPr>
              <w:jc w:val="center"/>
              <w:ind w:right="852"/>
              <w:spacing w:after="0" w:line="203" w:lineRule="exact"/>
              <w:rPr>
                <w:sz w:val="20"/>
                <w:szCs w:val="20"/>
                <w:color w:val="auto"/>
              </w:rPr>
            </w:pPr>
            <w:r>
              <w:rPr>
                <w:rFonts w:ascii="Courier New" w:cs="Courier New" w:eastAsia="Courier New" w:hAnsi="Courier New"/>
                <w:sz w:val="18"/>
                <w:szCs w:val="18"/>
                <w:color w:val="auto"/>
                <w:w w:val="96"/>
              </w:rPr>
              <w:t>Ended</w:t>
            </w:r>
          </w:p>
        </w:tc>
        <w:tc>
          <w:tcPr>
            <w:tcW w:w="1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July 2</w:t>
            </w:r>
          </w:p>
        </w:tc>
        <w:tc>
          <w:tcPr>
            <w:tcW w:w="54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July 1</w:t>
            </w:r>
          </w:p>
        </w:tc>
        <w:tc>
          <w:tcPr>
            <w:tcW w:w="10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July 2</w:t>
            </w:r>
          </w:p>
        </w:tc>
        <w:tc>
          <w:tcPr>
            <w:tcW w:w="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July 1</w:t>
            </w:r>
          </w:p>
        </w:tc>
      </w:tr>
      <w:tr>
        <w:trPr>
          <w:trHeight w:val="203"/>
        </w:trPr>
        <w:tc>
          <w:tcPr>
            <w:tcW w:w="2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1994</w:t>
            </w:r>
          </w:p>
        </w:tc>
        <w:tc>
          <w:tcPr>
            <w:tcW w:w="5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Net income for computing</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9,405</w:t>
            </w:r>
          </w:p>
        </w:tc>
        <w:tc>
          <w:tcPr>
            <w:tcW w:w="5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10,545</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20,861</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22,222</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Net income per common share:</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w:t>
            </w:r>
          </w:p>
        </w:tc>
        <w:tc>
          <w:tcPr>
            <w:tcW w:w="5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.45</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1.11</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1.09</w:t>
            </w: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Computation of Weighted Average Number</w:t>
      </w:r>
    </w:p>
    <w:p>
      <w:pPr>
        <w:jc w:val="center"/>
        <w:ind w:right="3459"/>
        <w:spacing w:after="0" w:line="238" w:lineRule="auto"/>
        <w:rPr>
          <w:sz w:val="20"/>
          <w:szCs w:val="20"/>
          <w:color w:val="auto"/>
        </w:rPr>
      </w:pPr>
      <w:r>
        <w:rPr>
          <w:rFonts w:ascii="Courier New" w:cs="Courier New" w:eastAsia="Courier New" w:hAnsi="Courier New"/>
          <w:sz w:val="18"/>
          <w:szCs w:val="18"/>
          <w:color w:val="auto"/>
        </w:rPr>
        <w:t>of Common Shares Outstanding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7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For the Three Months</w:t>
            </w: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For the Nine Months</w:t>
            </w:r>
          </w:p>
        </w:tc>
      </w:tr>
      <w:tr>
        <w:trPr>
          <w:trHeight w:val="203"/>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74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rPr>
              <w:t>Ended</w:t>
            </w:r>
          </w:p>
        </w:tc>
        <w:tc>
          <w:tcPr>
            <w:tcW w:w="1380" w:type="dxa"/>
            <w:vAlign w:val="bottom"/>
          </w:tcPr>
          <w:p>
            <w:pPr>
              <w:spacing w:after="0"/>
              <w:rPr>
                <w:sz w:val="17"/>
                <w:szCs w:val="17"/>
                <w:color w:val="auto"/>
              </w:rPr>
            </w:pP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July 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1</w:t>
            </w:r>
          </w:p>
        </w:tc>
        <w:tc>
          <w:tcPr>
            <w:tcW w:w="138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July 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July 1</w:t>
            </w:r>
          </w:p>
        </w:tc>
      </w:tr>
      <w:tr>
        <w:trPr>
          <w:trHeight w:val="203"/>
        </w:trPr>
        <w:tc>
          <w:tcPr>
            <w:tcW w:w="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Weighted</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average common</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18,667,064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18,667,064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18,661,667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18,667,064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during</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period</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Assuming</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conversion of</w:t>
            </w:r>
          </w:p>
        </w:tc>
        <w:tc>
          <w:tcPr>
            <w:tcW w:w="13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4,561,404</w:t>
            </w:r>
          </w:p>
        </w:tc>
        <w:tc>
          <w:tcPr>
            <w:tcW w:w="13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1,520,468</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Assuming</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exercise of</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options using the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143,719</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351,254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178,562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192,725</w:t>
            </w:r>
          </w:p>
        </w:tc>
      </w:tr>
      <w:tr>
        <w:trPr>
          <w:trHeight w:val="203"/>
        </w:trPr>
        <w:tc>
          <w:tcPr>
            <w:tcW w:w="2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Treasury Stock Method</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Weighted</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average number</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common shares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18,810,783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23,579,722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18,840,229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20,380,257</w:t>
            </w:r>
          </w:p>
        </w:tc>
      </w:tr>
      <w:tr>
        <w:trPr>
          <w:trHeight w:val="203"/>
        </w:trPr>
        <w:tc>
          <w:tcPr>
            <w:tcW w:w="390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outstanding as adjusted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Fully diluted weighted average shares outstanding were not materially different than primary weighted average shares outstanding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3679" w:hanging="532"/>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convertible preferred stock is considered to be a common stock equivalent since its effective yield is less than 66 2/3% of the average Aa corporate bond yield.</w:t>
      </w:r>
    </w:p>
    <w:p>
      <w:pPr>
        <w:sectPr>
          <w:pgSz w:w="11900" w:h="16838" w:orient="portrait"/>
          <w:cols w:equalWidth="0" w:num="1">
            <w:col w:w="10219"/>
          </w:cols>
          <w:pgMar w:left="240" w:top="541" w:right="1440" w:bottom="1440" w:gutter="0" w:footer="0" w:header="0"/>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at July 1, 1995 and statement of income for the nine months ended July 1, 1995 of The Scotts Company and its subsidiaries,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SEP-30-1995</w:t>
      </w:r>
    </w:p>
    <w:p>
      <w:pPr>
        <w:ind w:left="3020"/>
        <w:spacing w:after="0"/>
        <w:rPr>
          <w:sz w:val="20"/>
          <w:szCs w:val="20"/>
          <w:color w:val="auto"/>
        </w:rPr>
      </w:pPr>
      <w:r>
        <w:rPr>
          <w:rFonts w:ascii="Courier New" w:cs="Courier New" w:eastAsia="Courier New" w:hAnsi="Courier New"/>
          <w:sz w:val="18"/>
          <w:szCs w:val="18"/>
          <w:color w:val="auto"/>
        </w:rPr>
        <w:t>OCT-01-1994</w:t>
      </w:r>
    </w:p>
    <w:p>
      <w:pPr>
        <w:ind w:left="3240"/>
        <w:spacing w:after="0" w:line="237" w:lineRule="auto"/>
        <w:rPr>
          <w:sz w:val="20"/>
          <w:szCs w:val="20"/>
          <w:color w:val="auto"/>
        </w:rPr>
      </w:pPr>
      <w:r>
        <w:rPr>
          <w:rFonts w:ascii="Courier New" w:cs="Courier New" w:eastAsia="Courier New" w:hAnsi="Courier New"/>
          <w:sz w:val="18"/>
          <w:szCs w:val="18"/>
          <w:color w:val="auto"/>
        </w:rPr>
        <w:t>JUL-01-1995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400"/>
        <w:spacing w:after="0"/>
        <w:rPr>
          <w:sz w:val="20"/>
          <w:szCs w:val="20"/>
          <w:color w:val="auto"/>
        </w:rPr>
      </w:pPr>
      <w:r>
        <w:rPr>
          <w:rFonts w:ascii="Courier New" w:cs="Courier New" w:eastAsia="Courier New" w:hAnsi="Courier New"/>
          <w:sz w:val="18"/>
          <w:szCs w:val="18"/>
          <w:color w:val="auto"/>
        </w:rPr>
        <w:t>10,672</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146,622</w:t>
      </w:r>
    </w:p>
    <w:p>
      <w:pPr>
        <w:ind w:left="3860"/>
        <w:spacing w:after="0" w:line="237" w:lineRule="auto"/>
        <w:rPr>
          <w:sz w:val="20"/>
          <w:szCs w:val="20"/>
          <w:color w:val="auto"/>
        </w:rPr>
      </w:pPr>
      <w:r>
        <w:rPr>
          <w:rFonts w:ascii="Courier New" w:cs="Courier New" w:eastAsia="Courier New" w:hAnsi="Courier New"/>
          <w:sz w:val="18"/>
          <w:szCs w:val="18"/>
          <w:color w:val="auto"/>
        </w:rPr>
        <w:t>4,313</w:t>
      </w:r>
    </w:p>
    <w:p>
      <w:pPr>
        <w:ind w:left="3760"/>
        <w:spacing w:after="0"/>
        <w:rPr>
          <w:sz w:val="20"/>
          <w:szCs w:val="20"/>
          <w:color w:val="auto"/>
        </w:rPr>
      </w:pPr>
      <w:r>
        <w:rPr>
          <w:rFonts w:ascii="Courier New" w:cs="Courier New" w:eastAsia="Courier New" w:hAnsi="Courier New"/>
          <w:sz w:val="18"/>
          <w:szCs w:val="18"/>
          <w:color w:val="auto"/>
        </w:rPr>
        <w:t>155,550</w:t>
      </w:r>
    </w:p>
    <w:p>
      <w:pPr>
        <w:ind w:left="3240"/>
        <w:spacing w:after="0" w:line="237" w:lineRule="auto"/>
        <w:rPr>
          <w:sz w:val="20"/>
          <w:szCs w:val="20"/>
          <w:color w:val="auto"/>
        </w:rPr>
      </w:pPr>
      <w:r>
        <w:rPr>
          <w:rFonts w:ascii="Courier New" w:cs="Courier New" w:eastAsia="Courier New" w:hAnsi="Courier New"/>
          <w:sz w:val="18"/>
          <w:szCs w:val="18"/>
          <w:color w:val="auto"/>
        </w:rPr>
        <w:t>329,369</w:t>
      </w:r>
    </w:p>
    <w:p>
      <w:pPr>
        <w:ind w:left="4280"/>
        <w:spacing w:after="0" w:line="238" w:lineRule="auto"/>
        <w:rPr>
          <w:sz w:val="20"/>
          <w:szCs w:val="20"/>
          <w:color w:val="auto"/>
        </w:rPr>
      </w:pPr>
      <w:r>
        <w:rPr>
          <w:rFonts w:ascii="Courier New" w:cs="Courier New" w:eastAsia="Courier New" w:hAnsi="Courier New"/>
          <w:sz w:val="18"/>
          <w:szCs w:val="18"/>
          <w:color w:val="auto"/>
        </w:rPr>
        <w:t>224,749</w:t>
      </w:r>
    </w:p>
    <w:p>
      <w:pPr>
        <w:ind w:left="3540"/>
        <w:spacing w:after="0"/>
        <w:rPr>
          <w:sz w:val="20"/>
          <w:szCs w:val="20"/>
          <w:color w:val="auto"/>
        </w:rPr>
      </w:pPr>
      <w:r>
        <w:rPr>
          <w:rFonts w:ascii="Courier New" w:cs="Courier New" w:eastAsia="Courier New" w:hAnsi="Courier New"/>
          <w:sz w:val="18"/>
          <w:szCs w:val="18"/>
          <w:color w:val="auto"/>
        </w:rPr>
        <w:t>79,028</w:t>
      </w:r>
    </w:p>
    <w:p>
      <w:pPr>
        <w:ind w:left="3440"/>
        <w:spacing w:after="0" w:line="237" w:lineRule="auto"/>
        <w:rPr>
          <w:sz w:val="20"/>
          <w:szCs w:val="20"/>
          <w:color w:val="auto"/>
        </w:rPr>
      </w:pPr>
      <w:r>
        <w:rPr>
          <w:rFonts w:ascii="Courier New" w:cs="Courier New" w:eastAsia="Courier New" w:hAnsi="Courier New"/>
          <w:sz w:val="18"/>
          <w:szCs w:val="18"/>
          <w:color w:val="auto"/>
        </w:rPr>
        <w:t>797,159</w:t>
      </w:r>
    </w:p>
    <w:p>
      <w:pPr>
        <w:ind w:left="2700"/>
        <w:spacing w:after="0"/>
        <w:rPr>
          <w:sz w:val="20"/>
          <w:szCs w:val="20"/>
          <w:color w:val="auto"/>
        </w:rPr>
      </w:pPr>
      <w:r>
        <w:rPr>
          <w:rFonts w:ascii="Courier New" w:cs="Courier New" w:eastAsia="Courier New" w:hAnsi="Courier New"/>
          <w:sz w:val="18"/>
          <w:szCs w:val="18"/>
          <w:color w:val="auto"/>
        </w:rPr>
        <w:t>134,672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211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177,255</w:t>
      </w:r>
    </w:p>
    <w:p>
      <w:pPr>
        <w:ind w:left="3860"/>
        <w:spacing w:after="0"/>
        <w:rPr>
          <w:sz w:val="20"/>
          <w:szCs w:val="20"/>
          <w:color w:val="auto"/>
        </w:rPr>
      </w:pPr>
      <w:r>
        <w:rPr>
          <w:rFonts w:ascii="Courier New" w:cs="Courier New" w:eastAsia="Courier New" w:hAnsi="Courier New"/>
          <w:sz w:val="18"/>
          <w:szCs w:val="18"/>
          <w:color w:val="auto"/>
        </w:rPr>
        <w:t>206,795</w:t>
      </w:r>
    </w:p>
    <w:p>
      <w:pPr>
        <w:ind w:left="1960"/>
        <w:spacing w:after="0" w:line="237" w:lineRule="auto"/>
        <w:rPr>
          <w:sz w:val="20"/>
          <w:szCs w:val="20"/>
          <w:color w:val="auto"/>
        </w:rPr>
      </w:pPr>
      <w:r>
        <w:rPr>
          <w:rFonts w:ascii="Courier New" w:cs="Courier New" w:eastAsia="Courier New" w:hAnsi="Courier New"/>
          <w:sz w:val="18"/>
          <w:szCs w:val="18"/>
          <w:color w:val="auto"/>
        </w:rPr>
        <w:t>797,159</w:t>
      </w:r>
    </w:p>
    <w:p>
      <w:pPr>
        <w:ind w:left="4180"/>
        <w:spacing w:after="0"/>
        <w:rPr>
          <w:sz w:val="20"/>
          <w:szCs w:val="20"/>
          <w:color w:val="auto"/>
        </w:rPr>
      </w:pPr>
      <w:r>
        <w:rPr>
          <w:rFonts w:ascii="Courier New" w:cs="Courier New" w:eastAsia="Courier New" w:hAnsi="Courier New"/>
          <w:sz w:val="18"/>
          <w:szCs w:val="18"/>
          <w:color w:val="auto"/>
        </w:rPr>
        <w:t>563,139</w:t>
      </w:r>
    </w:p>
    <w:p>
      <w:pPr>
        <w:ind w:left="3240"/>
        <w:spacing w:after="0" w:line="237" w:lineRule="auto"/>
        <w:rPr>
          <w:sz w:val="20"/>
          <w:szCs w:val="20"/>
          <w:color w:val="auto"/>
        </w:rPr>
      </w:pPr>
      <w:r>
        <w:rPr>
          <w:rFonts w:ascii="Courier New" w:cs="Courier New" w:eastAsia="Courier New" w:hAnsi="Courier New"/>
          <w:sz w:val="18"/>
          <w:szCs w:val="18"/>
          <w:color w:val="auto"/>
        </w:rPr>
        <w:t>564,177</w:t>
      </w:r>
    </w:p>
    <w:p>
      <w:pPr>
        <w:ind w:left="4400"/>
        <w:spacing w:after="0"/>
        <w:rPr>
          <w:sz w:val="20"/>
          <w:szCs w:val="20"/>
          <w:color w:val="auto"/>
        </w:rPr>
      </w:pPr>
      <w:r>
        <w:rPr>
          <w:rFonts w:ascii="Courier New" w:cs="Courier New" w:eastAsia="Courier New" w:hAnsi="Courier New"/>
          <w:sz w:val="18"/>
          <w:szCs w:val="18"/>
          <w:color w:val="auto"/>
        </w:rPr>
        <w:t>297,925</w:t>
      </w:r>
    </w:p>
    <w:p>
      <w:pPr>
        <w:ind w:left="3540"/>
        <w:spacing w:after="0" w:line="237" w:lineRule="auto"/>
        <w:rPr>
          <w:sz w:val="20"/>
          <w:szCs w:val="20"/>
          <w:color w:val="auto"/>
        </w:rPr>
      </w:pPr>
      <w:r>
        <w:rPr>
          <w:rFonts w:ascii="Courier New" w:cs="Courier New" w:eastAsia="Courier New" w:hAnsi="Courier New"/>
          <w:sz w:val="18"/>
          <w:szCs w:val="18"/>
          <w:color w:val="auto"/>
        </w:rPr>
        <w:t>502,746</w:t>
      </w:r>
    </w:p>
    <w:p>
      <w:pPr>
        <w:ind w:left="3440"/>
        <w:spacing w:after="0"/>
        <w:rPr>
          <w:sz w:val="20"/>
          <w:szCs w:val="20"/>
          <w:color w:val="auto"/>
        </w:rPr>
      </w:pPr>
      <w:r>
        <w:rPr>
          <w:rFonts w:ascii="Courier New" w:cs="Courier New" w:eastAsia="Courier New" w:hAnsi="Courier New"/>
          <w:sz w:val="18"/>
          <w:szCs w:val="18"/>
          <w:color w:val="auto"/>
        </w:rPr>
        <w:t>4,651</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20,646</w:t>
      </w:r>
    </w:p>
    <w:p>
      <w:pPr>
        <w:ind w:left="3440"/>
        <w:spacing w:after="0"/>
        <w:rPr>
          <w:sz w:val="20"/>
          <w:szCs w:val="20"/>
          <w:color w:val="auto"/>
        </w:rPr>
      </w:pPr>
      <w:r>
        <w:rPr>
          <w:rFonts w:ascii="Courier New" w:cs="Courier New" w:eastAsia="Courier New" w:hAnsi="Courier New"/>
          <w:sz w:val="18"/>
          <w:szCs w:val="18"/>
          <w:color w:val="auto"/>
        </w:rPr>
        <w:t>36,134</w:t>
      </w:r>
    </w:p>
    <w:p>
      <w:pPr>
        <w:ind w:left="3760"/>
        <w:spacing w:after="0" w:line="237" w:lineRule="auto"/>
        <w:rPr>
          <w:sz w:val="20"/>
          <w:szCs w:val="20"/>
          <w:color w:val="auto"/>
        </w:rPr>
      </w:pPr>
      <w:r>
        <w:rPr>
          <w:rFonts w:ascii="Courier New" w:cs="Courier New" w:eastAsia="Courier New" w:hAnsi="Courier New"/>
          <w:sz w:val="18"/>
          <w:szCs w:val="18"/>
          <w:color w:val="auto"/>
        </w:rPr>
        <w:t>13,912</w:t>
      </w:r>
    </w:p>
    <w:p>
      <w:pPr>
        <w:ind w:left="3020"/>
        <w:spacing w:after="0"/>
        <w:rPr>
          <w:sz w:val="20"/>
          <w:szCs w:val="20"/>
          <w:color w:val="auto"/>
        </w:rPr>
      </w:pPr>
      <w:r>
        <w:rPr>
          <w:rFonts w:ascii="Courier New" w:cs="Courier New" w:eastAsia="Courier New" w:hAnsi="Courier New"/>
          <w:sz w:val="18"/>
          <w:szCs w:val="18"/>
          <w:color w:val="auto"/>
        </w:rPr>
        <w:t>22,222</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line="238" w:lineRule="auto"/>
        <w:rPr>
          <w:sz w:val="20"/>
          <w:szCs w:val="20"/>
          <w:color w:val="auto"/>
        </w:rPr>
      </w:pPr>
      <w:r>
        <w:rPr>
          <w:rFonts w:ascii="Courier New" w:cs="Courier New" w:eastAsia="Courier New" w:hAnsi="Courier New"/>
          <w:sz w:val="18"/>
          <w:szCs w:val="18"/>
          <w:color w:val="auto"/>
        </w:rPr>
        <w:t>22,222</w:t>
      </w:r>
    </w:p>
    <w:p>
      <w:pPr>
        <w:jc w:val="center"/>
        <w:ind w:right="2019"/>
        <w:spacing w:after="0"/>
        <w:rPr>
          <w:sz w:val="20"/>
          <w:szCs w:val="20"/>
          <w:color w:val="auto"/>
        </w:rPr>
      </w:pPr>
      <w:r>
        <w:rPr>
          <w:rFonts w:ascii="Courier New" w:cs="Courier New" w:eastAsia="Courier New" w:hAnsi="Courier New"/>
          <w:sz w:val="18"/>
          <w:szCs w:val="18"/>
          <w:color w:val="auto"/>
        </w:rPr>
        <w:t>1.09</w:t>
      </w:r>
    </w:p>
    <w:p>
      <w:pPr>
        <w:jc w:val="center"/>
        <w:ind w:right="2019"/>
        <w:spacing w:after="0" w:line="237" w:lineRule="auto"/>
        <w:rPr>
          <w:sz w:val="20"/>
          <w:szCs w:val="20"/>
          <w:color w:val="auto"/>
        </w:rPr>
      </w:pPr>
      <w:r>
        <w:rPr>
          <w:rFonts w:ascii="Courier New" w:cs="Courier New" w:eastAsia="Courier New" w:hAnsi="Courier New"/>
          <w:sz w:val="18"/>
          <w:szCs w:val="18"/>
          <w:color w:val="auto"/>
        </w:rPr>
        <w:t>1.09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2019-12-12T06:36:23Z</dcterms:created>
  <dcterms:modified xsi:type="dcterms:W3CDTF">2019-12-12T06:36:23Z</dcterms:modified>
</cp:coreProperties>
</file>