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28, 2019</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22"/>
        </w:trPr>
        <w:tc>
          <w:tcPr>
            <w:tcW w:w="4660" w:type="dxa"/>
            <w:vAlign w:val="bottom"/>
          </w:tcPr>
          <w:p>
            <w:pPr>
              <w:jc w:val="center"/>
              <w:ind w:right="2704"/>
              <w:spacing w:after="0"/>
              <w:rPr>
                <w:sz w:val="20"/>
                <w:szCs w:val="20"/>
                <w:color w:val="auto"/>
              </w:rPr>
            </w:pPr>
            <w:r>
              <w:rPr>
                <w:rFonts w:ascii="Arial" w:cs="Arial" w:eastAsia="Arial" w:hAnsi="Arial"/>
                <w:sz w:val="17"/>
                <w:szCs w:val="17"/>
                <w:b w:val="1"/>
                <w:bCs w:val="1"/>
                <w:color w:val="auto"/>
                <w:w w:val="92"/>
              </w:rPr>
              <w:t>Ohio</w:t>
            </w:r>
          </w:p>
        </w:tc>
        <w:tc>
          <w:tcPr>
            <w:tcW w:w="3900" w:type="dxa"/>
            <w:vAlign w:val="bottom"/>
          </w:tcPr>
          <w:p>
            <w:pPr>
              <w:jc w:val="center"/>
              <w:ind w:left="2684"/>
              <w:spacing w:after="0"/>
              <w:rPr>
                <w:sz w:val="20"/>
                <w:szCs w:val="20"/>
                <w:color w:val="auto"/>
              </w:rPr>
            </w:pPr>
            <w:r>
              <w:rPr>
                <w:rFonts w:ascii="Arial" w:cs="Arial" w:eastAsia="Arial" w:hAnsi="Arial"/>
                <w:sz w:val="17"/>
                <w:szCs w:val="17"/>
                <w:b w:val="1"/>
                <w:bCs w:val="1"/>
                <w:color w:val="auto"/>
                <w:w w:val="90"/>
              </w:rPr>
              <w:t>31-1414921</w:t>
            </w:r>
          </w:p>
        </w:tc>
      </w:tr>
      <w:tr>
        <w:trPr>
          <w:trHeight w:val="197"/>
        </w:trPr>
        <w:tc>
          <w:tcPr>
            <w:tcW w:w="4660" w:type="dxa"/>
            <w:vAlign w:val="bottom"/>
          </w:tcPr>
          <w:p>
            <w:pPr>
              <w:jc w:val="center"/>
              <w:ind w:right="2704"/>
              <w:spacing w:after="0"/>
              <w:rPr>
                <w:sz w:val="20"/>
                <w:szCs w:val="20"/>
                <w:color w:val="auto"/>
              </w:rPr>
            </w:pPr>
            <w:r>
              <w:rPr>
                <w:rFonts w:ascii="Arial" w:cs="Arial" w:eastAsia="Arial" w:hAnsi="Arial"/>
                <w:sz w:val="14"/>
                <w:szCs w:val="14"/>
                <w:b w:val="1"/>
                <w:bCs w:val="1"/>
                <w:color w:val="auto"/>
                <w:w w:val="93"/>
              </w:rPr>
              <w:t>(State or other jurisdiction of</w:t>
            </w:r>
          </w:p>
        </w:tc>
        <w:tc>
          <w:tcPr>
            <w:tcW w:w="3900" w:type="dxa"/>
            <w:vAlign w:val="bottom"/>
          </w:tcPr>
          <w:p>
            <w:pPr>
              <w:jc w:val="center"/>
              <w:ind w:left="27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2704"/>
              <w:spacing w:after="0"/>
              <w:rPr>
                <w:sz w:val="20"/>
                <w:szCs w:val="20"/>
                <w:color w:val="auto"/>
              </w:rPr>
            </w:pPr>
            <w:r>
              <w:rPr>
                <w:rFonts w:ascii="Arial" w:cs="Arial" w:eastAsia="Arial" w:hAnsi="Arial"/>
                <w:sz w:val="14"/>
                <w:szCs w:val="14"/>
                <w:b w:val="1"/>
                <w:bCs w:val="1"/>
                <w:color w:val="auto"/>
                <w:w w:val="94"/>
              </w:rPr>
              <w:t>incorporation or organization)</w:t>
            </w:r>
          </w:p>
        </w:tc>
        <w:tc>
          <w:tcPr>
            <w:tcW w:w="3900" w:type="dxa"/>
            <w:vAlign w:val="bottom"/>
          </w:tcPr>
          <w:p>
            <w:pPr>
              <w:jc w:val="center"/>
              <w:ind w:left="268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97" w:lineRule="exact"/>
        <w:rPr>
          <w:sz w:val="24"/>
          <w:szCs w:val="24"/>
          <w:color w:val="auto"/>
        </w:rPr>
      </w:pPr>
    </w:p>
    <w:p>
      <w:pPr>
        <w:ind w:left="1080"/>
        <w:spacing w:after="0"/>
        <w:tabs>
          <w:tab w:leader="none" w:pos="4920" w:val="left"/>
          <w:tab w:leader="none" w:pos="81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68" w:lineRule="exact"/>
        <w:rPr>
          <w:sz w:val="24"/>
          <w:szCs w:val="24"/>
          <w:color w:val="auto"/>
        </w:rPr>
      </w:pPr>
    </w:p>
    <w:p>
      <w:pPr>
        <w:ind w:left="440"/>
        <w:spacing w:after="0"/>
        <w:tabs>
          <w:tab w:leader="none" w:pos="5340" w:val="left"/>
          <w:tab w:leader="none" w:pos="936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41" w:lineRule="exact"/>
        <w:rPr>
          <w:sz w:val="24"/>
          <w:szCs w:val="24"/>
          <w:color w:val="auto"/>
        </w:rPr>
      </w:pPr>
    </w:p>
    <w:p>
      <w:pPr>
        <w:jc w:val="both"/>
        <w:spacing w:after="0" w:line="26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21"/>
          <w:szCs w:val="21"/>
          <w:color w:val="auto"/>
        </w:rPr>
        <w:t>Yes</w:t>
      </w:r>
      <w:r>
        <w:rPr>
          <w:rFonts w:ascii="Arial" w:cs="Arial" w:eastAsia="Arial" w:hAnsi="Arial"/>
          <w:sz w:val="17"/>
          <w:szCs w:val="17"/>
          <w:color w:val="auto"/>
        </w:rPr>
        <w:t xml:space="preserve">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5" w:lineRule="exact"/>
        <w:rPr>
          <w:sz w:val="24"/>
          <w:szCs w:val="24"/>
          <w:color w:val="auto"/>
        </w:rPr>
      </w:pPr>
    </w:p>
    <w:p>
      <w:pPr>
        <w:jc w:val="both"/>
        <w:spacing w:after="0" w:line="26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color w:val="auto"/>
        </w:rPr>
        <w:t>Yes</w:t>
      </w:r>
      <w:r>
        <w:rPr>
          <w:rFonts w:ascii="Arial" w:cs="Arial" w:eastAsia="Arial" w:hAnsi="Arial"/>
          <w:sz w:val="15"/>
          <w:szCs w:val="15"/>
          <w:color w:val="auto"/>
        </w:rPr>
        <w:t xml:space="preserve">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560" w:type="dxa"/>
        <w:tblCellMar>
          <w:top w:w="0" w:type="dxa"/>
          <w:left w:w="0" w:type="dxa"/>
          <w:bottom w:w="0" w:type="dxa"/>
          <w:right w:w="0" w:type="dxa"/>
        </w:tblCellMar>
      </w:tblPr>
      <w:tr>
        <w:trPr>
          <w:trHeight w:val="312"/>
        </w:trPr>
        <w:tc>
          <w:tcPr>
            <w:tcW w:w="2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80" w:type="dxa"/>
            <w:vAlign w:val="bottom"/>
          </w:tcPr>
          <w:p>
            <w:pPr>
              <w:ind w:left="940"/>
              <w:spacing w:after="0" w:line="221" w:lineRule="exact"/>
              <w:rPr>
                <w:sz w:val="20"/>
                <w:szCs w:val="20"/>
                <w:color w:val="auto"/>
              </w:rPr>
            </w:pPr>
            <w:r>
              <w:rPr>
                <w:rFonts w:ascii="MS PGothic" w:cs="MS PGothic" w:eastAsia="MS PGothic" w:hAnsi="MS PGothic"/>
                <w:sz w:val="22"/>
                <w:szCs w:val="22"/>
                <w:color w:val="auto"/>
              </w:rPr>
              <w:t>☒</w:t>
            </w:r>
          </w:p>
        </w:tc>
        <w:tc>
          <w:tcPr>
            <w:tcW w:w="2980" w:type="dxa"/>
            <w:vAlign w:val="bottom"/>
          </w:tcPr>
          <w:p>
            <w:pPr>
              <w:ind w:left="24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820" w:type="dxa"/>
            <w:vAlign w:val="bottom"/>
          </w:tcPr>
          <w:p>
            <w:pPr>
              <w:spacing w:after="0"/>
              <w:rPr>
                <w:sz w:val="20"/>
                <w:szCs w:val="20"/>
                <w:color w:val="auto"/>
              </w:rPr>
            </w:pPr>
            <w:r>
              <w:rPr>
                <w:rFonts w:ascii="Arial" w:cs="Arial" w:eastAsia="Arial" w:hAnsi="Arial"/>
                <w:sz w:val="17"/>
                <w:szCs w:val="17"/>
                <w:color w:val="auto"/>
              </w:rPr>
              <w:t>Non-accelerated filer</w:t>
            </w:r>
          </w:p>
        </w:tc>
        <w:tc>
          <w:tcPr>
            <w:tcW w:w="13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3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84"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26" w:lineRule="exact"/>
        <w:rPr>
          <w:sz w:val="24"/>
          <w:szCs w:val="24"/>
          <w:color w:val="auto"/>
        </w:rPr>
      </w:pPr>
    </w:p>
    <w:p>
      <w:pPr>
        <w:ind w:left="40"/>
        <w:spacing w:after="0" w:line="207" w:lineRule="exact"/>
        <w:tabs>
          <w:tab w:leader="none" w:pos="4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46" w:lineRule="exact"/>
        <w:rPr>
          <w:sz w:val="24"/>
          <w:szCs w:val="24"/>
          <w:color w:val="auto"/>
        </w:rPr>
      </w:pPr>
    </w:p>
    <w:p>
      <w:pPr>
        <w:spacing w:after="0"/>
        <w:rPr>
          <w:sz w:val="20"/>
          <w:szCs w:val="20"/>
          <w:color w:val="auto"/>
        </w:rPr>
      </w:pPr>
      <w:r>
        <w:rPr>
          <w:rFonts w:ascii="Arial" w:cs="Arial" w:eastAsia="Arial" w:hAnsi="Arial"/>
          <w:sz w:val="17"/>
          <w:szCs w:val="17"/>
          <w:color w:val="auto"/>
        </w:rPr>
        <w:t>As of January 31, 2020, there were 55,596,073 Common Shares outstanding.</w:t>
      </w:r>
    </w:p>
    <w:p>
      <w:pPr>
        <w:sectPr>
          <w:pgSz w:w="11900" w:h="16838" w:orient="portrait"/>
          <w:cols w:equalWidth="0" w:num="1">
            <w:col w:w="11420"/>
          </w:cols>
          <w:pgMar w:left="240" w:top="234" w:right="239" w:bottom="1440" w:gutter="0" w:footer="0" w:header="0"/>
        </w:sect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 Three months ended December 28, 2019 and December 29,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 Three months ended December 28, 2019 and</w:t>
              </w:r>
            </w:hyperlink>
          </w:p>
        </w:tc>
        <w:tc>
          <w:tcPr>
            <w:tcW w:w="20" w:type="dxa"/>
            <w:vAlign w:val="bottom"/>
            <w:tcBorders>
              <w:top w:val="single" w:sz="8" w:color="0000EE"/>
            </w:tcBorders>
          </w:tcPr>
          <w:p>
            <w:pPr>
              <w:spacing w:after="0"/>
              <w:rPr>
                <w:sz w:val="21"/>
                <w:szCs w:val="21"/>
                <w:color w:val="auto"/>
              </w:rPr>
            </w:pPr>
          </w:p>
        </w:tc>
        <w:tc>
          <w:tcPr>
            <w:tcW w:w="36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29, 2018</w:t>
              </w:r>
            </w:hyperlink>
          </w:p>
        </w:tc>
        <w:tc>
          <w:tcPr>
            <w:tcW w:w="7560" w:type="dxa"/>
            <w:vAlign w:val="bottom"/>
            <w:gridSpan w:val="9"/>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 Three months ended December 28, 2019 and December 29,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tcBorders>
              <w:top w:val="single" w:sz="8" w:color="0000EE"/>
            </w:tcBorders>
            <w:gridSpan w:val="12"/>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Balance Sheets — December 28, 2019, December 29, 2018 and September 30, 2019</w:t>
              </w:r>
            </w:hyperlink>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960" w:type="dxa"/>
            <w:vAlign w:val="bottom"/>
            <w:tcBorders>
              <w:top w:val="single" w:sz="8" w:color="0000EE"/>
            </w:tcBorders>
            <w:gridSpan w:val="2"/>
          </w:tcPr>
          <w:p>
            <w:pPr>
              <w:spacing w:after="0"/>
              <w:rPr>
                <w:sz w:val="21"/>
                <w:szCs w:val="21"/>
                <w:color w:val="auto"/>
              </w:rPr>
            </w:pPr>
          </w:p>
        </w:tc>
        <w:tc>
          <w:tcPr>
            <w:tcW w:w="10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45">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1980" w:type="dxa"/>
            <w:vAlign w:val="bottom"/>
            <w:gridSpan w:val="2"/>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00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56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700" w:type="dxa"/>
            <w:vAlign w:val="bottom"/>
            <w:gridSpan w:val="2"/>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 (loss) on derivative instruments, net of tax of $(0.5) and $(2.8),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Reclassification of net unrealized (gains) losses on derivative instruments to net income, net of tax of $0.3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and $0.0,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Reclassification of net pension and other post-retirement benefit losses to net income, net of tax of ($0.3)</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and $0.3, 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attributable to controlling interest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loss on long-lived assets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income and distributions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non-current items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4.500%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 of 6.000% Senior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$4.2, $3.4 and $4.2,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174.2</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$642.2, $624.0 and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$628.0,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538.7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194.8</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6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214.2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2,305.5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shares outstanding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55.8, 55.3 and 55.8,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1,274.7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12.4, 12.8 and 12.4 shares,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3,028.7</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5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approximately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months ended December 28, 2019 and December 29, 2018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2019 (the “2019 Annual Report”), which includes a complete set of footnote disclosures, including the Company’s significant accounting policies.</w:t>
      </w:r>
    </w:p>
    <w:p>
      <w:pPr>
        <w:spacing w:after="0" w:line="9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2019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$2.7 million and $3.2 million during the three months ended December 28, 2019 and December 29, 2018, respectively, representing unpaid liabilities at December 28, 2019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32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3"/>
          </w:tcPr>
          <w:p>
            <w:pPr>
              <w:jc w:val="right"/>
              <w:ind w:right="105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payments (refunds)</w:t>
            </w:r>
          </w:p>
        </w:tc>
        <w:tc>
          <w:tcPr>
            <w:tcW w:w="160" w:type="dxa"/>
            <w:vAlign w:val="bottom"/>
          </w:tcPr>
          <w:p>
            <w:pPr>
              <w:spacing w:after="0"/>
              <w:rPr>
                <w:sz w:val="21"/>
                <w:szCs w:val="21"/>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8.7</w:t>
            </w:r>
          </w:p>
        </w:tc>
      </w:tr>
    </w:tbl>
    <w:p>
      <w:pPr>
        <w:spacing w:after="0" w:line="3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December 29, 2018, the Company paid a post-closing net working capital adjustment obligation of $6.6 million related to the fiscal 2018 acquisition of Sunlight Supply, Inc., Sunlight Garden Supply, Inc., Sunlight Garden Supply, ULC, and IP Holdings, LLC, and all of the issued and outstanding equity interests of Columbia River Industrial Holdings, LLC (collectively “Sunlight Supply”), which was classified as an investing activity in the “Investments in acquired businesses, net of cash acquired” line in the 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determined by the first in, first out method of accounting. Inventories acquired through the acquisition of or subsequently produced by Sunlight Supply were initially recorded at fair value at the date of the acquisition and subsequently were measured using the average costing method of inventory valuation. During the three months ended December 28, 2019, the Company determined it was preferable to use the first in, first out inventory valuation method and adopted this method for the remaining Sunlight Supply inventories not subject to the first in, first out method. This change in accounting principle resulted in an increase in inventories of $0.2 million as of December 28, 2019, with a corresponding decrease in cost of goods sold for the three months ended December 28, 2019. The change in accounting principle was not material to prior periods so it was not retrospectively applied.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Effective October 1, 2019, the Company adopted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Under this guidance, 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excludes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Condensed Consolidated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its final standard on lease accounting, ASC 842. This guidance requires lessees to recognize a lease liability for the obligation to make lease payments and a ROU asset for the right to use the underlying asset for the lease term. The Company elected the optional transition method and adopted the new guidance on October 1, 2019 on a modified retrospective basis with no restatement of prior period amounts. Fiscal 2019 balances and related disclosures supporting those comparative period balances continue to be presented under ASC 840, </w:t>
      </w:r>
      <w:r>
        <w:rPr>
          <w:rFonts w:ascii="Arial" w:cs="Arial" w:eastAsia="Arial" w:hAnsi="Arial"/>
          <w:sz w:val="17"/>
          <w:szCs w:val="17"/>
          <w:i w:val="1"/>
          <w:iCs w:val="1"/>
          <w:color w:val="auto"/>
        </w:rPr>
        <w:t>Leases</w:t>
      </w:r>
      <w:r>
        <w:rPr>
          <w:rFonts w:ascii="Arial" w:cs="Arial" w:eastAsia="Arial" w:hAnsi="Arial"/>
          <w:sz w:val="17"/>
          <w:szCs w:val="17"/>
          <w:color w:val="auto"/>
        </w:rPr>
        <w:t>. As allowed under the new accounting standard, the Company elected to apply practical expedients to carry forward the original lease determinations,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lease classifications and accounting of initial direct costs for all asset classes at the time of adoption. The Company also elected to exclude short-term leases from its Condensed Consolidated Balance Sheet. The Company’s adoption of the new standard resulted in the recognition of ROU assets of $129.6 million in the “Other assets” line in the Condensed Consolidated Balance Sheet, liabilities of $45.4 million in the “Other current liabilities” line in the Condensed Consolidated Balance Sheet and liabilities of $88.8 million in the “Other liabilities” line in the Condensed Consolidated Balance Sheet as of the October 1, 2019 adoption date. Adoption of the new standard did not result in a material cumulative effect adjustment to equity as of the date of adoption and did not have a material impact on the Company’s Condensed Consolidated Statements of Operations or Cash Flows. In connection with the adoption of this guidance, as required, the Company reclassified certain restructuring reserves (refer to “NOTE 4. IMPAIRMENT, RESTRUCTURING AND OTHER” for more information) and deferred rent liabilities as reductions to the ROU asset. Refer to “NOTE 13. LEASES AND OTHER COMMITMENTS” for more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an accounting standard update related to the measurement of credit losses on financial instruments. The amended accounting guidance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2018, the FASB issued an accounting standard update that aligns the requirements for capitalizing implementation costs incurred in a hosting arrangement that is a service contract with the requirements for capitalizing implementation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2018, the FASB issued an accounting standard update that removes certain disclosures that are not considered cost beneficial, clarifies certain required disclosures and requires certain additional disclosures related to defined benefit pension and other postretirement plans. The provisions are effective for the Company’s financial statements no later than the fiscal year beginning October 1, 2020.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At each of December 28, 2019, December 29, 2018 and September 30, 2019, zero, $85.0 million and zero, respectively, was accrued for a probable loss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“Other current liabilities” line in the Condensed Consolidated Balance Sheet. This matter relates to a class-action lawsuit filed in 2012 in connection with the sale of wild bird food products that were the subject of a voluntary recall in 2008 by the Company’s previously sold wild bird food business. During the three months ended December 29, 2018, the Company recognized insurance recoveries of $5.0 million related to this matter.</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jc w:val="center"/>
              <w:ind w:right="11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DECEMBER 29, 2018</w:t>
            </w:r>
          </w:p>
        </w:tc>
      </w:tr>
      <w:tr>
        <w:trPr>
          <w:trHeight w:val="250"/>
        </w:trPr>
        <w:tc>
          <w:tcPr>
            <w:tcW w:w="9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(In millions)</w:t>
            </w:r>
          </w:p>
        </w:tc>
      </w:tr>
      <w:tr>
        <w:trPr>
          <w:trHeight w:val="27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(recoveries),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914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4.9</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r>
      <w:tr>
        <w:trPr>
          <w:trHeight w:val="237"/>
        </w:trPr>
        <w:tc>
          <w:tcPr>
            <w:tcW w:w="914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w:t>
            </w:r>
          </w:p>
        </w:tc>
      </w:tr>
      <w:tr>
        <w:trPr>
          <w:trHeight w:val="27"/>
        </w:trPr>
        <w:tc>
          <w:tcPr>
            <w:tcW w:w="9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operating activities related to discontinued operations was zero and $1.8 million for the three months ended December 28, 2019 and December 29, 2018, respectively. Cash (used in) provided by investing activities related to discontinued operations was zero for the three months ended December 28, 2019 and December 29,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March 19, 2019, the Company entered into an agreement under which it sold, to TruGreen Companies L.L.C., a subsidiary of TruGreen Holding Corporation, all of its approximately 30% equity interest in Outdoor Home Services Holdings LLC, a lawn services joint venture between the Company and TruGreen Holding Corporation (the “TruGreen Joint Venture”). Prior to this transaction, the Company’s net investment and advances with respect to the TruGreen Joint Venture had been reduced to a liability which resulted in an amount recorded in the “Distributions in excess of investment in unconsolidated affiliate” line in the Condensed Consolidated Balance Sheets. In connection with this transaction, the Company received cash proceeds of $234.2 million related to the sale of its equity interest in the TruGreen Joint Venture and $18.4 million related to the payoff of second lien term loan financing, which was previously recorded in the “Other assets” line in the Condensed Consolidated Balance Sheets. The Company did not receive distributions from the TruGreen Joint Venture during the three months ended December 29, 2018.</w:t>
      </w:r>
    </w:p>
    <w:p>
      <w:pPr>
        <w:spacing w:after="0" w:line="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1, 2019, the Company sold all of its noncontrolling equity interest in an unconsolidated affiliate whose products support the professional U.S. industrial, turf and ornamental market (the “IT&amp;O Joint Venture”) for cash proceeds of $36.6 million. The Company did not receive distributions from the IT&amp;O Joint Venture during the three months ended December 29,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from discontinued operations, net of tax” lines in the Condensed Consolidated Statements of Operations. The following table details impairment, restructuring and other charges (recoveries) for each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three months ended December 28, 2019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2019</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Amounts accrued for restructuring and other at December 28, 2019</w:t>
            </w: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99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connection with the adoption of ASC 842 on October 1, 2019, the Company reclassified restructuring accruals of $1.7 million to lease ROU assets, and has presented this reclassification within “Payments and other” in the table above. Refer to “NOTE 1. SUMMARY OF SIGNIFICANT ACCOUNTING POLICIES” and “NOTE 13. LEASES AND OTHER COMMITMENTS” for more information. Included in restructuring accruals, as of December 28, 2019, is $1.1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During the three months ended December 28, 2019, the Company incurred charges of $0.4 million related to Project Catalyst. The Company incurred charges of $0.3 million in its Hawthorne segment in the “Cost of sales—impairment, restructuring and other” line in the Condensed Consolidated Statements of Operations during the three months ended December 28, 2019 related to employee termination benefits and facility closure costs. The Company incurred charges of $0.1 million in its U.S. Consumer segment in the “Impairment, restructuring and other” line in the Condensed Consolidated Statements of Operations during the three months ended December 28, 2019 related to employee termination benefits and facility closure costs. Costs incurred to date since the inception of Project Catalyst are $26.2 million for the Hawthorne segment, $13.3 million for the U.S. Consumer segment, $1.2 million for the Other segment and $2.8 million for Corporate. Additionally, during the three months ended December 28, 2019, the Company received $2.6 million from the final settlement of escrow funds related to a previous acquisition within the Hawthorne segment that was recognized in the “Impairment, restructuring and other” line in the Condensed Consolidated Statements of Operations.</w:t>
      </w:r>
    </w:p>
    <w:p>
      <w:pPr>
        <w:spacing w:after="0" w:line="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three months ended December 29, 2018, the Company incurred charges of $5.5 million related to Project Catalyst. The Company incurred charges of $0.3 million in its U.S. Consumer segment, $1.9 million in its Hawthorne segment and $0.3 million in its Other segment in the “Cost of sales— impairment, restructuring and other” line in the Condensed Consolidated Statements of Operations during the three months ended December 29, 2018 related to employee termination benefits, facility closure costs and impairment of property, plant and equipment. The Company incurred charges of $0.4 million in its U.S. Consumer segment, $1.7 million in its Hawthorne segment, $0.1 million in its Other segment and $0.8 million at Corporate in the “Impairment,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restructuring and other” line in the Condensed Consolidated Statements of Operations during the three months ended December 29, 2018 related to employee termination benefits and facility closure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the Company recognized insurance recoveries of $5.0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from discontinued operations, net of tax” line in the Condensed Consolidated Statements of Operations. Refer to “NOTE 2. DISCONTINUED OPERATIONS”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the Company recognized a charge of $0.5 million for a probable loss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63.6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540.3</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$11.4 million at December 28, 2019, $8.3 million at December 29, 2018 and $8.8 million at September 30,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75"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The Scotts Company LLC (“Scotts LLC”) is the exclusive agent of Monsanto Company, a subsidiary of Bayer AG since June 2018 (“Monsanto”), for the marketing and distribution of certain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Third Restated Agreement (“Program EBIT”). Prior to the Third Restated Agreement, the annual commission payable was equal to (1) 50% of the actual earnings before interest and income taxes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for program years 2017 and 2018 and (2) 50% of the actual earnings before interest and income taxes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in excess of $40.0 million for program year 2019. The Third Restated Agreement also requires the Company to make annual payments of $18.0 million to Monsanto as a contribution against the overall expenses of its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 million.</w:t>
      </w:r>
    </w:p>
    <w:p>
      <w:pPr>
        <w:spacing w:after="0" w:line="1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Monsanto terminates the Third Restated Marketing Agreement due to an event of default by the Company, termination rights under the Third Restated Agreement include the following:</w:t>
      </w:r>
    </w:p>
    <w:p>
      <w:pPr>
        <w:spacing w:after="0" w:line="89"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can terminate the Third Restated Agreement (i) for any reason effective as of September 30, 2022 by delivery of notice of termination to Monsanto on January 15, 2021 (a “Convenience Termination”) or (ii) upon the insolvency or bankruptcy of Monsanto;</w:t>
      </w:r>
    </w:p>
    <w:p>
      <w:pPr>
        <w:spacing w:after="0" w:line="89" w:lineRule="exact"/>
        <w:rPr>
          <w:rFonts w:ascii="Arial" w:cs="Arial" w:eastAsia="Arial" w:hAnsi="Arial"/>
          <w:sz w:val="18"/>
          <w:szCs w:val="18"/>
          <w:color w:val="auto"/>
        </w:rPr>
      </w:pPr>
    </w:p>
    <w:p>
      <w:pPr>
        <w:jc w:val="both"/>
        <w:ind w:left="660" w:hanging="328"/>
        <w:spacing w:after="0" w:line="22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Monsanto can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party is permitted to terminate the Third Restated Agreement if Program EBIT falls below $50 million and, in such case, no termination fee would be payable to either party.</w:t>
      </w:r>
    </w:p>
    <w:p>
      <w:pPr>
        <w:spacing w:after="0" w:line="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 million if the Company terminates the Third Restated Agreement for convenience, (ii) $375 million upon a brand decommissioning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 and (iii) the greater of $175 million or four times an amount equal to the average of the Program EBIT for the three program years before the year of termination, minus $186.4 million, if Monsanto or its successor terminates the Third Restated Agreement as a result of a Roundup Sale or Change of Control of Monsanto (each, as defined in the Third Restated Agreement).</w:t>
      </w:r>
    </w:p>
    <w:p>
      <w:pPr>
        <w:spacing w:after="0" w:line="127"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In connection with the signing of the Third Restated Agreement, the Company also entered into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The consideration to be paid by Monsanto is the sum of $112.0 million plus the value of finished goods inventory of $3.5 million. This consideration was recorded in the “Prepaid and other current assets” line in the Consolidated Balance Sheets as of December 28, 2019, and was received by the Company on January 13, 2020. The carrying value of the assets sold, which included the brand extension agreement intangible asset with a carrying value of $111.7 million, approximated the consideration received, resulting in an insignificant gain on the sale.</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“Net sales” line in the Condensed Consolidated Statements of Operations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34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7. DEBT</w:t>
            </w: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24"/>
                <w:szCs w:val="24"/>
                <w:color w:val="auto"/>
              </w:rPr>
            </w:pPr>
          </w:p>
        </w:tc>
        <w:tc>
          <w:tcPr>
            <w:tcW w:w="134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537.1</w:t>
            </w:r>
          </w:p>
        </w:tc>
        <w:tc>
          <w:tcPr>
            <w:tcW w:w="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4.500%</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facility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1,969.9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December 28, 2019, the Company had letters of credit outstanding in the aggregate principal amount of $22.5 million, and $940.4 million of borrowing availability under the Fifth A&amp;R Credit Agreement. The weighted average interest rates on</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borrowings under the Fifth A&amp;R Credit Agreement were 3.9% and 4.5% for the three months ended December 28, 2019 and December 29, 2018, respectively.</w:t>
      </w:r>
    </w:p>
    <w:p>
      <w:pPr>
        <w:spacing w:after="0" w:line="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The Company’s leverage ratio was 3.53 at December 28, 2019.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December 28, 2019. The Company’s interest coverage ratio was 6.17 for the twelve months ended December 28, 2019.</w:t>
      </w:r>
    </w:p>
    <w:p>
      <w:pPr>
        <w:spacing w:after="0" w:line="10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 million for fiscal 2020 and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million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22, 2019, Scotts Miracle-Gro issued $450.0 million aggregate principal amount of 4.500% Senior Notes due 2029 (the “4.500% Senior Notes”). The net proceeds of the offering were used to redeem all of the Company’s outstanding 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commencing April 15, 2020. All of Scotts Miracle-Gro’s domestic subsidiaries that serve as guarantors of the 5.250% Senior Notes also serve as guarantors of the 4.500% Senior Notes.</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23, 2019, Scotts Miracle-Gro redeemed all of its outstanding 6.000% Senior Notes for a redemption price of $412.5 million, comprised of $0.5 million of accrued and unpaid interest, $12.0 million of redemption premium, and $400.0 million for outstanding principal amount. The $12.0 million redemption premium was recognized in the “Costs related to refinancing” line on the Condensed Consolidated Statements of Operations during the three months ended December 28, 2019. Additionally, the Company had $3.1 million in unamortized bond issuance costs associated with the 6.000% Senior Notes, which were written-off during the three months ended December 28, 2019 and were recognized in the “Costs related to refinancing” line in the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is $160.0 million. The Receivables Facility expires on August 21, 2020.</w:t>
      </w:r>
    </w:p>
    <w:p>
      <w:pPr>
        <w:spacing w:after="0" w:line="13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December 28, 2019 and December 29, 2018, there were $39.0 million and $40.0 million, respectively, in borrowings on receivables pledged as collateral under the Receivables Facility, and the carrying value of the receivables pledged as collateral was $43.3 million and $44.4 million, respectively. As of December 28, 2019 and December 29, 2018, there was $0.6 million and $0.2 million, respectively, of availability under the Receivables Facility.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$1,300.0 million and $850.0 million at December 28, 2019, December 29, 2018 and September 30, 2019,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December 28, 2019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5"/>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5"/>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5"/>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5"/>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7/7/2021</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4.5% and 4.8% for the three months ended December 28, 2019 and December 29,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each of the periods indicated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50"/>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10"/>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442.2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1,274.7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(904.3)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718.7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723.2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($0.580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0.9</w:t>
            </w:r>
          </w:p>
        </w:tc>
      </w:tr>
      <w:tr>
        <w:trPr>
          <w:trHeight w:val="243"/>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28,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629.3</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-98425</wp:posOffset>
            </wp:positionV>
            <wp:extent cx="5505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50"/>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10"/>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919.9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(939.6)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359.6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w w:val="95"/>
              </w:rPr>
              <w:t>Adoption of new accounting pronouncements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29,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253.2</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At December 28, 2019 and September 30, 2019, the Company had unrecognized losses on pension and other postretirement liabilities of $69.5 million, net of tax of $23.1 million, and $68.4 million, net of tax of $22.8 million, respectively, recorded in accumulated other comprehensive loss. At December 28, 2019 and September 30, 2019, the Company had accumulated foreign currency translation losses of $12.8 million and $17.4 million, respectively, recorded in accumulated other comprehensive loss. At December 28, 2019 and September 30, 2019, the Company had unrecognized losses on derivatives of $8.7 million, net of tax of $3.0 million, and $8.1 million, net of tax of $2.8 million, respectively, recorded in accumulated other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30, 2019, the Scotts Miracle-Gro Board of Directors approved an increase in the Company’s quarterly cash dividend from $0.55 to $0.58 per Common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August 2014, Scotts Miracle-Gro announced that its Board of Directors authorized the repurchase of up to $500.0 million of Common Shares over a five 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the program during the three months ended December 28, 2019 and December 29, 2018. From the inception of this share repurchase program in the fourth quarter of fiscal 2014 through December 28, 2019, Scotts Miracle-Gro repurchased approximately 8.3 million Common Shares for $714.6 million. On January 31, 2020, the Scotts Miracle-Gro Board of Directors authorized a new repurchase program allowing for repurchases of Common Shares of up to an aggregate amount of $750.0 million beginning April 30, 2020 through March 25,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Subsequent to December 28, 2019, the Company awarded restricted stock units, performance-based award units and deferred stock units representing 0.2 million Common Shares to employees and members of the Board of Directors with an estimated fair value of $20.0 million on the date of grant.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2,576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5,099</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78"/>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0.4</w:t>
            </w:r>
          </w:p>
        </w:tc>
      </w:tr>
      <w:tr>
        <w:trPr>
          <w:trHeight w:val="567"/>
        </w:trPr>
        <w:tc>
          <w:tcPr>
            <w:tcW w:w="834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1.7</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three months ended December 28, 2019 and December 29, 2018 were 25.0% and 22.0%,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There are currently no ongoing audits with respect to the U.S. federal or foreign jurisdictions. Subject to the following exceptions, the Company is no longer subject to examination by these tax authorities for fiscal years prior to 2016. The Company is currently under examination by certain U.S. state and local tax authorities covering various periods from fiscal years 2012 through 2018. In addition to the aforementioned audits, certain other tax deficiency notices and refund claims for previous years remain unresolved.</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December 28, 2019, $3.9 million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The notional amount of outstanding currency forward contracts was $128.7 million, $117.5 million and $120.0 million at December 28, 2019, December 29, 2018 and September 30, 2019, respectively. Contracts outstanding at December 28, 2019 will mature over the next fiscal quarter.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w:t>
      </w:r>
    </w:p>
    <w:p>
      <w:pPr>
        <w:spacing w:after="0" w:line="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$1,300.0 million and $850.0 million at December 28, 2019, December 29, 2018 and September 30, 2019, respectively. Refer to “NOTE 7. DEBT” for the terms of the swap agreements outstanding at December 28, 2019. Included in the AOCI balance at December 28, 2019 was a loss of $4.0 million related to interest rate swap agreements that is expected to be reclassified to earnings during the next twelve months, consistent with the timing of the underlying hedged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diesel and resin requirements. Changes in the fair value of derivative contracts that qualify for hedge accounting are recorded in AOCI. Realized gains or losses remain as a component of AOCI until the related inventory is sold. Included in the AOCI balance at December 28, 2019 was a loss of $1.8 million related to commodity hedges that is expected to be reclassified to earnings during the next twelve months, consistent with the timing of the underlying hedged transactions.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1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28,</w:t>
            </w:r>
          </w:p>
        </w:tc>
        <w:tc>
          <w:tcPr>
            <w:tcW w:w="21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29,</w:t>
            </w:r>
          </w:p>
        </w:tc>
        <w:tc>
          <w:tcPr>
            <w:tcW w:w="2060" w:type="dxa"/>
            <w:vAlign w:val="bottom"/>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Resin</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11,000,000 pounds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12,600,000 pounds</w:t>
            </w:r>
          </w:p>
        </w:tc>
        <w:tc>
          <w:tcPr>
            <w:tcW w:w="2060" w:type="dxa"/>
            <w:vAlign w:val="bottom"/>
          </w:tcPr>
          <w:p>
            <w:pPr>
              <w:jc w:val="right"/>
              <w:spacing w:after="0"/>
              <w:rPr>
                <w:sz w:val="20"/>
                <w:szCs w:val="20"/>
                <w:color w:val="auto"/>
              </w:rPr>
            </w:pPr>
            <w:r>
              <w:rPr>
                <w:rFonts w:ascii="Arial" w:cs="Arial" w:eastAsia="Arial" w:hAnsi="Arial"/>
                <w:sz w:val="18"/>
                <w:szCs w:val="18"/>
                <w:color w:val="auto"/>
              </w:rPr>
              <w:t>14,900,000 pounds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4,368,000 gallons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4,410,000 gallons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4,956,000 gallons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1,344,000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1,218,000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1,344,000 gallons</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3"/>
                <w:szCs w:val="13"/>
                <w:color w:val="auto"/>
              </w:rPr>
            </w:pPr>
          </w:p>
        </w:tc>
        <w:tc>
          <w:tcPr>
            <w:tcW w:w="132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3"/>
                <w:szCs w:val="13"/>
                <w:color w:val="auto"/>
              </w:rPr>
            </w:pPr>
          </w:p>
        </w:tc>
        <w:tc>
          <w:tcPr>
            <w:tcW w:w="134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3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each of the periods presented was as follows:</w:t>
      </w:r>
    </w:p>
    <w:p>
      <w:pPr>
        <w:spacing w:after="0" w:line="12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AMOUNT OF GAIN / (LOSS) RECOGNIZED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8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right"/>
              <w:ind w:right="10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RECLASSIFIED FROM AOCI</w:t>
            </w: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INTO</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8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RECOGNIZED IN</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income /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fair value of the Company’s assets and liabilities for which disclosure of fair value is required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rate swap agreements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Currency forward contracts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Commodity hedging instruments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right="140"/>
        <w:spacing w:after="0" w:line="342" w:lineRule="auto"/>
        <w:rPr>
          <w:sz w:val="20"/>
          <w:szCs w:val="20"/>
          <w:color w:val="auto"/>
        </w:rPr>
      </w:pPr>
      <w:r>
        <w:rPr>
          <w:rFonts w:ascii="Arial" w:cs="Arial" w:eastAsia="Arial" w:hAnsi="Arial"/>
          <w:sz w:val="14"/>
          <w:szCs w:val="14"/>
          <w:color w:val="auto"/>
        </w:rPr>
        <w:t>Investment securities in non-qualified retirement plan assets</w:t>
      </w:r>
    </w:p>
    <w:p>
      <w:pPr>
        <w:ind w:left="280"/>
        <w:spacing w:after="0"/>
        <w:rPr>
          <w:sz w:val="20"/>
          <w:szCs w:val="20"/>
          <w:color w:val="auto"/>
        </w:rPr>
      </w:pPr>
      <w:r>
        <w:rPr>
          <w:rFonts w:ascii="Arial" w:cs="Arial" w:eastAsia="Arial" w:hAnsi="Arial"/>
          <w:sz w:val="16"/>
          <w:szCs w:val="16"/>
          <w:color w:val="auto"/>
        </w:rPr>
        <w:t>Bonnie Option</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rate swap agreements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Currency forward contracts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Commodity hedging instruments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Debt instruments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Credit facilities – revolving loans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Credit facilities – term loans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Senior Notes – 4.500%</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Senior Notes – 5.250%</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Senior Notes – 6.000%</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Receivables facility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Contingent consideration</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3"/>
                <w:szCs w:val="13"/>
                <w:b w:val="1"/>
                <w:bCs w:val="1"/>
                <w:color w:val="auto"/>
              </w:rPr>
              <w:t>DECEMBER 28, 2019</w:t>
            </w:r>
          </w:p>
        </w:tc>
        <w:tc>
          <w:tcPr>
            <w:tcW w:w="160" w:type="dxa"/>
            <w:vAlign w:val="bottom"/>
          </w:tcPr>
          <w:p>
            <w:pPr>
              <w:spacing w:after="0"/>
              <w:rPr>
                <w:sz w:val="15"/>
                <w:szCs w:val="15"/>
                <w:color w:val="auto"/>
              </w:rPr>
            </w:pPr>
          </w:p>
        </w:tc>
        <w:tc>
          <w:tcPr>
            <w:tcW w:w="2320" w:type="dxa"/>
            <w:vAlign w:val="bottom"/>
            <w:gridSpan w:val="5"/>
          </w:tcPr>
          <w:p>
            <w:pPr>
              <w:ind w:left="440"/>
              <w:spacing w:after="0"/>
              <w:rPr>
                <w:sz w:val="20"/>
                <w:szCs w:val="20"/>
                <w:color w:val="auto"/>
              </w:rPr>
            </w:pPr>
            <w:r>
              <w:rPr>
                <w:rFonts w:ascii="Arial" w:cs="Arial" w:eastAsia="Arial" w:hAnsi="Arial"/>
                <w:sz w:val="13"/>
                <w:szCs w:val="13"/>
                <w:b w:val="1"/>
                <w:bCs w:val="1"/>
                <w:color w:val="auto"/>
              </w:rPr>
              <w:t>DECEMBER 29, 2018</w:t>
            </w:r>
          </w:p>
        </w:tc>
        <w:tc>
          <w:tcPr>
            <w:tcW w:w="160" w:type="dxa"/>
            <w:vAlign w:val="bottom"/>
          </w:tcPr>
          <w:p>
            <w:pPr>
              <w:spacing w:after="0"/>
              <w:rPr>
                <w:sz w:val="15"/>
                <w:szCs w:val="15"/>
                <w:color w:val="auto"/>
              </w:rPr>
            </w:pPr>
          </w:p>
        </w:tc>
        <w:tc>
          <w:tcPr>
            <w:tcW w:w="2180" w:type="dxa"/>
            <w:vAlign w:val="bottom"/>
            <w:gridSpan w:val="4"/>
          </w:tcPr>
          <w:p>
            <w:pPr>
              <w:jc w:val="right"/>
              <w:ind w:right="463"/>
              <w:spacing w:after="0"/>
              <w:rPr>
                <w:sz w:val="20"/>
                <w:szCs w:val="20"/>
                <w:color w:val="auto"/>
              </w:rPr>
            </w:pPr>
            <w:r>
              <w:rPr>
                <w:rFonts w:ascii="Arial" w:cs="Arial" w:eastAsia="Arial" w:hAnsi="Arial"/>
                <w:sz w:val="13"/>
                <w:szCs w:val="13"/>
                <w:b w:val="1"/>
                <w:bCs w:val="1"/>
                <w:color w:val="auto"/>
              </w:rPr>
              <w:t>SEPTEMBER 30, 2019</w:t>
            </w:r>
          </w:p>
        </w:tc>
      </w:tr>
      <w:tr>
        <w:trPr>
          <w:trHeight w:val="130"/>
        </w:trPr>
        <w:tc>
          <w:tcPr>
            <w:tcW w:w="14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7"/>
              </w:rPr>
              <w:t>FAIR VALUE</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135"/>
        </w:trPr>
        <w:tc>
          <w:tcPr>
            <w:tcW w:w="14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rPr>
              <w:t>HEIRARCHY</w:t>
            </w:r>
          </w:p>
        </w:tc>
        <w:tc>
          <w:tcPr>
            <w:tcW w:w="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980" w:type="dxa"/>
            <w:vAlign w:val="bottom"/>
          </w:tcPr>
          <w:p>
            <w:pPr>
              <w:jc w:val="right"/>
              <w:ind w:right="103"/>
              <w:spacing w:after="0" w:line="135" w:lineRule="exact"/>
              <w:rPr>
                <w:sz w:val="20"/>
                <w:szCs w:val="20"/>
                <w:color w:val="auto"/>
              </w:rPr>
            </w:pPr>
            <w:r>
              <w:rPr>
                <w:rFonts w:ascii="Arial" w:cs="Arial" w:eastAsia="Arial" w:hAnsi="Arial"/>
                <w:sz w:val="13"/>
                <w:szCs w:val="13"/>
                <w:b w:val="1"/>
                <w:bCs w:val="1"/>
                <w:color w:val="auto"/>
              </w:rPr>
              <w:t>ESTIMATED</w:t>
            </w:r>
          </w:p>
        </w:tc>
      </w:tr>
      <w:tr>
        <w:trPr>
          <w:trHeight w:val="174"/>
        </w:trPr>
        <w:tc>
          <w:tcPr>
            <w:tcW w:w="1280" w:type="dxa"/>
            <w:vAlign w:val="bottom"/>
            <w:tcBorders>
              <w:bottom w:val="single" w:sz="8" w:color="auto"/>
            </w:tcBorders>
          </w:tcPr>
          <w:p>
            <w:pPr>
              <w:jc w:val="center"/>
              <w:ind w:left="45"/>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99"/>
              </w:rPr>
              <w:t>FAIR VALUE</w:t>
            </w:r>
          </w:p>
        </w:tc>
      </w:tr>
      <w:tr>
        <w:trPr>
          <w:trHeight w:val="507"/>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2.0</w:t>
            </w:r>
          </w:p>
        </w:tc>
      </w:tr>
      <w:tr>
        <w:trPr>
          <w:trHeight w:val="540"/>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1.7</w:t>
            </w:r>
          </w:p>
        </w:tc>
      </w:tr>
      <w:tr>
        <w:trPr>
          <w:trHeight w:val="270"/>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729"/>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1</w:t>
            </w:r>
          </w:p>
        </w:tc>
        <w:tc>
          <w:tcPr>
            <w:tcW w:w="160" w:type="dxa"/>
            <w:vAlign w:val="bottom"/>
          </w:tcPr>
          <w:p>
            <w:pPr>
              <w:spacing w:after="0"/>
              <w:rPr>
                <w:sz w:val="24"/>
                <w:szCs w:val="24"/>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21.6</w:t>
            </w:r>
          </w:p>
        </w:tc>
      </w:tr>
      <w:tr>
        <w:trPr>
          <w:trHeight w:val="270"/>
        </w:trPr>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-1650365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-1299210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-956310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-612775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-149860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226695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569595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206"/>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54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537.1</w:t>
            </w:r>
          </w:p>
        </w:tc>
        <w:tc>
          <w:tcPr>
            <w:tcW w:w="50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537.1</w:t>
            </w:r>
          </w:p>
        </w:tc>
        <w:tc>
          <w:tcPr>
            <w:tcW w:w="4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793.9</w:t>
            </w:r>
          </w:p>
        </w:tc>
        <w:tc>
          <w:tcPr>
            <w:tcW w:w="4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793.9</w:t>
            </w:r>
          </w:p>
        </w:tc>
        <w:tc>
          <w:tcPr>
            <w:tcW w:w="4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147.2</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147.2</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750.0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790.0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790.0</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1</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459.6</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1</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267.5</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230.0</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263.4</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1</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398.5</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412.5</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39.0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540"/>
        </w:trPr>
        <w:tc>
          <w:tcPr>
            <w:tcW w:w="880" w:type="dxa"/>
            <w:vAlign w:val="bottom"/>
          </w:tcPr>
          <w:p>
            <w:pPr>
              <w:spacing w:after="0"/>
              <w:rPr>
                <w:sz w:val="20"/>
                <w:szCs w:val="20"/>
                <w:color w:val="auto"/>
              </w:rPr>
            </w:pPr>
            <w:r>
              <w:rPr>
                <w:rFonts w:ascii="Arial" w:cs="Arial" w:eastAsia="Arial" w:hAnsi="Arial"/>
                <w:sz w:val="16"/>
                <w:szCs w:val="16"/>
                <w:color w:val="auto"/>
              </w:rPr>
              <w:t>Level 2</w:t>
            </w:r>
          </w:p>
        </w:tc>
        <w:tc>
          <w:tcPr>
            <w:tcW w:w="74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50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48.4</w:t>
            </w:r>
          </w:p>
        </w:tc>
        <w:tc>
          <w:tcPr>
            <w:tcW w:w="4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4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4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70"/>
        </w:trPr>
        <w:tc>
          <w:tcPr>
            <w:tcW w:w="880" w:type="dxa"/>
            <w:vAlign w:val="bottom"/>
          </w:tcPr>
          <w:p>
            <w:pPr>
              <w:spacing w:after="0"/>
              <w:rPr>
                <w:sz w:val="20"/>
                <w:szCs w:val="20"/>
                <w:color w:val="auto"/>
              </w:rPr>
            </w:pPr>
            <w:r>
              <w:rPr>
                <w:rFonts w:ascii="Arial" w:cs="Arial" w:eastAsia="Arial" w:hAnsi="Arial"/>
                <w:sz w:val="16"/>
                <w:szCs w:val="16"/>
                <w:color w:val="auto"/>
              </w:rPr>
              <w:t>Level 3</w:t>
            </w:r>
          </w:p>
        </w:tc>
        <w:tc>
          <w:tcPr>
            <w:tcW w:w="7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4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4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-1864995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-1522095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-1179195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-835660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-492760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-149860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00"/>
            <w:col w:w="878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 AND OTHER COMMITMENTS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Certain lease agreements contain renewal and purchase options. The lease agreements generally require that the Company pay taxes, insurance and maintenance expenses related to the leased assets. There were no material operating leases that the Company had entered into and that were yet to commence as of December 28, 2019. From time to time, the Company will sublease portions of its facilities, resulting in sublease income. Sublease income and the related cash flows are not material to the condensed consolidated financial statements for the three months ended December 28, 2019.</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December 28, 2019, the Company’s residual value guarantee would have approximated $3.4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6"/>
                <w:szCs w:val="16"/>
                <w:color w:val="auto"/>
              </w:rPr>
            </w:pPr>
          </w:p>
        </w:tc>
        <w:tc>
          <w:tcPr>
            <w:tcW w:w="2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DECEMBER 28, 2019</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4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Right-of-use assets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0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1"/>
        </w:trPr>
        <w:tc>
          <w:tcPr>
            <w:tcW w:w="4800" w:type="dxa"/>
            <w:vAlign w:val="bottom"/>
            <w:shd w:val="clear" w:color="auto" w:fill="CCEEFF"/>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Finance leases: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lease liabilities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20"/>
              <w:spacing w:after="0"/>
              <w:rPr>
                <w:sz w:val="20"/>
                <w:szCs w:val="20"/>
                <w:color w:val="auto"/>
              </w:rPr>
            </w:pPr>
            <w:r>
              <w:rPr>
                <w:rFonts w:ascii="Arial" w:cs="Arial" w:eastAsia="Arial" w:hAnsi="Arial"/>
                <w:sz w:val="18"/>
                <w:szCs w:val="18"/>
                <w:color w:val="auto"/>
              </w:rPr>
              <w:t>Components of lease cost were as follows:</w:t>
            </w: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00" w:type="dxa"/>
            <w:vAlign w:val="bottom"/>
            <w:vMerge w:val="continue"/>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jc w:val="center"/>
              <w:ind w:right="1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4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DECEMBER 28, 2019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(a)</w:t>
            </w: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0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right-of-use assets</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w:t>
            </w: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Short-term lease expense is excluded from operating lease cost and is not material. Operating lease cost includes amortization of ROU assets of $11.1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jc w:val="center"/>
              <w:ind w:right="116"/>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DECEMBER 28, 2019</w:t>
            </w:r>
          </w:p>
        </w:tc>
      </w:tr>
      <w:tr>
        <w:trPr>
          <w:trHeight w:val="250"/>
        </w:trPr>
        <w:tc>
          <w:tcPr>
            <w:tcW w:w="9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r>
      <w:tr>
        <w:trPr>
          <w:trHeight w:val="243"/>
        </w:trPr>
        <w:tc>
          <w:tcPr>
            <w:tcW w:w="9140" w:type="dxa"/>
            <w:vAlign w:val="bottom"/>
            <w:gridSpan w:val="2"/>
          </w:tcPr>
          <w:p>
            <w:pPr>
              <w:ind w:left="280"/>
              <w:spacing w:after="0"/>
              <w:rPr>
                <w:sz w:val="20"/>
                <w:szCs w:val="20"/>
                <w:color w:val="auto"/>
              </w:rPr>
            </w:pPr>
            <w:r>
              <w:rPr>
                <w:rFonts w:ascii="Arial" w:cs="Arial" w:eastAsia="Arial" w:hAnsi="Arial"/>
                <w:sz w:val="18"/>
                <w:szCs w:val="18"/>
                <w:color w:val="auto"/>
              </w:rPr>
              <w:t>Operating cash flows from operating leases,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ind w:left="1660"/>
              <w:spacing w:after="0"/>
              <w:rPr>
                <w:sz w:val="20"/>
                <w:szCs w:val="20"/>
                <w:color w:val="auto"/>
              </w:rPr>
            </w:pPr>
            <w:r>
              <w:rPr>
                <w:rFonts w:ascii="Arial" w:cs="Arial" w:eastAsia="Arial" w:hAnsi="Arial"/>
                <w:sz w:val="18"/>
                <w:szCs w:val="18"/>
                <w:color w:val="auto"/>
              </w:rPr>
              <w:t>13.4</w:t>
            </w:r>
          </w:p>
        </w:tc>
      </w:tr>
      <w:tr>
        <w:trPr>
          <w:trHeight w:val="27"/>
        </w:trPr>
        <w:tc>
          <w:tcPr>
            <w:tcW w:w="9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gridSpan w:val="2"/>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1"/>
                <w:szCs w:val="21"/>
                <w:color w:val="auto"/>
              </w:rPr>
            </w:pPr>
          </w:p>
        </w:tc>
        <w:tc>
          <w:tcPr>
            <w:tcW w:w="2080" w:type="dxa"/>
            <w:vAlign w:val="bottom"/>
          </w:tcPr>
          <w:p>
            <w:pPr>
              <w:ind w:left="1740"/>
              <w:spacing w:after="0"/>
              <w:rPr>
                <w:sz w:val="20"/>
                <w:szCs w:val="20"/>
                <w:color w:val="auto"/>
              </w:rPr>
            </w:pPr>
            <w:r>
              <w:rPr>
                <w:rFonts w:ascii="Arial" w:cs="Arial" w:eastAsia="Arial" w:hAnsi="Arial"/>
                <w:sz w:val="18"/>
                <w:szCs w:val="18"/>
                <w:color w:val="auto"/>
              </w:rPr>
              <w:t>0.4</w:t>
            </w:r>
          </w:p>
        </w:tc>
      </w:tr>
      <w:tr>
        <w:trPr>
          <w:trHeight w:val="27"/>
        </w:trPr>
        <w:tc>
          <w:tcPr>
            <w:tcW w:w="9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84"/>
        </w:trPr>
        <w:tc>
          <w:tcPr>
            <w:tcW w:w="9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9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11.0</w:t>
            </w:r>
          </w:p>
        </w:tc>
      </w:tr>
      <w:tr>
        <w:trPr>
          <w:trHeight w:val="243"/>
        </w:trPr>
        <w:tc>
          <w:tcPr>
            <w:tcW w:w="9140" w:type="dxa"/>
            <w:vAlign w:val="bottom"/>
            <w:gridSpan w:val="2"/>
          </w:tcPr>
          <w:p>
            <w:pPr>
              <w:ind w:left="28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rPr>
              <w:t>11.9</w:t>
            </w:r>
          </w:p>
        </w:tc>
      </w:tr>
      <w:tr>
        <w:trPr>
          <w:trHeight w:val="621"/>
        </w:trPr>
        <w:tc>
          <w:tcPr>
            <w:tcW w:w="9140" w:type="dxa"/>
            <w:vAlign w:val="bottom"/>
            <w:gridSpan w:val="2"/>
          </w:tcPr>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9"/>
        </w:trPr>
        <w:tc>
          <w:tcPr>
            <w:tcW w:w="90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28, 2019</w:t>
            </w: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2"/>
          </w:tcPr>
          <w:p>
            <w:pPr>
              <w:ind w:left="3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rPr>
              <w:t>4.0</w:t>
            </w:r>
          </w:p>
        </w:tc>
      </w:tr>
      <w:tr>
        <w:trPr>
          <w:trHeight w:val="27"/>
        </w:trPr>
        <w:tc>
          <w:tcPr>
            <w:tcW w:w="9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8.9</w:t>
            </w:r>
          </w:p>
        </w:tc>
      </w:tr>
      <w:tr>
        <w:trPr>
          <w:trHeight w:val="284"/>
        </w:trPr>
        <w:tc>
          <w:tcPr>
            <w:tcW w:w="9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2"/>
          </w:tcPr>
          <w:p>
            <w:pPr>
              <w:ind w:left="3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w w:val="97"/>
              </w:rPr>
              <w:t>3.8%</w:t>
            </w:r>
          </w:p>
        </w:tc>
      </w:tr>
      <w:tr>
        <w:trPr>
          <w:trHeight w:val="27"/>
        </w:trPr>
        <w:tc>
          <w:tcPr>
            <w:tcW w:w="9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21"/>
                <w:szCs w:val="21"/>
                <w:color w:val="auto"/>
              </w:rPr>
            </w:pPr>
          </w:p>
        </w:tc>
        <w:tc>
          <w:tcPr>
            <w:tcW w:w="208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7"/>
              </w:rPr>
              <w:t>4.2%</w:t>
            </w:r>
          </w:p>
        </w:tc>
      </w:tr>
      <w:tr>
        <w:trPr>
          <w:trHeight w:val="27"/>
        </w:trPr>
        <w:tc>
          <w:tcPr>
            <w:tcW w:w="9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lease liabilities by fiscal year for the Company’s leases as of December 28, 2019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4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(remainder of the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future minimum annual lease payments required under the Company’s existing non-cancelable operating and capital lease agreements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prior to the adoption of ASC 842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LEASES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9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Loss</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 non-operating income, net</w:t>
            </w: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3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Growing media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Controls</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Hawthorne: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Indoor, urban and hydroponic gardening</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Growing media</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primarily gardening and controls</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following table presents net sales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5.250% Senior Notes and 4.500% Senior Notes were issued on December 15, 2016, and October 22, 2019, respectively. The 5.250% Senior Notes and 4.500% Senior Notes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Registered or Being Registered. </w:t>
      </w:r>
      <w:r>
        <w:rPr>
          <w:rFonts w:ascii="Arial" w:cs="Arial" w:eastAsia="Arial" w:hAnsi="Arial"/>
          <w:sz w:val="16"/>
          <w:szCs w:val="16"/>
          <w:color w:val="auto"/>
        </w:rPr>
        <w:t>The guarantees are “full and unconditional,” as those terms are used in Regulation S-X Rule 3-10, except that a subsidiary’s</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will be released in certain circumstances set forth in the indentures governing the 5.250% Senior Notes and 4.500% Senior Notes,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at the election of Scotts Miracle-Gro following the subsidiary’s release as a guarantor under the Fifth A&amp;R Credit Agreement, except a release by or as a result of the repayment of the Fifth A&amp;R Credit Agreement; or (6) if the subsidiary ceases to be a “restricted subsidiary” and the subsidiary is not otherwise required to provide a guarantee of the 5.250% Senior Notes and the 4.500% Senior Notes pursuant to the applicable indenture.</w:t>
      </w:r>
    </w:p>
    <w:p>
      <w:pPr>
        <w:spacing w:after="0" w:line="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December 28, 2019 the 5.250% Senior Notes and the 4.500% Senior Notes on a joint and several basis: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and GenSource, Inc. (collectively, the “Guarantors”). Effective in the three month period ending March 30, 2019, Gutwein &amp; Co., Inc. was dissolved and its subsidiary guarantee was released. Effective in the three month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ending June 29, 2019, SLS Holdings, Inc. and SMG ITO Holdings, Inc. were dissolved and their subsidiary guarantees were released.</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December 28, 2019 and December 29, 2018, Condensed Consolidating Statements of Comprehensive Income (Loss) for the three months ended December 28, 2019 and December 29, 2018, Condensed Consolidating Statements of Cash Flows for the three months ended December 28, 2019 and December 29, 2018, and Condensed Consolidating Balance Sheets as of December 28, 2019, December 29, 2018 and September 30, 2019.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Fifth A&amp;R Credit Facilities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4.500%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$463.5 million represent return of investments and are included in cash flows from investing activities.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67"/>
        </w:trPr>
        <w:tc>
          <w:tcPr>
            <w:tcW w:w="362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3820" w:type="dxa"/>
            <w:vAlign w:val="bottom"/>
            <w:gridSpan w:val="7"/>
          </w:tcPr>
          <w:p>
            <w:pPr>
              <w:ind w:left="9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0"/>
              </w:rPr>
              <w:t>Consolidations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CASH PROVIDED BY (USED IN)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investing, net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Investing cash flows from (to) affiliates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w w:val="99"/>
              </w:rPr>
              <w:t>Borrowings under revolving and bank lines of credit and term</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347.6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Repayments under revolving and bank lines of credit and term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Payments on seller notes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Financing cash flows from (to) affiliates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$49.1 million represent return of investments and are included in cash flows from investing activities.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67"/>
        </w:trPr>
        <w:tc>
          <w:tcPr>
            <w:tcW w:w="362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3820" w:type="dxa"/>
            <w:vAlign w:val="bottom"/>
            <w:gridSpan w:val="7"/>
          </w:tcPr>
          <w:p>
            <w:pPr>
              <w:ind w:left="9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2019 (the “2019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We are a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products within the United States and certain other specified countries. Through our Hawthorne segment, we are a leading manufacturer, marketer and distributor of nutrients, growing media, advanced indoor garden, lighting and ventilation systems and accessories for indoor, urban and hydroponic gardening.</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Beginning in fiscal 2015, our Hawthorne segment made a series of key acquisitions, including General Hydroponics, Gavita, Botanicare, Vermicrop, Agrolux, Can-Filters and AeroGrow. On June 4, 2018, our Hawthorne segment acquired substantially all of the assets of Sunlight Supply. Prior to the acquisition, Sunlight Supply was the largest distributor of hydroponic products in the United States, and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7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30702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gridSpan w:val="2"/>
          </w:tcPr>
          <w:p>
            <w:pPr>
              <w:ind w:left="718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37.7%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15.8%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17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million of the common shares of Scotts Miracle-Gro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of $1.0 billion through March 28, 2020. There were no share repurchases under the program during the three months ended December 28, 2019 and December 29, 2018. From the inception of this share repurchase program in the fourth quarter of fiscal 2014 through December 28, 2019, Scotts Miracle-Gro repurchased approximately 8.3 million Common Shares for $714.6 million. On January 31, 2020, the Scotts Miracle-Gro Board of Directors authorized a new repurchase program allowing for repurchases of Common Shares of up to an aggregate amount of $750.0 million beginning April 30, 2020 through March 25, 2023.</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July 30, 2019, the Scotts Miracle-Gro Board of Directors approved an increase in our quarterly cash dividend from $0.55 to $0.58 per Common Share, which was first paid in the fourth quarter of fiscal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three months ended December 28, 2019 and December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580" w:type="dxa"/>
            <w:vAlign w:val="bottom"/>
          </w:tcPr>
          <w:p>
            <w:pPr>
              <w:jc w:val="right"/>
              <w:ind w:right="512"/>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NET SALES</w:t>
            </w:r>
          </w:p>
        </w:tc>
        <w:tc>
          <w:tcPr>
            <w:tcW w:w="160" w:type="dxa"/>
            <w:vAlign w:val="bottom"/>
          </w:tcPr>
          <w:p>
            <w:pPr>
              <w:spacing w:after="0"/>
              <w:rPr>
                <w:sz w:val="16"/>
                <w:szCs w:val="16"/>
                <w:color w:val="auto"/>
              </w:rPr>
            </w:pP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right"/>
              <w:ind w:right="5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sales for the three months ended December 28, 2019 were $365.8 million, an increase of 22.7% from net sales of $298.1 million for the three months ended December 29, 2018. These changes in net sales were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340" w:type="dxa"/>
            <w:vAlign w:val="bottom"/>
          </w:tcPr>
          <w:p>
            <w:pPr>
              <w:jc w:val="right"/>
              <w:ind w:right="217"/>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6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DECEMBER 28, 2019</w:t>
            </w: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Pricing</w:t>
            </w:r>
          </w:p>
        </w:tc>
        <w:tc>
          <w:tcPr>
            <w:tcW w:w="2340" w:type="dxa"/>
            <w:vAlign w:val="bottom"/>
          </w:tcPr>
          <w:p>
            <w:pPr>
              <w:jc w:val="right"/>
              <w:ind w:right="97"/>
              <w:spacing w:after="0"/>
              <w:rPr>
                <w:sz w:val="20"/>
                <w:szCs w:val="20"/>
                <w:color w:val="auto"/>
              </w:rPr>
            </w:pPr>
            <w:r>
              <w:rPr>
                <w:rFonts w:ascii="Arial" w:cs="Arial" w:eastAsia="Arial" w:hAnsi="Arial"/>
                <w:sz w:val="18"/>
                <w:szCs w:val="18"/>
                <w:color w:val="auto"/>
              </w:rPr>
              <w:t>3.3</w:t>
            </w:r>
          </w:p>
        </w:tc>
      </w:tr>
      <w:tr>
        <w:trPr>
          <w:trHeight w:val="27"/>
        </w:trPr>
        <w:tc>
          <w:tcPr>
            <w:tcW w:w="906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net sales for the three months ended December 28, 2019 as compared to the three months ended December 29, 2018 was primarily driven by:</w:t>
      </w:r>
    </w:p>
    <w:p>
      <w:pPr>
        <w:spacing w:after="0" w:line="62" w:lineRule="exact"/>
        <w:rPr>
          <w:sz w:val="20"/>
          <w:szCs w:val="20"/>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sales volume driven by soils, fertilizer and plant food products in our U.S. Consumer segment and hydroponic gardening products in our Hawthorne segment, partially offset by decreased sales of grass seed products in our U.S. Consumer segment; and</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 driven by prior year increases that became effective during the second quarter of fiscal 2019.</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168"/>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1480" w:type="dxa"/>
            <w:vAlign w:val="bottom"/>
            <w:gridSpan w:val="2"/>
          </w:tcPr>
          <w:p>
            <w:pPr>
              <w:jc w:val="right"/>
              <w:ind w:right="150"/>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164.8</w:t>
            </w:r>
          </w:p>
        </w:tc>
        <w:tc>
          <w:tcPr>
            <w:tcW w:w="10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160" w:type="dxa"/>
            <w:vAlign w:val="bottom"/>
          </w:tcPr>
          <w:p>
            <w:pPr>
              <w:spacing w:after="0"/>
              <w:rPr>
                <w:sz w:val="21"/>
                <w:szCs w:val="21"/>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311.6</w:t>
            </w:r>
          </w:p>
        </w:tc>
        <w:tc>
          <w:tcPr>
            <w:tcW w:w="10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263.6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28, 2019</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cost of sales for the three months ended December 28, 2019 as compared to the three months ended December 29, 2018 was primarily driven by:</w:t>
      </w:r>
    </w:p>
    <w:p>
      <w:pPr>
        <w:spacing w:after="0" w:line="7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and Hawthorne segments driven by higher inventory levels;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p>
      <w:pPr>
        <w:sectPr>
          <w:pgSz w:w="11900" w:h="16838" w:orient="portrait"/>
          <w:cols w:equalWidth="0" w:num="1">
            <w:col w:w="11420"/>
          </w:cols>
          <w:pgMar w:left="240" w:top="125"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favorable transportation costs of $3.5 million included within “volume, product mix and other” associated with our U.S. Consumer segment fuel hedges driven by favorable mark-to-market adjustments for the three months ended December 28, 2019 as compared to unfavorable mark-to-market adjustments for the three months ended December 29, 2018;</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the euro;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impairment, restructuring and other charges of $2.2 million as a result of lower costs associated with Project Catalyst.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14.8% and 11.6% for the three months ended December 28, 2019 and December 29, 2018,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380" w:type="dxa"/>
            <w:vAlign w:val="bottom"/>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28, 2019</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Volume, product mix and other</w:t>
            </w:r>
          </w:p>
        </w:tc>
        <w:tc>
          <w:tcPr>
            <w:tcW w:w="23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r>
      <w:tr>
        <w:trPr>
          <w:trHeight w:val="237"/>
        </w:trPr>
        <w:tc>
          <w:tcPr>
            <w:tcW w:w="9020" w:type="dxa"/>
            <w:vAlign w:val="bottom"/>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90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gross profit rate for the three months ended December 28, 2019 as compared to the three months ended December 29, 2018 was primarily driven by:</w:t>
      </w:r>
    </w:p>
    <w:p>
      <w:pPr>
        <w:spacing w:after="0" w:line="7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and Hawthorne segments;</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transportation costs of $3.5 million included within “volume, product mix and other” associated with our U.S. Consumer segment fuel hedges driven by favorable mark-to-market adjustments for the three months ended December 28, 2019 as compared to unfavorable mark-to-market adjustments for the three months ended December 29, 2018;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as a result of lower costs associated with Project Catalyst;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higher warehousing costs and inventory adjustments to net realizable value included within “volume, product mix and other” associated with our U.S. Consumer and Hawthorne segments driven by higher inventory levels.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116.3</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SG&amp;A increased $3.5 million, or 3.0%, during the three months ended December 28, 2019 compared to the three months ended December 29, 2018. Advertising expense increased $0.5 million, or 4.9%, during the three months ended December 28, 2019 driven by increased media spending in our U.S. Consumer segment. Other SG&amp;A increased $3.3 million, or 4.0%, during the three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right="1560"/>
        <w:spacing w:after="0" w:line="407" w:lineRule="auto"/>
        <w:rPr>
          <w:sz w:val="20"/>
          <w:szCs w:val="20"/>
          <w:color w:val="auto"/>
        </w:rPr>
      </w:pPr>
      <w:r>
        <w:rPr>
          <w:rFonts w:ascii="Arial" w:cs="Arial" w:eastAsia="Arial" w:hAnsi="Arial"/>
          <w:sz w:val="18"/>
          <w:szCs w:val="18"/>
          <w:color w:val="auto"/>
        </w:rPr>
        <w:t xml:space="preserve">months ended December 28, 2019 driven by higher short-term variable cash incentive compensation expense and higher selling expense. </w:t>
      </w:r>
      <w:r>
        <w:rPr>
          <w:rFonts w:ascii="Arial" w:cs="Arial" w:eastAsia="Arial" w:hAnsi="Arial"/>
          <w:sz w:val="18"/>
          <w:szCs w:val="18"/>
          <w:b w:val="1"/>
          <w:bCs w:val="1"/>
          <w:i w:val="1"/>
          <w:iCs w:val="1"/>
          <w:color w:val="auto"/>
        </w:rPr>
        <w:t>Impairment, Restructuring and Other</w:t>
      </w:r>
    </w:p>
    <w:p>
      <w:pPr>
        <w:jc w:val="both"/>
        <w:ind w:firstLine="405"/>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from discontinued operations, net of tax” lines in the Condensed Consolidated Statements of Operations. The following table details impairment, restructuring and other charges (recoveries) for each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During the three months ended December 28, 2019, we incurred charges of $0.4 million related to Project Catalyst. We incurred charges of $0.3 million in our Hawthorne segment in the “Cost of sales—impairment, restructuring and other” line in the Condensed Consolidated Statements of Operations during the three months ended December 28, 2019 related to employee termination benefits and facility closure costs. We incurred charges of $0.1 million in our U.S. Consumer segment in the “Impairment, restructuring and other” line in the Condensed Consolidated Statements of Operations during the three months ended December 28, 2019 related to employee termination benefits and facility closure costs. Costs incurred to date since the inception of Project Catalyst are $26.2 million for our Hawthorne segment, $13.3 million for our U.S. Consumer segment, $1.2 million for our Other segment and $2.8 million for Corporate. Additionally, during the three months ended December 28, 2019, we received $2.6 million from the final settlement of escrow funds related to a previous acquisition within our Hawthorne segment that was recognized in the “Impairment, restructuring and other” line in the Condensed Consolidated Statements of Operations.</w:t>
      </w:r>
    </w:p>
    <w:p>
      <w:pPr>
        <w:spacing w:after="0" w:line="1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December 29, 2018, we incurred charges of $5.5 million related to Project Catalyst. We incurred charges of $0.3 million in our U.S. Consumer segment, $1.9 million in our Hawthorne segment and $0.3 million in our Other segment in the “Cost of sales—impairment, restructuring and other” line in the Condensed Consolidated Statements of Operations during the three months ended December 29, 2018 related to employee termination benefits, facility closure costs and impairment of property, plant and equipment. We incurred charges of $0.4 million in our U.S. Consumer segment, $1.7 million in our Hawthorne segment, $0.1 million in our Other segment and $0.8 million at Corporate in the “Impairment, restructuring and other” line in the Condensed Consolidated Statements of Operations during the three months ended December 29, 2018 related to employee termination benefits and facility closure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three months ended December 29, 2018, we recognized insurance recoveries of $5.0 million related to the previously disclosed legal matter </w:t>
      </w:r>
      <w:r>
        <w:rPr>
          <w:rFonts w:ascii="Arial" w:cs="Arial" w:eastAsia="Arial" w:hAnsi="Arial"/>
          <w:sz w:val="18"/>
          <w:szCs w:val="18"/>
          <w:i w:val="1"/>
          <w:iCs w:val="1"/>
          <w:color w:val="auto"/>
        </w:rPr>
        <w:t xml:space="preserve">In re Morning Song Bird Food Litigation </w:t>
      </w:r>
      <w:r>
        <w:rPr>
          <w:rFonts w:ascii="Arial" w:cs="Arial" w:eastAsia="Arial" w:hAnsi="Arial"/>
          <w:sz w:val="18"/>
          <w:szCs w:val="18"/>
          <w:color w:val="auto"/>
        </w:rPr>
        <w:t>in the “Income from discontinued operations, net of tax” line in the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Refer to “NOTE 2. DISCONTINUED OPERATIONS” of the Notes to Condensed Consolidated Financial Statements (Unaudited) included in this Quarterly Report on Form 10-Q for more information.</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three months ended December 29, 2018, we recognized a charge of $0.5 million for a probable loss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Refer to “NOTE 4. IMPAIRMENT, RESTRUCTURING AND OTHER” of the Notes to Condensed Consolidated Financial Statements (Unaudited) included in this Quarterly Report on Form 10-Q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foreign exchange transaction gains and losses and gains and losses from the disposition of non-inventory assets. Other income was $0.5 million and $0.4 million for the three months ended December 28, 2019 and December 29, 2018,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Loss from operations was $62.6 million for the three months ended December 28, 2019, a decrease of 26.3% compared to $84.9 million for the three months ended December 29, 2018. The decrease was driven by higher net sales, an increase in gross profit rate and lower impairment, restructuring and other charges, partially offset by higher SG&amp;A.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Equity in income of unconsolidated affiliates was zero and $1.3 million for the three months ended December 28, 2019 and December 29, 2018, respectively. The decrease for the three months ended December 28, 2019 was attributable to the sale of our noncontrolling equity interest in an unconsolidated affiliate whose products support the professional U.S. industrial, turf and ornamental market (the “IT&amp;O Joint Venture”) on April 1,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Costs related to refinancing were $15.1 million for the three months ended December 28, 2019. The costs incurred were associated with the redemption of our 6.000% Senior Notes due 2023 (the “6.000% Senior Notes”), and are comprised of $12.0 million of redemption premium and $3.1 million of unamortized bond issuance costs that were written off.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Interest expense was $20.0 million for the three months ended December 28, 2019, a decrease of 20.6% compared to $25.2 million for the three months ended December 29, 2018. The decrease was driven by a decrease in average borrowings of $333.0 million and a decrease in our weighted average interest rate of 30 basis points. The decrease in average borrowings was primarily driven by the application of the proceeds from the sale of our approximately 30% equity interest in Outdoor Home Services Holdings LLC, a lawn service joint venture between the Company and TruGreen Holding Corporation (the “TruGreen Joint Venture”), the payoff of second lien term loan financing by the TruGreen Joint Venture and the sale of our equity interest in the IT&amp;O Joint Venture to reduce our indebtedness. The decrease in our weighted average interest rate was driven by lower borrowing rates on the Fifth A&amp;R Credit Agreement, the issuance of the 4.500% Senior Notes due 2029 (the “4.500% Senior Notes”) and the redemption of the 6.000% Senior Notes.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non-operating income, which includes the non-service-cost components of net benefit cost and interest income, was $2.6 million and $2.9 million for the three months ended December 28, 2019 and December 29, 2018,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from Continuing Operations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rates related to continuing operations for the three months ended December 28, 2019 and December 29, 2018 were 25.0% and 22.0%,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Loss from continuing operations was $71.3 million, or $1.28 per diluted share, for the three months ended December 28, 2019 compared to $82.6 million, or $1.49 per diluted share, for the three months ended December 29, 2018. We anticipate a net loss in the first quarter of our fiscal year due to the seasonal nature of our business, in which sales are heavily weighted to the spring and summer selling periods during our second and third fiscal quarters. The decrease in loss from continuing operations was driven by higher net sales, an increase in gross profit rate, lower impairment, restructuring and other charges and lower interest expense, partially offset by higher SG&amp;A and costs related to refinancing.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Diluted average common shares used in the diluted income per common share calculation were 55.8 million for the three months ended December 28, 2019 compared to 55.3 million for the three months ended December 29, 2018. The increase was primarily the result of the exercise and issuance of share-based compensation awards.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Income from discontinued operations, net of tax, was zero and $2.9 million for the three months ended December 28, 2019 and December 29, 2018, respectively. During the three months ended December 29, 2018, we recognized insurance recoveries of $5.0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Refer to “NOTE 2. DISCONTINUED OPERATIONS” of the Notes to Condensed Consolidated Financial Statements (Unaudited) included in this Quarterly Report on Form 10-Q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divide our operations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our chief operating decision maker.</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140.8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298.1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loss from continuing operations before income taxes, the most directly comparable GAAP measure: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3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Hawthorne</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Segment Loss (Non-GAAP)</w:t>
            </w:r>
          </w:p>
        </w:tc>
        <w:tc>
          <w:tcPr>
            <w:tcW w:w="3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net</w:t>
            </w:r>
          </w:p>
        </w:tc>
        <w:tc>
          <w:tcPr>
            <w:tcW w:w="3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w w:val="99"/>
              </w:rPr>
              <w:t>Loss from continuing operations before income taxes (GAAP)</w:t>
            </w:r>
          </w:p>
        </w:tc>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080" w:type="dxa"/>
            <w:vAlign w:val="bottom"/>
            <w:vMerge w:val="restart"/>
          </w:tcPr>
          <w:p>
            <w:pPr>
              <w:jc w:val="right"/>
              <w:ind w:right="245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U.S. Consumer segment net sales were $147.4 million in the first quarter of fiscal 2020, an increase of 7.7% from first quarter of fiscal 2019 net sales of $136.9 million. The increase was driven by the favorable impacts of pricing and volume of 3.9% and 3.7%, respectively. The increase in sales volume for the three months ended December 28, 2019 was driven by soils, fertilizer and plant food products, partially offset by decreased sales of grass seed products.</w:t>
      </w:r>
    </w:p>
    <w:p>
      <w:pPr>
        <w:spacing w:after="0" w:line="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 Consumer Segment Loss was $41.5 million in the first quarter of fiscal 2020, a decrease of 3.7% from the first quarter of fiscal 2019 Segment Loss of $43.1 million. The decrease was due to higher net sales and gross profit rate, partially offset by higher SG&amp;A.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Hawthorne segment net sales were $198.8 million in the first quarter of fiscal 2020, an increase of 41.2% from first quarter of fiscal 2019 net sales of $140.8 million. The increase was driven by the favorable impacts of volume and pricing of 38.3% and 3.2%, respectively.</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Hawthorne Segment Profit was $13.9 million in the first quarter of fiscal 2020, an increase of 215.9% from the first quarter of fiscal 2019 Segment Profit of $4.4 million. The increase was due to higher net sales and gross profit rate, partially offset by higher SG&amp;A.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segment net sales were $19.6 million in the first quarter of fiscal 2020, a decrease of 3.9% from first quarter of fiscal 2019 net sales of $20.4 million. The decrease was driven by the unfavorable impact of volume of 5.1%, partially offset by the favorable impacts of price and foreign exchange of 0.4% and 0.8%, respectively. The decrease in sales volume for the three months ended December 28, 2019 was driven by the closure of our business in Mexico and lower sales to professional customers.</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Segment Loss was $3.5 million in the first quarter of fiscal 2020, a decrease of 12.5% from first quarter of fiscal 2019 Segment Loss of $4.0 million. The decrease was driven by a higher gross profit rate.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Corporate expenses were $26.1 million in the first quarter of fiscal 2020, a decrease of 6.5% from first quarter of fiscal 2019 expenses of $27.9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driven by lower travel expenses partially offset by higher short-term variable cash incentive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3"/>
          </w:tcPr>
          <w:p>
            <w:pPr>
              <w:jc w:val="right"/>
              <w:ind w:right="105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352.3</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239.9</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Cash used in operating activities totaled $318.2 million for the three months ended December 28, 2019, an increase of $84.8 million as compared to cash used in operating activities of $233.4 million for the three months ended December 29, 2018. This increase was driven by the timing of inventory production, higher short-term variable cash incentive compensation payouts and higher SG&amp;A, partially offset by increased net sales.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used in investing activities totaled $25.7 million for the three months ended December 28, 2019 as compared to cash used in investing activities of $17.1 million for the three months ended December 29, 2018. Cash used for investments in property, plant and equipment during the first three months of fiscal 2020 and 2019 was $21.9 million and $12.7 million, respectively. During the three months ended December 28, 2019, we made a $2.5 million loan investment and paid cash of $1.3 million associated with currency forward contracts. During the three months ended December 29, 2018, we paid a post-closing net working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 obligation of $6.6 million related to the fiscal 2018 acquisition of Sunlight Supply and we received cash of $2.2 million associated with currency forward contracts.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provided by financing activities totaled $352.3 million for the three months ended December 28, 2019 as compared to cash provided by financing activities of $239.9 million for the three months ended December 29, 2018. This change was the result of an increase in net borrowings under our Fifth A&amp;R Credit Facilities (as defined below) of $82.4 million driven by the timing of inventory production and the issuance of $450.0 million aggregate principal amount of 4.500% Senior Notes, partially offset by the redemption of all $400.0 million aggregate principal amount of 6.000% Senior Notes and payment of financing and issuance fees of $18.6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$27.4 million, $22.6 million and $18.8 million as of December 28, 2019, December 29, 2018 and September 30, 2019, respectively, included $19.3 million, $12.1 million and $7.2 million, respectively, held by controlled foreign corporations. As of December 28, 2019, we maintain our assertion of indefinite reinvestment of the earnings of all material foreign subsidiaries with the exception of the cumulative earnings of Scotts Luxembourg Sarl, which are generally taxed on a current basis under “Subpart F” of the Code which prevents deferral of recognition of U.S. taxable income through the use of foreign entities.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We maintain a fifth amended and restated credit agreement (the “Fifth A&amp;R Credit Agreement”) that provides senior secured loan facilities in the aggregate principal amount of $2.3 billion, comprised of a revolving credit facility of $1.5 billion and a term loan in the original principal amount of $800.0 million (the “Fifth A&amp;R Credit Facilities”). The Fifth A&amp;R Credit Agreement is available for issuance of letters of credit up to $75.0 million and will terminate on July 5, 2023.</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28, 2019, we had letters of credit outstanding in the aggregate principal amount of $22.5 million, and $940.4 million of borrowing availability under the Fifth A&amp;R Credit Agreement. The weighted average interest rates on average borrowings under the Fifth A&amp;R Credit Agreement were 3.9% and 4.5% for the three months ended December 28, 2019 and December 29, 2018, respectively.</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Our leverage ratio was 3.53 at December 28, 2019.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December 28, 2019. Our interest coverage ratio was 6.17 for the twelve months ended December 28, 2019. As of December 28, 2019, we were in compliance with these financial covenants.</w:t>
      </w:r>
    </w:p>
    <w:p>
      <w:pPr>
        <w:spacing w:after="0" w:line="10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$225.0 million for fiscal 2020 and thereafter.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2020.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million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million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commencing April 15, 2020. All of our domestic subsidiaries that serve as guarantors of the 5.250% Senior Notes also serve as guarantors of the 4.500% Senior Notes.</w:t>
      </w:r>
    </w:p>
    <w:p>
      <w:pPr>
        <w:spacing w:after="0" w:line="5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million, comprised of $0.5 million of accrued and unpaid interest, $12.0 million of redemption premium, and $400.0 million for outstanding principal amount. The $12.0 million redemption premium was recognized in the “Costs related to refinancing” line on the Condensed Consolidated Statements of Operations during the three months ended December 28, 2019. Additionally, we had $3.1 million in unamortized bond issuance costs associated with the 6.000% Senior Notes, which were written-off during the three months ended December 28, 2019 and were recognized in the “Costs related to refinancing” line in the Condensed Consolidated Statements of Operations.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also maintain a Master Repurchase Agreement (including the annexes thereto, the “Repurchase Agreement”) and a Master Framework Agreement (the “Framework Agreement” and, together with the Repurchase Agreement, the “Receivables Facility”), as amended, that allows us to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is $160.0 million. The Receivables Facility expires on August 21, 2020.</w:t>
      </w:r>
    </w:p>
    <w:p>
      <w:pPr>
        <w:spacing w:after="0" w:line="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 primarily as a result of our requirement to repurchase receivables sold. As of December 28, 2019 and December 29, 2018, there were $39.0 million and $40.0 million, respectively, in borrowings on receivables pledged as collateral under the Receivables Facility, and the carrying value of the receivables pledged as collateral was $43.3 million and $44.4 million, respectively. As of December 28, 2019 and December 29, 2018, there was $0.6 million and $0.2 million, respectively, of availability under the Receivables Facility.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as a means to hedge our variable interest rate risk on our Fifth A&amp;R Credit Agreement. The swap agreements had a maximum total U.S. dollar equivalent notional amount of $850.0 million, $1,300.0 million and $850.0 million at December 28, 2019, December 29, 2018 and September 30, 2019, respectively. Interest payments made between the effective date and expiration date are hedged by the swap agreements, except as noted below. The notional amount, effective date, expiration date and rate of each of these swap agreements outstanding at December 28, 2019 are shown in the table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5"/>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00" w:type="dxa"/>
            <w:vAlign w:val="bottom"/>
          </w:tcPr>
          <w:p>
            <w:pPr>
              <w:jc w:val="right"/>
              <w:ind w:right="1195"/>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5"/>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2900" w:type="dxa"/>
            <w:vAlign w:val="bottom"/>
          </w:tcPr>
          <w:p>
            <w:pPr>
              <w:jc w:val="right"/>
              <w:ind w:right="1235"/>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4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7/7/2021</w:t>
            </w:r>
          </w:p>
        </w:tc>
        <w:tc>
          <w:tcPr>
            <w:tcW w:w="34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21"/>
                <w:szCs w:val="21"/>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5" w:lineRule="exact"/>
        <w:rPr>
          <w:sz w:val="20"/>
          <w:szCs w:val="20"/>
          <w:color w:val="auto"/>
        </w:rPr>
      </w:pPr>
    </w:p>
    <w:p>
      <w:pPr>
        <w:jc w:val="both"/>
        <w:ind w:left="60" w:firstLine="405"/>
        <w:spacing w:after="0" w:line="276"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2019 Annual Report, under “ITEM 1A. RISK FACTORS — Our indebtedness could limit our flexibility and adversely affect our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than the issuance of our 4.500% Senior Notes and the redemption of all outstanding 6.000% Senior Notes, there have been no material changes outside of the ordinary course of business in our outstanding contractual obligations since the end of fiscal 2019 and through December 28, 2019. The following table summarizes our future cash outflows for contractual obligations under our borrowing agreements as of December 28,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1580" w:type="dxa"/>
            <w:vAlign w:val="bottom"/>
          </w:tcPr>
          <w:p>
            <w:pPr>
              <w:spacing w:after="0"/>
              <w:rPr>
                <w:sz w:val="13"/>
                <w:szCs w:val="13"/>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Less Than 1 Year</w:t>
            </w:r>
          </w:p>
        </w:tc>
        <w:tc>
          <w:tcPr>
            <w:tcW w:w="220" w:type="dxa"/>
            <w:vAlign w:val="bottom"/>
          </w:tcPr>
          <w:p>
            <w:pPr>
              <w:spacing w:after="0"/>
              <w:rPr>
                <w:sz w:val="13"/>
                <w:szCs w:val="13"/>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3"/>
                <w:szCs w:val="13"/>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96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2,037.6</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81.2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1,167.1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Interest expense on debt obligations</w:t>
            </w:r>
          </w:p>
        </w:tc>
        <w:tc>
          <w:tcPr>
            <w:tcW w:w="158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467.6</w:t>
            </w:r>
          </w:p>
        </w:tc>
        <w:tc>
          <w:tcPr>
            <w:tcW w:w="4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161.4</w:t>
            </w:r>
          </w:p>
        </w:tc>
        <w:tc>
          <w:tcPr>
            <w:tcW w:w="30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had long-term debt obligations and interest payments due primarily under the 4.500% Senior Notes, 5.250% Senior Notes and our credit facilities. Amounts in the table represent scheduled future maturities of long-term debt principal for the periods indicated and exclude finance lease obligations. The interest payments for our credit facilities are based on outstanding borrowings as of December 28, 2019. Actual interest expense will likely be different due to the seasonality of our business and associated changes in average borrowings.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2019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2019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2019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December 28,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28, 2019 that have materially affected, or are reasonably likely to materially affect,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2019. There have been no material changes to the pending legal proceedings set forth therein.</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risk factors, as of December 28, 2019, have not changed materially from those described in “ITEM IA. RISK FACTORS”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2019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for fiscal 2020 and thereafter. The Company’s leverage ratio was 3.53 at December 28, 2019.</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December 28,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Average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2019 through October 26, 2019</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103.65</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October 27, 2019 through November 23, 2019</w:t>
            </w:r>
          </w:p>
        </w:tc>
        <w:tc>
          <w:tcPr>
            <w:tcW w:w="1620" w:type="dxa"/>
            <w:vAlign w:val="bottom"/>
          </w:tcPr>
          <w:p>
            <w:pPr>
              <w:jc w:val="right"/>
              <w:ind w:right="43"/>
              <w:spacing w:after="0"/>
              <w:rPr>
                <w:sz w:val="20"/>
                <w:szCs w:val="20"/>
                <w:color w:val="auto"/>
              </w:rPr>
            </w:pPr>
            <w:r>
              <w:rPr>
                <w:rFonts w:ascii="Arial" w:cs="Arial" w:eastAsia="Arial" w:hAnsi="Arial"/>
                <w:sz w:val="16"/>
                <w:szCs w:val="16"/>
                <w:color w:val="auto"/>
              </w:rPr>
              <w:t>3,073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20"/>
                <w:szCs w:val="20"/>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24, 2019 through December 28, 2019</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102.59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6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7,018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102.91</w:t>
            </w:r>
          </w:p>
        </w:tc>
        <w:tc>
          <w:tcPr>
            <w:tcW w:w="12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Common Shares purchased during the first fiscal quarter of 2020 were purchased in open market transactions. The total number of Common Shares purchased during this quarter includes 7,018 Common Shares purchased by the trustee of the rabbi trust established by the Company as permitted pursuant to the terms of The Scotts Company LLC Executive Retirement Plan (the “ERP”).</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2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dollar amounts indicated reflect the remaining amounts that were available for repurchase under the authorized repurchase program. On January 31, 2020, the Scotts Miracle-Gro Board of Directors authorized a new repurchase program allowing for repurchases of Common Shares of up to an aggregate amount of $750.0 million beginning April 30, 2020 through March 25,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48 for a list of the exhibits included herewith.</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5" w:right="1440"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DECEMBER 28,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0" w:type="dxa"/>
            <w:vAlign w:val="bottom"/>
            <w:gridSpan w:val="13"/>
          </w:tcPr>
          <w:p>
            <w:pPr>
              <w:jc w:val="center"/>
              <w:ind w:right="940"/>
              <w:spacing w:after="0"/>
              <w:rPr>
                <w:sz w:val="20"/>
                <w:szCs w:val="20"/>
                <w:color w:val="auto"/>
              </w:rPr>
            </w:pPr>
            <w:r>
              <w:rPr>
                <w:rFonts w:ascii="Arial" w:cs="Arial" w:eastAsia="Arial" w:hAnsi="Arial"/>
                <w:sz w:val="18"/>
                <w:szCs w:val="18"/>
                <w:color w:val="auto"/>
                <w:w w:val="98"/>
              </w:rPr>
              <w:t>INDEX TO EXHIBITS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6"/>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05"/>
        </w:trPr>
        <w:tc>
          <w:tcPr>
            <w:tcW w:w="11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60" w:type="dxa"/>
            <w:vAlign w:val="bottom"/>
            <w:gridSpan w:val="15"/>
          </w:tcPr>
          <w:p>
            <w:pPr>
              <w:ind w:left="940"/>
              <w:spacing w:after="0"/>
              <w:rPr>
                <w:sz w:val="20"/>
                <w:szCs w:val="20"/>
                <w:color w:val="auto"/>
              </w:rPr>
            </w:pPr>
            <w:r>
              <w:rPr>
                <w:rFonts w:ascii="Arial" w:cs="Arial" w:eastAsia="Arial" w:hAnsi="Arial"/>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Filing Date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4.2(a)</w:t>
            </w:r>
          </w:p>
        </w:tc>
        <w:tc>
          <w:tcPr>
            <w:tcW w:w="40" w:type="dxa"/>
            <w:vAlign w:val="bottom"/>
          </w:tcPr>
          <w:p>
            <w:pPr>
              <w:spacing w:after="0"/>
              <w:rPr>
                <w:sz w:val="17"/>
                <w:szCs w:val="17"/>
                <w:color w:val="auto"/>
              </w:rPr>
            </w:pPr>
          </w:p>
        </w:tc>
        <w:tc>
          <w:tcPr>
            <w:tcW w:w="572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Indenture, dated as of October 22, 2019, by and among The Scotts Miracle-Gro</w:t>
              </w:r>
            </w:hyperlink>
          </w:p>
        </w:tc>
        <w:tc>
          <w:tcPr>
            <w:tcW w:w="660" w:type="dxa"/>
            <w:vAlign w:val="bottom"/>
            <w:gridSpan w:val="8"/>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80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11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October 28,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Company, the Guarantors (as defined therein) and U.S. Bank National Association, as</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83"/>
              </w:rPr>
            </w:pPr>
            <w:hyperlink r:id="rId24">
              <w:r>
                <w:rPr>
                  <w:rFonts w:ascii="Arial" w:cs="Arial" w:eastAsia="Arial" w:hAnsi="Arial"/>
                  <w:sz w:val="18"/>
                  <w:szCs w:val="18"/>
                  <w:color w:val="0000FF"/>
                  <w:w w:val="83"/>
                </w:rPr>
                <w:t>trustee</w:t>
              </w:r>
            </w:hyperlink>
          </w:p>
        </w:tc>
        <w:tc>
          <w:tcPr>
            <w:tcW w:w="59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0" w:type="dxa"/>
            <w:vAlign w:val="bottom"/>
          </w:tcPr>
          <w:p>
            <w:pPr>
              <w:spacing w:after="0"/>
              <w:rPr>
                <w:sz w:val="21"/>
                <w:szCs w:val="21"/>
                <w:color w:val="auto"/>
              </w:rPr>
            </w:pPr>
          </w:p>
        </w:tc>
        <w:tc>
          <w:tcPr>
            <w:tcW w:w="6380" w:type="dxa"/>
            <w:vAlign w:val="bottom"/>
            <w:gridSpan w:val="18"/>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4.500% Senior Notes due 2029</w:t>
              </w:r>
            </w:hyperlink>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October 28,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140" w:type="dxa"/>
            <w:vAlign w:val="bottom"/>
            <w:tcBorders>
              <w:top w:val="single" w:sz="8" w:color="0000FF"/>
            </w:tcBorders>
          </w:tcPr>
          <w:p>
            <w:pPr>
              <w:spacing w:after="0"/>
              <w:rPr>
                <w:sz w:val="20"/>
                <w:szCs w:val="20"/>
                <w:color w:val="auto"/>
              </w:rPr>
            </w:pPr>
          </w:p>
        </w:tc>
        <w:tc>
          <w:tcPr>
            <w:tcW w:w="116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0" w:type="dxa"/>
            <w:vAlign w:val="bottom"/>
          </w:tcPr>
          <w:p>
            <w:pPr>
              <w:spacing w:after="0"/>
              <w:rPr>
                <w:sz w:val="19"/>
                <w:szCs w:val="19"/>
                <w:color w:val="auto"/>
              </w:rPr>
            </w:pPr>
          </w:p>
        </w:tc>
        <w:tc>
          <w:tcPr>
            <w:tcW w:w="6380" w:type="dxa"/>
            <w:vAlign w:val="bottom"/>
            <w:gridSpan w:val="18"/>
          </w:tcPr>
          <w:p>
            <w:pPr>
              <w:spacing w:after="0"/>
              <w:rPr>
                <w:rFonts w:ascii="Arial" w:cs="Arial" w:eastAsia="Arial" w:hAnsi="Arial"/>
                <w:sz w:val="18"/>
                <w:szCs w:val="18"/>
                <w:color w:val="0000FF"/>
                <w:w w:val="98"/>
              </w:rPr>
            </w:pPr>
            <w:hyperlink r:id="rId25">
              <w:r>
                <w:rPr>
                  <w:rFonts w:ascii="Arial" w:cs="Arial" w:eastAsia="Arial" w:hAnsi="Arial"/>
                  <w:sz w:val="18"/>
                  <w:szCs w:val="18"/>
                  <w:color w:val="0000FF"/>
                  <w:w w:val="98"/>
                </w:rPr>
                <w:t>Registration Rights Agreement, dated as of October 22, 2019, by and among The</w:t>
              </w:r>
            </w:hyperlink>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October 28,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tcBorders>
            <w:gridSpan w:val="13"/>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Scotts Miracle-Gro Company, the guarantors named therein and J.P. Morgan</w:t>
              </w:r>
            </w:hyperlink>
          </w:p>
        </w:tc>
        <w:tc>
          <w:tcPr>
            <w:tcW w:w="54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80" w:type="dxa"/>
            <w:vAlign w:val="bottom"/>
            <w:gridSpan w:val="18"/>
          </w:tcPr>
          <w:p>
            <w:pPr>
              <w:spacing w:after="0" w:line="196"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Securities LLC, as representative of the several initial purchasers named therein</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gridSpan w:val="1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Consulting Agreement, dated January 15, 2020, between The Scotts Company LLC</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and Hanft Projects LLC</w:t>
              </w:r>
            </w:hyperlink>
          </w:p>
        </w:tc>
        <w:tc>
          <w:tcPr>
            <w:tcW w:w="3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gridSpan w:val="18"/>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Preferability Letter provided by Deloitte &amp; Touche LLP, the Registrant’s independent</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w:anchor="page55">
              <w:r>
                <w:rPr>
                  <w:rFonts w:ascii="Arial" w:cs="Arial" w:eastAsia="Arial" w:hAnsi="Arial"/>
                  <w:sz w:val="18"/>
                  <w:szCs w:val="18"/>
                  <w:color w:val="0000FF"/>
                  <w:w w:val="91"/>
                </w:rPr>
                <w:t>registered public accounting firm, to change in accounting principle</w:t>
              </w:r>
            </w:hyperlink>
          </w:p>
        </w:tc>
        <w:tc>
          <w:tcPr>
            <w:tcW w:w="1260" w:type="dxa"/>
            <w:vAlign w:val="bottom"/>
            <w:tcBorders>
              <w:top w:val="single" w:sz="8" w:color="0000FF"/>
            </w:tcBorders>
            <w:gridSpan w:val="9"/>
          </w:tcPr>
          <w:p>
            <w:pPr>
              <w:spacing w:after="0"/>
              <w:rPr>
                <w:sz w:val="17"/>
                <w:szCs w:val="17"/>
                <w:color w:val="auto"/>
              </w:rPr>
            </w:pPr>
          </w:p>
        </w:tc>
        <w:tc>
          <w:tcPr>
            <w:tcW w:w="2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Subsidiaries of The Scotts Miracle-Gro Company</w:t>
              </w:r>
            </w:hyperlink>
          </w:p>
        </w:tc>
        <w:tc>
          <w:tcPr>
            <w:tcW w:w="280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Rule 13a-14(a)/15d-14(a) Certifications (Principal Executive Officer)</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Rule 13a-14(a)/15d-14(a) Certifications (Principal Financial Officer)</w:t>
              </w:r>
            </w:hyperlink>
          </w:p>
        </w:tc>
        <w:tc>
          <w:tcPr>
            <w:tcW w:w="40" w:type="dxa"/>
            <w:vAlign w:val="bottom"/>
            <w:tcBorders>
              <w:top w:val="single" w:sz="8" w:color="0000FF"/>
            </w:tcBorders>
          </w:tcPr>
          <w:p>
            <w:pPr>
              <w:spacing w:after="0"/>
              <w:rPr>
                <w:sz w:val="21"/>
                <w:szCs w:val="21"/>
                <w:color w:val="auto"/>
              </w:rPr>
            </w:pPr>
          </w:p>
        </w:tc>
        <w:tc>
          <w:tcPr>
            <w:tcW w:w="1380" w:type="dxa"/>
            <w:vAlign w:val="bottom"/>
            <w:gridSpan w:val="10"/>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gridSpan w:val="1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Section 1350 Certifications (Principal Executive Officer and Principal Financial</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60">
              <w:r>
                <w:rPr>
                  <w:rFonts w:ascii="Arial" w:cs="Arial" w:eastAsia="Arial" w:hAnsi="Arial"/>
                  <w:sz w:val="18"/>
                  <w:szCs w:val="18"/>
                  <w:color w:val="0000FF"/>
                  <w:w w:val="94"/>
                </w:rPr>
                <w:t>Officer)</w:t>
              </w:r>
            </w:hyperlink>
          </w:p>
        </w:tc>
        <w:tc>
          <w:tcPr>
            <w:tcW w:w="5180" w:type="dxa"/>
            <w:vAlign w:val="bottom"/>
            <w:tcBorders>
              <w:top w:val="single" w:sz="8" w:color="0000FF"/>
            </w:tcBorders>
            <w:gridSpan w:val="10"/>
          </w:tcPr>
          <w:p>
            <w:pPr>
              <w:spacing w:after="0"/>
              <w:rPr>
                <w:sz w:val="17"/>
                <w:szCs w:val="17"/>
                <w:color w:val="auto"/>
              </w:rPr>
            </w:pPr>
          </w:p>
        </w:tc>
        <w:tc>
          <w:tcPr>
            <w:tcW w:w="6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rPr>
              <w:t>XBRL Taxonomy Extension Schema</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380" w:type="dxa"/>
            <w:vAlign w:val="bottom"/>
            <w:gridSpan w:val="18"/>
          </w:tcPr>
          <w:p>
            <w:pPr>
              <w:spacing w:after="0"/>
              <w:rPr>
                <w:sz w:val="20"/>
                <w:szCs w:val="20"/>
                <w:color w:val="auto"/>
              </w:rPr>
            </w:pPr>
            <w:r>
              <w:rPr>
                <w:rFonts w:ascii="Arial" w:cs="Arial" w:eastAsia="Arial" w:hAnsi="Arial"/>
                <w:sz w:val="18"/>
                <w:szCs w:val="18"/>
                <w:color w:val="auto"/>
                <w:w w:val="95"/>
              </w:rPr>
              <w:t>Cover Page Interactive Data File (formatted as Inline XBRL and contained in Exhibit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7"/>
          </w:tcPr>
          <w:p>
            <w:pPr>
              <w:jc w:val="right"/>
              <w:ind w:right="19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5, 2020</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i w:val="1"/>
          <w:iCs w:val="1"/>
          <w:u w:val="single" w:color="auto"/>
          <w:color w:val="auto"/>
        </w:rPr>
        <w:t>The Scotts Company LLC</w:t>
      </w:r>
      <w:r>
        <w:rPr>
          <w:rFonts w:ascii="Arial" w:cs="Arial" w:eastAsia="Arial" w:hAnsi="Arial"/>
          <w:sz w:val="25"/>
          <w:szCs w:val="25"/>
          <w:i w:val="1"/>
          <w:iCs w:val="1"/>
          <w:u w:val="single" w:color="auto"/>
          <w:color w:val="auto"/>
        </w:rPr>
        <w:t>______________________________</w:t>
      </w:r>
      <w:r>
        <w:rPr>
          <w:sz w:val="1"/>
          <w:szCs w:val="1"/>
          <w:color w:val="auto"/>
        </w:rPr>
        <w:drawing>
          <wp:inline distT="0" distB="0" distL="0" distR="0">
            <wp:extent cx="1115060" cy="488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115060" cy="488950"/>
                    </a:xfrm>
                    <a:prstGeom prst="rect">
                      <a:avLst/>
                    </a:prstGeom>
                    <a:noFill/>
                    <a:ln>
                      <a:noFill/>
                    </a:ln>
                  </pic:spPr>
                </pic:pic>
              </a:graphicData>
            </a:graphic>
          </wp:inline>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January 15,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Hanft Projects LLC</w:t>
      </w:r>
    </w:p>
    <w:p>
      <w:pPr>
        <w:spacing w:after="0"/>
        <w:rPr>
          <w:sz w:val="20"/>
          <w:szCs w:val="20"/>
          <w:color w:val="auto"/>
        </w:rPr>
      </w:pPr>
      <w:r>
        <w:rPr>
          <w:rFonts w:ascii="Arial" w:cs="Arial" w:eastAsia="Arial" w:hAnsi="Arial"/>
          <w:sz w:val="20"/>
          <w:szCs w:val="20"/>
          <w:color w:val="auto"/>
        </w:rPr>
        <w:t>55 Fifth Avenue, Penthouse</w:t>
      </w:r>
    </w:p>
    <w:p>
      <w:pPr>
        <w:spacing w:after="0"/>
        <w:rPr>
          <w:sz w:val="20"/>
          <w:szCs w:val="20"/>
          <w:color w:val="auto"/>
        </w:rPr>
      </w:pPr>
      <w:r>
        <w:rPr>
          <w:rFonts w:ascii="Arial" w:cs="Arial" w:eastAsia="Arial" w:hAnsi="Arial"/>
          <w:sz w:val="20"/>
          <w:szCs w:val="20"/>
          <w:color w:val="auto"/>
        </w:rPr>
        <w:t>New York, NY 10003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or any Board Committees or other Committees on which Mr. Hanft may serve.</w:t>
      </w:r>
    </w:p>
    <w:p>
      <w:pPr>
        <w:spacing w:after="0" w:line="18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Scope of Services</w:t>
      </w:r>
    </w:p>
    <w:p>
      <w:pPr>
        <w:spacing w:after="0" w:line="23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Subject to the approval of the Board, Contractor agrees to provide the consulting services to Scotts described below.</w:t>
      </w:r>
    </w:p>
    <w:p>
      <w:pPr>
        <w:spacing w:after="0" w:line="229" w:lineRule="exact"/>
        <w:rPr>
          <w:rFonts w:ascii="Arial" w:cs="Arial" w:eastAsia="Arial" w:hAnsi="Arial"/>
          <w:sz w:val="20"/>
          <w:szCs w:val="20"/>
          <w:b w:val="1"/>
          <w:bCs w:val="1"/>
          <w:color w:val="auto"/>
        </w:rPr>
      </w:pPr>
    </w:p>
    <w:p>
      <w:pPr>
        <w:jc w:val="both"/>
        <w:ind w:left="980" w:hanging="324"/>
        <w:spacing w:after="0" w:line="250" w:lineRule="auto"/>
        <w:tabs>
          <w:tab w:leader="none" w:pos="9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132"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In providing consulting services in the Areas of Expertise, it is anticipated that Contractor will generally undertake the following work and activities pursuant to this Agreement:</w:t>
      </w:r>
    </w:p>
    <w:p>
      <w:pPr>
        <w:spacing w:after="0" w:line="14"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2"/>
          <w:numId w:val="15"/>
        </w:numPr>
        <w:rPr>
          <w:rFonts w:ascii="Arial" w:cs="Arial" w:eastAsia="Arial" w:hAnsi="Arial"/>
          <w:sz w:val="20"/>
          <w:szCs w:val="20"/>
          <w:color w:val="auto"/>
        </w:rPr>
      </w:pPr>
      <w:r>
        <w:rPr>
          <w:rFonts w:ascii="Arial" w:cs="Arial" w:eastAsia="Arial" w:hAnsi="Arial"/>
          <w:sz w:val="20"/>
          <w:szCs w:val="20"/>
          <w:color w:val="auto"/>
        </w:rPr>
        <w:t>Provide insights and expertise to help inspire and develop a culture of creativity, with emphasis on: Shaping and assisting with the development of the overall marketing and creative strategy in conjunction with the CEO and COO; inspiring innovation; building Scotts’ brands and consumer loyalty; and mentoring and coaching key marketing and business executives as requested.</w:t>
      </w:r>
    </w:p>
    <w:p>
      <w:pPr>
        <w:spacing w:after="0" w:line="29" w:lineRule="exact"/>
        <w:rPr>
          <w:rFonts w:ascii="Arial" w:cs="Arial" w:eastAsia="Arial" w:hAnsi="Arial"/>
          <w:sz w:val="20"/>
          <w:szCs w:val="20"/>
          <w:color w:val="auto"/>
        </w:rPr>
      </w:pPr>
    </w:p>
    <w:p>
      <w:pPr>
        <w:ind w:left="1300" w:hanging="320"/>
        <w:spacing w:after="0"/>
        <w:tabs>
          <w:tab w:leader="none" w:pos="13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Consult with and provide recommendations to the CEO and COO on an as-needed basis on issues of marketing strategy.</w:t>
      </w:r>
    </w:p>
    <w:p>
      <w:pPr>
        <w:spacing w:after="0" w:line="7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2"/>
          <w:numId w:val="15"/>
        </w:numPr>
        <w:rPr>
          <w:rFonts w:ascii="Arial" w:cs="Arial" w:eastAsia="Arial" w:hAnsi="Arial"/>
          <w:sz w:val="19"/>
          <w:szCs w:val="19"/>
          <w:color w:val="auto"/>
        </w:rPr>
      </w:pPr>
      <w:r>
        <w:rPr>
          <w:rFonts w:ascii="Arial" w:cs="Arial" w:eastAsia="Arial" w:hAnsi="Arial"/>
          <w:sz w:val="19"/>
          <w:szCs w:val="19"/>
          <w:color w:val="auto"/>
        </w:rPr>
        <w:t>Participate in marketing meetings to support the successful execution of the anticipated marketing initiatives of the Company, including on-going support of core brands, the Company’s emerging direct-to-consumer business and Connected Yard initiative, the efforts of Hawthorne Gardening Company, and any other special projects as assigned.</w:t>
      </w:r>
    </w:p>
    <w:p>
      <w:pPr>
        <w:spacing w:after="0" w:line="116" w:lineRule="exact"/>
        <w:rPr>
          <w:sz w:val="20"/>
          <w:szCs w:val="20"/>
          <w:color w:val="auto"/>
        </w:rPr>
      </w:pPr>
    </w:p>
    <w:p>
      <w:pPr>
        <w:jc w:val="both"/>
        <w:ind w:left="980"/>
        <w:spacing w:after="0" w:line="250" w:lineRule="auto"/>
        <w:rPr>
          <w:sz w:val="20"/>
          <w:szCs w:val="20"/>
          <w:color w:val="auto"/>
        </w:rPr>
      </w:pPr>
      <w:r>
        <w:rPr>
          <w:rFonts w:ascii="Arial" w:cs="Arial" w:eastAsia="Arial" w:hAnsi="Arial"/>
          <w:sz w:val="20"/>
          <w:szCs w:val="20"/>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14111 Scottslawn Road Marysville, Ohio 43041</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937-644-0011</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www.scotts.com</w:t>
      </w:r>
    </w:p>
    <w:p>
      <w:pPr>
        <w:sectPr>
          <w:pgSz w:w="11900" w:h="16838" w:orient="portrait"/>
          <w:cols w:equalWidth="0" w:num="1">
            <w:col w:w="11420"/>
          </w:cols>
          <w:pgMar w:left="240" w:top="140" w:right="239" w:bottom="1440" w:gutter="0" w:footer="0" w:header="0"/>
        </w:sectPr>
      </w:pPr>
    </w:p>
    <w:bookmarkStart w:id="50" w:name="page51"/>
    <w:bookmarkEnd w:id="50"/>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2 –</w:t>
      </w:r>
      <w:r>
        <w:rPr>
          <w:sz w:val="20"/>
          <w:szCs w:val="20"/>
          <w:color w:val="auto"/>
        </w:rPr>
        <w:tab/>
      </w:r>
      <w:r>
        <w:rPr>
          <w:rFonts w:ascii="Arial" w:cs="Arial" w:eastAsia="Arial" w:hAnsi="Arial"/>
          <w:sz w:val="16"/>
          <w:szCs w:val="16"/>
          <w:color w:val="auto"/>
        </w:rPr>
        <w:t>January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980"/>
        <w:spacing w:after="0" w:line="246" w:lineRule="auto"/>
        <w:rPr>
          <w:sz w:val="20"/>
          <w:szCs w:val="20"/>
          <w:color w:val="auto"/>
        </w:rPr>
      </w:pPr>
      <w:r>
        <w:rPr>
          <w:rFonts w:ascii="Arial" w:cs="Arial" w:eastAsia="Arial" w:hAnsi="Arial"/>
          <w:sz w:val="20"/>
          <w:szCs w:val="20"/>
          <w:color w:val="auto"/>
        </w:rPr>
        <w:t>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138" w:lineRule="exact"/>
        <w:rPr>
          <w:sz w:val="20"/>
          <w:szCs w:val="20"/>
          <w:color w:val="auto"/>
        </w:rPr>
      </w:pPr>
    </w:p>
    <w:p>
      <w:pPr>
        <w:jc w:val="both"/>
        <w:ind w:left="420"/>
        <w:spacing w:after="0" w:line="276" w:lineRule="auto"/>
        <w:rPr>
          <w:sz w:val="20"/>
          <w:szCs w:val="20"/>
          <w:color w:val="auto"/>
        </w:rPr>
      </w:pPr>
      <w:r>
        <w:rPr>
          <w:rFonts w:ascii="Arial" w:cs="Arial" w:eastAsia="Arial" w:hAnsi="Arial"/>
          <w:sz w:val="18"/>
          <w:szCs w:val="18"/>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10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Length of Agreement</w:t>
      </w:r>
    </w:p>
    <w:p>
      <w:pPr>
        <w:spacing w:after="0" w:line="168"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The term of this Agreement will commence on February 1, 2020 and will end on January 31, 2021, unless terminated earlier under Section V.1. The term of this Agreement may be extended only by written agreement, signed by both parties and setting forth expressly the terms related to the consulting fee.</w:t>
      </w:r>
    </w:p>
    <w:p>
      <w:pPr>
        <w:spacing w:after="0" w:line="12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Authority</w:t>
      </w:r>
    </w:p>
    <w:p>
      <w:pPr>
        <w:spacing w:after="0" w:line="168"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Consulting Fees and Expenses</w:t>
      </w:r>
    </w:p>
    <w:p>
      <w:pPr>
        <w:spacing w:after="0" w:line="168" w:lineRule="exact"/>
        <w:rPr>
          <w:sz w:val="20"/>
          <w:szCs w:val="20"/>
          <w:color w:val="auto"/>
        </w:rPr>
      </w:pPr>
    </w:p>
    <w:p>
      <w:pPr>
        <w:ind w:left="980" w:right="520" w:hanging="324"/>
        <w:spacing w:after="0" w:line="260"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68" w:lineRule="exact"/>
        <w:rPr>
          <w:rFonts w:ascii="Arial" w:cs="Arial" w:eastAsia="Arial" w:hAnsi="Arial"/>
          <w:sz w:val="20"/>
          <w:szCs w:val="20"/>
          <w:color w:val="auto"/>
        </w:rPr>
      </w:pPr>
    </w:p>
    <w:p>
      <w:pPr>
        <w:jc w:val="both"/>
        <w:ind w:left="1620" w:hanging="315"/>
        <w:spacing w:after="0" w:line="246" w:lineRule="auto"/>
        <w:tabs>
          <w:tab w:leader="none" w:pos="162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83" w:lineRule="exact"/>
        <w:rPr>
          <w:rFonts w:ascii="Arial" w:cs="Arial" w:eastAsia="Arial" w:hAnsi="Arial"/>
          <w:sz w:val="20"/>
          <w:szCs w:val="20"/>
          <w:color w:val="auto"/>
        </w:rPr>
      </w:pPr>
    </w:p>
    <w:p>
      <w:pPr>
        <w:jc w:val="both"/>
        <w:ind w:left="1620" w:hanging="315"/>
        <w:spacing w:after="0" w:line="258" w:lineRule="auto"/>
        <w:tabs>
          <w:tab w:leader="none" w:pos="1620" w:val="left"/>
        </w:tabs>
        <w:numPr>
          <w:ilvl w:val="1"/>
          <w:numId w:val="18"/>
        </w:numPr>
        <w:rPr>
          <w:rFonts w:ascii="Arial" w:cs="Arial" w:eastAsia="Arial" w:hAnsi="Arial"/>
          <w:sz w:val="19"/>
          <w:szCs w:val="19"/>
          <w:color w:val="auto"/>
        </w:rPr>
      </w:pPr>
      <w:r>
        <w:rPr>
          <w:rFonts w:ascii="Arial" w:cs="Arial" w:eastAsia="Arial" w:hAnsi="Arial"/>
          <w:sz w:val="19"/>
          <w:szCs w:val="19"/>
          <w:color w:val="auto"/>
        </w:rPr>
        <w:t>A one-time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Each dividend equivalent represents the right to receive additional RSUs in respect of the dividends that are declared and paid during the period beginning on the Grant Date and ending on the applicable Settlement Date. The RSUs and any related dividend equivalents will vest on January 31, 2021, provided that this Agreement has not otherwise been terminated or notified for termination on that date for any reason listed in Section V.1(b)-(f) of this</w:t>
      </w:r>
    </w:p>
    <w:p>
      <w:pPr>
        <w:sectPr>
          <w:pgSz w:w="11900" w:h="16838" w:orient="portrait"/>
          <w:cols w:equalWidth="0" w:num="1">
            <w:col w:w="11420"/>
          </w:cols>
          <w:pgMar w:left="240" w:top="557" w:right="239" w:bottom="1440" w:gutter="0" w:footer="0" w:header="0"/>
        </w:sectPr>
      </w:pPr>
    </w:p>
    <w:bookmarkStart w:id="51" w:name="page52"/>
    <w:bookmarkEnd w:id="51"/>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3 –</w:t>
      </w:r>
      <w:r>
        <w:rPr>
          <w:sz w:val="20"/>
          <w:szCs w:val="20"/>
          <w:color w:val="auto"/>
        </w:rPr>
        <w:tab/>
      </w:r>
      <w:r>
        <w:rPr>
          <w:rFonts w:ascii="Arial" w:cs="Arial" w:eastAsia="Arial" w:hAnsi="Arial"/>
          <w:sz w:val="16"/>
          <w:szCs w:val="16"/>
          <w:color w:val="auto"/>
        </w:rPr>
        <w:t>January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20"/>
        <w:spacing w:after="0" w:line="246" w:lineRule="auto"/>
        <w:rPr>
          <w:sz w:val="20"/>
          <w:szCs w:val="20"/>
          <w:color w:val="auto"/>
        </w:rPr>
      </w:pPr>
      <w:r>
        <w:rPr>
          <w:rFonts w:ascii="Arial" w:cs="Arial" w:eastAsia="Arial" w:hAnsi="Arial"/>
          <w:sz w:val="20"/>
          <w:szCs w:val="20"/>
          <w:color w:val="auto"/>
        </w:rPr>
        <w:t>Agreement. The vested RSUs and related dividend equivalents, if any, will be settled as soon as administratively practical following vesting.</w:t>
      </w:r>
    </w:p>
    <w:p>
      <w:pPr>
        <w:spacing w:after="0" w:line="190" w:lineRule="exact"/>
        <w:rPr>
          <w:sz w:val="20"/>
          <w:szCs w:val="20"/>
          <w:color w:val="auto"/>
        </w:rPr>
      </w:pPr>
    </w:p>
    <w:p>
      <w:pPr>
        <w:jc w:val="both"/>
        <w:ind w:left="2280" w:hanging="327"/>
        <w:spacing w:after="0" w:line="244" w:lineRule="auto"/>
        <w:tabs>
          <w:tab w:leader="none" w:pos="2280" w:val="left"/>
        </w:tabs>
        <w:numPr>
          <w:ilvl w:val="2"/>
          <w:numId w:val="19"/>
        </w:numPr>
        <w:rPr>
          <w:rFonts w:ascii="Arial" w:cs="Arial" w:eastAsia="Arial" w:hAnsi="Arial"/>
          <w:sz w:val="20"/>
          <w:szCs w:val="20"/>
          <w:color w:val="auto"/>
        </w:rPr>
      </w:pPr>
      <w:r>
        <w:rPr>
          <w:rFonts w:ascii="Arial" w:cs="Arial" w:eastAsia="Arial" w:hAnsi="Arial"/>
          <w:sz w:val="20"/>
          <w:szCs w:val="20"/>
          <w:color w:val="auto"/>
        </w:rPr>
        <w:t>With the exception of the vesting provisions described above, the award of RSUs and related dividend equivalents shall be subject to the terms of The Scotts Miracle-Gro Company Long Term Incentive Plan, effective as of January 27, 2017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140" w:lineRule="exact"/>
        <w:rPr>
          <w:rFonts w:ascii="Arial" w:cs="Arial" w:eastAsia="Arial" w:hAnsi="Arial"/>
          <w:sz w:val="20"/>
          <w:szCs w:val="20"/>
          <w:color w:val="auto"/>
        </w:rPr>
      </w:pPr>
    </w:p>
    <w:p>
      <w:pPr>
        <w:jc w:val="both"/>
        <w:ind w:left="980" w:hanging="324"/>
        <w:spacing w:after="0" w:line="27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15"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26" w:lineRule="exact"/>
        <w:rPr>
          <w:rFonts w:ascii="Arial" w:cs="Arial" w:eastAsia="Arial" w:hAnsi="Arial"/>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67" w:lineRule="exact"/>
        <w:rPr>
          <w:rFonts w:ascii="Arial" w:cs="Arial" w:eastAsia="Arial" w:hAnsi="Arial"/>
          <w:sz w:val="20"/>
          <w:szCs w:val="20"/>
          <w:b w:val="1"/>
          <w:bCs w:val="1"/>
          <w:color w:val="auto"/>
        </w:rPr>
      </w:pPr>
    </w:p>
    <w:p>
      <w:pPr>
        <w:jc w:val="both"/>
        <w:ind w:left="980" w:hanging="324"/>
        <w:spacing w:after="0" w:line="258" w:lineRule="auto"/>
        <w:tabs>
          <w:tab w:leader="none" w:pos="9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125" w:lineRule="exact"/>
        <w:rPr>
          <w:rFonts w:ascii="Arial" w:cs="Arial" w:eastAsia="Arial" w:hAnsi="Arial"/>
          <w:sz w:val="19"/>
          <w:szCs w:val="19"/>
          <w:color w:val="auto"/>
        </w:rPr>
      </w:pPr>
    </w:p>
    <w:p>
      <w:pPr>
        <w:jc w:val="both"/>
        <w:ind w:left="980" w:hanging="324"/>
        <w:spacing w:after="0" w:line="269" w:lineRule="auto"/>
        <w:tabs>
          <w:tab w:leader="none" w:pos="9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event that Scotts terminates this Agreement for any reason other than those listed in Section V.1(b)-(f), Scotts will pay Contractor the total value of this Agreement, including RSUs, less any amounts already paid pursuant to this Agreement, as well as any expenses Contractor has incurred pursuant to the terms of this Agreement prior to the date of such termination.</w:t>
      </w:r>
    </w:p>
    <w:p>
      <w:pPr>
        <w:spacing w:after="0" w:line="183" w:lineRule="exact"/>
        <w:rPr>
          <w:rFonts w:ascii="Arial" w:cs="Arial" w:eastAsia="Arial" w:hAnsi="Arial"/>
          <w:sz w:val="19"/>
          <w:szCs w:val="19"/>
          <w:color w:val="auto"/>
        </w:rPr>
      </w:pPr>
    </w:p>
    <w:p>
      <w:pPr>
        <w:jc w:val="both"/>
        <w:ind w:left="980" w:hanging="324"/>
        <w:spacing w:after="0" w:line="246" w:lineRule="auto"/>
        <w:tabs>
          <w:tab w:leader="none" w:pos="9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In the event that Contractor terminates this Agreement and its consulting relationship with Scotts or Scotts terminates this Agreement and its consulting relationship with Contractor for any reason listed in Section V.1(b)-(f) of this Agreement, such termination shall not affect Scotts’ obligation to pay Contractor for the cash fees Contractor has earned prior to the date of such termination</w:t>
      </w:r>
    </w:p>
    <w:p>
      <w:pPr>
        <w:sectPr>
          <w:pgSz w:w="11900" w:h="16838" w:orient="portrait"/>
          <w:cols w:equalWidth="0" w:num="1">
            <w:col w:w="11420"/>
          </w:cols>
          <w:pgMar w:left="240" w:top="557" w:right="239" w:bottom="1440" w:gutter="0" w:footer="0" w:header="0"/>
        </w:sectPr>
      </w:pPr>
    </w:p>
    <w:bookmarkStart w:id="52" w:name="page53"/>
    <w:bookmarkEnd w:id="52"/>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4 –</w:t>
      </w:r>
      <w:r>
        <w:rPr>
          <w:sz w:val="20"/>
          <w:szCs w:val="20"/>
          <w:color w:val="auto"/>
        </w:rPr>
        <w:tab/>
      </w:r>
      <w:r>
        <w:rPr>
          <w:rFonts w:ascii="Arial" w:cs="Arial" w:eastAsia="Arial" w:hAnsi="Arial"/>
          <w:sz w:val="16"/>
          <w:szCs w:val="16"/>
          <w:color w:val="auto"/>
        </w:rPr>
        <w:t>January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80"/>
        <w:spacing w:after="0" w:line="246" w:lineRule="auto"/>
        <w:rPr>
          <w:sz w:val="20"/>
          <w:szCs w:val="20"/>
          <w:color w:val="auto"/>
        </w:rPr>
      </w:pPr>
      <w:r>
        <w:rPr>
          <w:rFonts w:ascii="Arial" w:cs="Arial" w:eastAsia="Arial" w:hAnsi="Arial"/>
          <w:sz w:val="20"/>
          <w:szCs w:val="20"/>
          <w:color w:val="auto"/>
        </w:rPr>
        <w:t>or reimburse Contractor for the expenses Contractor has incurred pursuant to the terms of this Agreement prior to the date of such termination.</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8"/>
          <w:szCs w:val="18"/>
          <w:b w:val="1"/>
          <w:bCs w:val="1"/>
          <w:color w:val="auto"/>
        </w:rPr>
        <w:t>Confidential Information and Insider Trading</w:t>
      </w:r>
    </w:p>
    <w:p>
      <w:pPr>
        <w:spacing w:after="0" w:line="168" w:lineRule="exact"/>
        <w:rPr>
          <w:sz w:val="20"/>
          <w:szCs w:val="20"/>
          <w:color w:val="auto"/>
        </w:rPr>
      </w:pPr>
    </w:p>
    <w:p>
      <w:pPr>
        <w:jc w:val="both"/>
        <w:ind w:left="980" w:hanging="418"/>
        <w:spacing w:after="0" w:line="258" w:lineRule="auto"/>
        <w:tabs>
          <w:tab w:leader="none" w:pos="9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25"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32" w:lineRule="exact"/>
        <w:rPr>
          <w:rFonts w:ascii="Arial" w:cs="Arial" w:eastAsia="Arial" w:hAnsi="Arial"/>
          <w:sz w:val="20"/>
          <w:szCs w:val="20"/>
          <w:color w:val="auto"/>
        </w:rPr>
      </w:pPr>
    </w:p>
    <w:p>
      <w:pPr>
        <w:jc w:val="both"/>
        <w:ind w:left="980" w:hanging="324"/>
        <w:spacing w:after="0" w:line="257" w:lineRule="auto"/>
        <w:tabs>
          <w:tab w:leader="none" w:pos="9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an effort to avoid the appearance of impropriety, you agree to follow all laws and regulations concerning insider trading, as well as the Scotts Insider Trading policy (attached), during the term of this Agreement. Further, you agree that you will not engage in any transaction of Scotts securities during the term of this Agreement except while the Scotts trading window is open and only after having obtained pre-clearance of the transaction per the procedure described in the Scotts Insider Trading policy. Following the termination of this Agreement, you agree that you remain subject to the Scotts Insider Trading policy if you are still serving as a member of the Board; if not, you agree that you remain subject to the Scotts Insider Trading policy until the next scheduled open trading window period and will not engage in any transaction of Scotts securities until then, and then only if you are not in possession of material, non-public information.</w:t>
      </w:r>
    </w:p>
    <w:p>
      <w:pPr>
        <w:spacing w:after="0" w:line="127" w:lineRule="exact"/>
        <w:rPr>
          <w:rFonts w:ascii="Arial" w:cs="Arial" w:eastAsia="Arial" w:hAnsi="Arial"/>
          <w:sz w:val="19"/>
          <w:szCs w:val="19"/>
          <w:color w:val="auto"/>
        </w:rPr>
      </w:pPr>
    </w:p>
    <w:p>
      <w:pPr>
        <w:ind w:left="980" w:right="20" w:hanging="324"/>
        <w:spacing w:after="0" w:line="260" w:lineRule="auto"/>
        <w:tabs>
          <w:tab w:leader="none" w:pos="9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122"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VII.</w:t>
        <w:tab/>
        <w:t>Conflicts of Interest</w:t>
      </w:r>
    </w:p>
    <w:p>
      <w:pPr>
        <w:spacing w:after="0" w:line="235" w:lineRule="exact"/>
        <w:rPr>
          <w:sz w:val="20"/>
          <w:szCs w:val="20"/>
          <w:color w:val="auto"/>
        </w:rPr>
      </w:pPr>
    </w:p>
    <w:p>
      <w:pPr>
        <w:jc w:val="both"/>
        <w:ind w:left="740"/>
        <w:spacing w:after="0" w:line="260" w:lineRule="auto"/>
        <w:rPr>
          <w:sz w:val="20"/>
          <w:szCs w:val="20"/>
          <w:color w:val="auto"/>
        </w:rPr>
      </w:pPr>
      <w:r>
        <w:rPr>
          <w:rFonts w:ascii="Arial" w:cs="Arial" w:eastAsia="Arial" w:hAnsi="Arial"/>
          <w:sz w:val="19"/>
          <w:szCs w:val="19"/>
          <w:color w:val="auto"/>
        </w:rPr>
        <w:t>While Contractor is not restricted from having other clients during the term of this Agreement, it is important to the Company that Contractor avoids actual or potential conflicts of interest. As such, Contractor agrees that Contractor has no business, professional, personal or other interest, including but not limited to representation of other clients, that conflicts in any manner or degree with the performance of Contractor’s obligations under this Agreement. If any such actual or potential conflict of interest arises under this Agreement, Contractor shall immediately inform the Company in writing of such conflict.</w:t>
      </w:r>
    </w:p>
    <w:p>
      <w:pPr>
        <w:sectPr>
          <w:pgSz w:w="11900" w:h="16838" w:orient="portrait"/>
          <w:cols w:equalWidth="0" w:num="1">
            <w:col w:w="11420"/>
          </w:cols>
          <w:pgMar w:left="240" w:top="557" w:right="239" w:bottom="1440" w:gutter="0" w:footer="0" w:header="0"/>
        </w:sectPr>
      </w:pPr>
    </w:p>
    <w:bookmarkStart w:id="53" w:name="page54"/>
    <w:bookmarkEnd w:id="53"/>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5 –</w:t>
      </w:r>
      <w:r>
        <w:rPr>
          <w:sz w:val="20"/>
          <w:szCs w:val="20"/>
          <w:color w:val="auto"/>
        </w:rPr>
        <w:tab/>
      </w:r>
      <w:r>
        <w:rPr>
          <w:rFonts w:ascii="Arial" w:cs="Arial" w:eastAsia="Arial" w:hAnsi="Arial"/>
          <w:sz w:val="16"/>
          <w:szCs w:val="16"/>
          <w:color w:val="auto"/>
        </w:rPr>
        <w:t>January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40" w:right="20"/>
        <w:spacing w:after="0" w:line="316" w:lineRule="auto"/>
        <w:rPr>
          <w:sz w:val="20"/>
          <w:szCs w:val="20"/>
          <w:color w:val="auto"/>
        </w:rPr>
      </w:pPr>
      <w:r>
        <w:rPr>
          <w:rFonts w:ascii="Arial" w:cs="Arial" w:eastAsia="Arial" w:hAnsi="Arial"/>
          <w:sz w:val="18"/>
          <w:szCs w:val="18"/>
          <w:color w:val="auto"/>
        </w:rPr>
        <w:t>If, in the reasonable judgment of the Company, such conflict poses a material conflict to and with the performance of Contractor’s obligations under this Agreement, then the Company may terminate this Agreement in accordance with Section V above.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VIII.Cooperation with Litigation</w:t>
      </w:r>
    </w:p>
    <w:p>
      <w:pPr>
        <w:spacing w:after="0" w:line="235" w:lineRule="exact"/>
        <w:rPr>
          <w:sz w:val="20"/>
          <w:szCs w:val="20"/>
          <w:color w:val="auto"/>
        </w:rPr>
      </w:pPr>
    </w:p>
    <w:p>
      <w:pPr>
        <w:ind w:left="340" w:right="80"/>
        <w:spacing w:after="0" w:line="274" w:lineRule="auto"/>
        <w:rPr>
          <w:sz w:val="20"/>
          <w:szCs w:val="20"/>
          <w:color w:val="auto"/>
        </w:rPr>
      </w:pPr>
      <w:r>
        <w:rPr>
          <w:rFonts w:ascii="Arial" w:cs="Arial" w:eastAsia="Arial" w:hAnsi="Arial"/>
          <w:sz w:val="18"/>
          <w:szCs w:val="18"/>
          <w:color w:val="auto"/>
        </w:rPr>
        <w:t>Contractor agrees to cooperate fully with Scotts in its defense of any lawsuit filed over matters that occurred while Contractor was or is a consultant to Scotts. Contractor agrees to provide full and accurate information with respect to the same. Contractor further agrees not to assist any party in maintaining any lawsuit against Scotts or any of its employees, officers or agents, and that Contractor will not provide any information to anyone concerning Scotts or its employees, directors, officers or agents, unless compelled to do so by valid subpoena or other court order, and in such case only after first notifying Scotts sufficiently in advance of such subpoena or court order to reasonably allow Scotts an opportunity to object to same. In the event that Contractor’s cooperation is necessary under this paragraph, Contractor and Scotts shall agree on a reasonable rate for Contractor’s time in providing that cooperation.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IX. Other</w:t>
      </w:r>
    </w:p>
    <w:p>
      <w:pPr>
        <w:spacing w:after="0" w:line="168" w:lineRule="exact"/>
        <w:rPr>
          <w:sz w:val="20"/>
          <w:szCs w:val="20"/>
          <w:color w:val="auto"/>
        </w:rPr>
      </w:pPr>
    </w:p>
    <w:p>
      <w:pPr>
        <w:ind w:left="980" w:hanging="324"/>
        <w:spacing w:after="0" w:line="31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161" w:lineRule="exact"/>
        <w:rPr>
          <w:rFonts w:ascii="Arial" w:cs="Arial" w:eastAsia="Arial" w:hAnsi="Arial"/>
          <w:sz w:val="20"/>
          <w:szCs w:val="20"/>
          <w:color w:val="auto"/>
        </w:rPr>
      </w:pPr>
    </w:p>
    <w:p>
      <w:pPr>
        <w:ind w:left="980" w:hanging="324"/>
        <w:spacing w:after="0" w:line="247"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Contractor acknowledges that neither Scotts nor any representatives of Scotts have made any representations or promises about the tax implications of this Agreement. Nothing in this</w:t>
      </w:r>
    </w:p>
    <w:p>
      <w:pPr>
        <w:spacing w:after="0" w:line="1" w:lineRule="exact"/>
        <w:rPr>
          <w:rFonts w:ascii="Arial" w:cs="Arial" w:eastAsia="Arial" w:hAnsi="Arial"/>
          <w:sz w:val="20"/>
          <w:szCs w:val="20"/>
          <w:color w:val="auto"/>
        </w:rPr>
      </w:pPr>
    </w:p>
    <w:p>
      <w:pPr>
        <w:ind w:left="980"/>
        <w:spacing w:after="0" w:line="244" w:lineRule="auto"/>
        <w:rPr>
          <w:rFonts w:ascii="Arial" w:cs="Arial" w:eastAsia="Arial" w:hAnsi="Arial"/>
          <w:sz w:val="20"/>
          <w:szCs w:val="20"/>
          <w:color w:val="auto"/>
        </w:rPr>
      </w:pPr>
      <w:r>
        <w:rPr>
          <w:rFonts w:ascii="Arial" w:cs="Arial" w:eastAsia="Arial" w:hAnsi="Arial"/>
          <w:sz w:val="20"/>
          <w:szCs w:val="20"/>
          <w:color w:val="auto"/>
        </w:rPr>
        <w:t>Agreement may be construed as tax advice from Scotts to Contractor. Contractor has been encouraged to discuss the tax implications of this Agreement with his own tax and financial counsel.</w:t>
      </w: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THE SCOTTS COMPANY LLC</w:t>
      </w:r>
    </w:p>
    <w:p>
      <w:pPr>
        <w:spacing w:after="0" w:line="378" w:lineRule="exact"/>
        <w:rPr>
          <w:sz w:val="20"/>
          <w:szCs w:val="20"/>
          <w:color w:val="auto"/>
        </w:rPr>
      </w:pPr>
    </w:p>
    <w:p>
      <w:pPr>
        <w:ind w:left="5220"/>
        <w:spacing w:after="0"/>
        <w:tabs>
          <w:tab w:leader="none" w:pos="5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27305</wp:posOffset>
            </wp:positionV>
            <wp:extent cx="33445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Denise Stump</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EVP, Global Human Resources &amp; Chief Ethics Officer</w:t>
      </w:r>
    </w:p>
    <w:p>
      <w:pPr>
        <w:spacing w:after="0" w:line="3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ACKNOWLEDGED AND AGREED:</w:t>
      </w:r>
    </w:p>
    <w:p>
      <w:pPr>
        <w:spacing w:after="0" w:line="3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31750</wp:posOffset>
            </wp:positionV>
            <wp:extent cx="3009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Adam Hanft, Chief Executive Officer</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Hanft Projects LLC</w:t>
      </w:r>
    </w:p>
    <w:p>
      <w:pPr>
        <w:sectPr>
          <w:pgSz w:w="11900" w:h="16838" w:orient="portrait"/>
          <w:cols w:equalWidth="0" w:num="1">
            <w:col w:w="11420"/>
          </w:cols>
          <w:pgMar w:left="240" w:top="55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5, 2020</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306"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At your request, we have read the description included in your Quarterly Report on Form 10-Q to the Securities and Exchange Commission for the quarter ended December 28, 2019, of the facts relating to the change in method of accounting for a portion of inventories from the average costing method to the first-in first-out method. We believe, on the basis of the facts so set forth and other information furnished to us by appropriate officials of The Scotts Miracle-Gro Company and subsidiaries (the “Company”), that the accounting change described in your Form 10-Q is to an alternative accounting principle that</w:t>
      </w:r>
    </w:p>
    <w:p>
      <w:pPr>
        <w:spacing w:after="0" w:line="2" w:lineRule="exact"/>
        <w:rPr>
          <w:sz w:val="20"/>
          <w:szCs w:val="20"/>
          <w:color w:val="auto"/>
        </w:rPr>
      </w:pPr>
    </w:p>
    <w:p>
      <w:pPr>
        <w:ind w:right="80"/>
        <w:spacing w:after="0" w:line="306" w:lineRule="auto"/>
        <w:rPr>
          <w:sz w:val="20"/>
          <w:szCs w:val="20"/>
          <w:color w:val="auto"/>
        </w:rPr>
      </w:pPr>
      <w:r>
        <w:rPr>
          <w:rFonts w:ascii="Arial" w:cs="Arial" w:eastAsia="Arial" w:hAnsi="Arial"/>
          <w:sz w:val="18"/>
          <w:szCs w:val="18"/>
          <w:color w:val="auto"/>
        </w:rPr>
        <w:t>is preferable under the circumstances. We have not audited any consolidated financial statements of the Company as of any date or for any period subsequent to September 30, 2019. Therefore, we are unable to express, and we do not express, an opinion on the facts set forth in the above-mentioned Form 10-Q, on the related information furnished to us by officials of the Company or on the financial position, results of operations, or cash flows of the Company as of any date or for any period subsequent to September 30, 2019.</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ectPr>
          <w:pgSz w:w="11900" w:h="16838" w:orient="portrait"/>
          <w:cols w:equalWidth="0" w:num="1">
            <w:col w:w="11420"/>
          </w:cols>
          <w:pgMar w:left="240" w:top="769"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December 28, 2019,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1868 Ventures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56" w:name="page57"/>
    <w:bookmarkEnd w:id="56"/>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3</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4</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26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7"/>
          <w:szCs w:val="17"/>
          <w:color w:val="auto"/>
        </w:rPr>
        <w:t>O M Scott International Investments Limited</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05" w:hanging="105"/>
        <w:spacing w:after="0"/>
        <w:tabs>
          <w:tab w:leader="none" w:pos="105"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Scotts Canada Ltd.'s ownership is 50.0%.</w:t>
      </w:r>
    </w:p>
    <w:p>
      <w:pPr>
        <w:ind w:left="105" w:hanging="105"/>
        <w:spacing w:after="0" w:line="208" w:lineRule="auto"/>
        <w:tabs>
          <w:tab w:leader="none" w:pos="105"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line="2" w:lineRule="exact"/>
        <w:rPr>
          <w:rFonts w:ascii="Arial" w:cs="Arial" w:eastAsia="Arial" w:hAnsi="Arial"/>
          <w:sz w:val="22"/>
          <w:szCs w:val="22"/>
          <w:color w:val="auto"/>
          <w:vertAlign w:val="superscript"/>
        </w:rPr>
      </w:pPr>
    </w:p>
    <w:p>
      <w:pPr>
        <w:ind w:left="5"/>
        <w:spacing w:after="0"/>
        <w:rPr>
          <w:rFonts w:ascii="Arial" w:cs="Arial" w:eastAsia="Arial" w:hAnsi="Arial"/>
          <w:sz w:val="22"/>
          <w:szCs w:val="22"/>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03" w:right="1440"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28, 2019;</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5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28, 2019;</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5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December 28, 2019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5, 2020</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5, 2020</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15">
    <w:nsid w:val="2D1D5AE9"/>
    <w:multiLevelType w:val="hybridMultilevel"/>
    <w:lvl w:ilvl="0">
      <w:lvlJc w:val="left"/>
      <w:lvlText w:val="%1."/>
      <w:numFmt w:val="upperLetter"/>
      <w:start w:val="35"/>
    </w:lvl>
  </w:abstractNum>
  <w:abstractNum w:abstractNumId="16">
    <w:nsid w:val="6763845E"/>
    <w:multiLevelType w:val="hybridMultilevel"/>
    <w:lvl w:ilvl="0">
      <w:lvlJc w:val="left"/>
      <w:lvlText w:val="%1."/>
      <w:numFmt w:val="upperLetter"/>
      <w:start w:val="61"/>
    </w:lvl>
  </w:abstractNum>
  <w:abstractNum w:abstractNumId="17">
    <w:nsid w:val="75A2A8D4"/>
    <w:multiLevelType w:val="hybridMultilevel"/>
    <w:lvl w:ilvl="0">
      <w:lvlJc w:val="left"/>
      <w:lvlText w:val="%1."/>
      <w:numFmt w:val="decimal"/>
      <w:start w:val="1"/>
    </w:lvl>
    <w:lvl w:ilvl="1">
      <w:lvlJc w:val="left"/>
      <w:lvlText w:val="%2."/>
      <w:numFmt w:val="lowerLetter"/>
      <w:start w:val="1"/>
    </w:lvl>
  </w:abstractNum>
  <w:abstractNum w:abstractNumId="18">
    <w:nsid w:val="8EDBD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9">
    <w:nsid w:val="79838CB2"/>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0">
    <w:nsid w:val="4353D0CD"/>
    <w:multiLevelType w:val="hybridMultilevel"/>
    <w:lvl w:ilvl="0">
      <w:lvlJc w:val="left"/>
      <w:lvlText w:val="%1."/>
      <w:numFmt w:val="upperLetter"/>
      <w:start w:val="22"/>
    </w:lvl>
    <w:lvl w:ilvl="1">
      <w:lvlJc w:val="left"/>
      <w:lvlText w:val="%2."/>
      <w:numFmt w:val="decimal"/>
      <w:start w:val="1"/>
    </w:lvl>
    <w:lvl w:ilvl="2">
      <w:lvlJc w:val="left"/>
      <w:lvlText w:val="%3"/>
      <w:numFmt w:val="lowerRoman"/>
      <w:start w:val="1"/>
    </w:lvl>
  </w:abstractNum>
  <w:abstractNum w:abstractNumId="21">
    <w:nsid w:val="B03E0C6"/>
    <w:multiLevelType w:val="hybridMultilevel"/>
    <w:lvl w:ilvl="0">
      <w:lvlJc w:val="left"/>
      <w:lvlText w:val="%1."/>
      <w:numFmt w:val="decimal"/>
      <w:start w:val="1"/>
    </w:lvl>
    <w:lvl w:ilvl="1">
      <w:lvlJc w:val="left"/>
      <w:lvlText w:val="%2."/>
      <w:numFmt w:val="decimal"/>
      <w:start w:val="2"/>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3"/>
      <w:numFmt w:val="bullet"/>
      <w:start w:val="1"/>
    </w:lvl>
  </w:abstractNum>
  <w:abstractNum w:abstractNumId="25">
    <w:nsid w:val="2CA88611"/>
    <w:multiLevelType w:val="hybridMultilevel"/>
    <w:lvl w:ilvl="0">
      <w:lvlJc w:val="left"/>
      <w:lvlText w:val="4"/>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24" Type="http://schemas.openxmlformats.org/officeDocument/2006/relationships/hyperlink" Target="http://www.sec.gov/Archives/edgar/data/825542/000144398419000203/exhibit41smg2019-10x28.htm" TargetMode="External"/><Relationship Id="rId25" Type="http://schemas.openxmlformats.org/officeDocument/2006/relationships/hyperlink" Target="http://www.sec.gov/Archives/edgar/data/825542/000144398419000203/exhibit43smg2019-10x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2020-02-05T15:28:17Z</dcterms:created>
  <dcterms:modified xsi:type="dcterms:W3CDTF">2020-02-05T15:28:17Z</dcterms:modified>
</cp:coreProperties>
</file>