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420"/>
        <w:spacing w:after="0"/>
        <w:rPr>
          <w:sz w:val="20"/>
          <w:szCs w:val="20"/>
          <w:color w:val="auto"/>
        </w:rPr>
      </w:pPr>
      <w:r>
        <w:rPr>
          <w:rFonts w:ascii="Arial" w:cs="Arial" w:eastAsia="Arial" w:hAnsi="Arial"/>
          <w:sz w:val="22"/>
          <w:szCs w:val="22"/>
          <w:b w:val="1"/>
          <w:bCs w:val="1"/>
          <w:color w:val="auto"/>
        </w:rPr>
        <w:t>WASHINGTON, D. C. 20549</w:t>
      </w:r>
    </w:p>
    <w:p>
      <w:pPr>
        <w:spacing w:after="0" w:line="141" w:lineRule="exact"/>
        <w:rPr>
          <w:sz w:val="20"/>
          <w:szCs w:val="20"/>
          <w:color w:val="auto"/>
        </w:rPr>
      </w:pPr>
    </w:p>
    <w:p>
      <w:pPr>
        <w:ind w:left="412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460" w:right="3000"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JANUARY 2, 2010</w:t>
      </w:r>
    </w:p>
    <w:p>
      <w:pPr>
        <w:spacing w:after="0" w:line="19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2980"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460"/>
        <w:spacing w:after="0"/>
        <w:tabs>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-7620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6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COMMISSION FILE NUMBER: 1-11593</w:t>
      </w:r>
    </w:p>
    <w:p>
      <w:pPr>
        <w:spacing w:after="0" w:line="173" w:lineRule="exact"/>
        <w:rPr>
          <w:sz w:val="20"/>
          <w:szCs w:val="20"/>
          <w:color w:val="auto"/>
        </w:rPr>
      </w:pPr>
    </w:p>
    <w:p>
      <w:pPr>
        <w:jc w:val="center"/>
        <w:ind w:right="1420"/>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9"/>
              </w:rPr>
              <w:t>OHIO</w:t>
            </w:r>
          </w:p>
        </w:tc>
        <w:tc>
          <w:tcPr>
            <w:tcW w:w="2740" w:type="dxa"/>
            <w:vAlign w:val="bottom"/>
          </w:tcPr>
          <w:p>
            <w:pPr>
              <w:jc w:val="right"/>
              <w:ind w:right="150"/>
              <w:spacing w:after="0"/>
              <w:rPr>
                <w:sz w:val="20"/>
                <w:szCs w:val="20"/>
                <w:color w:val="auto"/>
              </w:rPr>
            </w:pPr>
            <w:r>
              <w:rPr>
                <w:rFonts w:ascii="Arial" w:cs="Arial" w:eastAsia="Arial" w:hAnsi="Arial"/>
                <w:sz w:val="18"/>
                <w:szCs w:val="18"/>
                <w:color w:val="auto"/>
              </w:rPr>
              <w:t>31-1414921</w:t>
            </w:r>
          </w:p>
        </w:tc>
      </w:tr>
      <w:tr>
        <w:trPr>
          <w:trHeight w:val="216"/>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3"/>
              </w:rPr>
              <w:t>(State or other jurisdiction of</w:t>
            </w:r>
          </w:p>
        </w:tc>
        <w:tc>
          <w:tcPr>
            <w:tcW w:w="2740" w:type="dxa"/>
            <w:vAlign w:val="bottom"/>
          </w:tcPr>
          <w:p>
            <w:pPr>
              <w:jc w:val="center"/>
              <w:ind w:left="1290"/>
              <w:spacing w:after="0"/>
              <w:rPr>
                <w:sz w:val="20"/>
                <w:szCs w:val="20"/>
                <w:color w:val="auto"/>
              </w:rPr>
            </w:pPr>
            <w:r>
              <w:rPr>
                <w:rFonts w:ascii="Arial" w:cs="Arial" w:eastAsia="Arial" w:hAnsi="Arial"/>
                <w:sz w:val="18"/>
                <w:szCs w:val="18"/>
                <w:color w:val="auto"/>
                <w:w w:val="93"/>
              </w:rPr>
              <w:t>(I.R.S. Employer</w:t>
            </w:r>
          </w:p>
        </w:tc>
      </w:tr>
      <w:tr>
        <w:trPr>
          <w:trHeight w:val="230"/>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3"/>
              </w:rPr>
              <w:t>incorporation or organization)</w:t>
            </w: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60" w:type="dxa"/>
            <w:vAlign w:val="bottom"/>
          </w:tcPr>
          <w:p>
            <w:pPr>
              <w:jc w:val="center"/>
              <w:ind w:right="1330"/>
              <w:spacing w:after="0"/>
              <w:rPr>
                <w:sz w:val="20"/>
                <w:szCs w:val="20"/>
                <w:color w:val="auto"/>
              </w:rPr>
            </w:pPr>
            <w:r>
              <w:rPr>
                <w:rFonts w:ascii="Arial" w:cs="Arial" w:eastAsia="Arial" w:hAnsi="Arial"/>
                <w:sz w:val="18"/>
                <w:szCs w:val="18"/>
                <w:color w:val="auto"/>
                <w:w w:val="94"/>
              </w:rPr>
              <w:t>14111 SCOTTSLAWN ROAD,</w:t>
            </w:r>
          </w:p>
        </w:tc>
        <w:tc>
          <w:tcPr>
            <w:tcW w:w="2740" w:type="dxa"/>
            <w:vAlign w:val="bottom"/>
          </w:tcPr>
          <w:p>
            <w:pPr>
              <w:spacing w:after="0"/>
              <w:rPr>
                <w:sz w:val="24"/>
                <w:szCs w:val="24"/>
                <w:color w:val="auto"/>
              </w:rPr>
            </w:pPr>
          </w:p>
        </w:tc>
      </w:tr>
      <w:tr>
        <w:trPr>
          <w:trHeight w:val="216"/>
        </w:trPr>
        <w:tc>
          <w:tcPr>
            <w:tcW w:w="4260" w:type="dxa"/>
            <w:vAlign w:val="bottom"/>
          </w:tcPr>
          <w:p>
            <w:pPr>
              <w:jc w:val="center"/>
              <w:ind w:right="1310"/>
              <w:spacing w:after="0"/>
              <w:rPr>
                <w:sz w:val="20"/>
                <w:szCs w:val="20"/>
                <w:color w:val="auto"/>
              </w:rPr>
            </w:pPr>
            <w:r>
              <w:rPr>
                <w:rFonts w:ascii="Arial" w:cs="Arial" w:eastAsia="Arial" w:hAnsi="Arial"/>
                <w:sz w:val="18"/>
                <w:szCs w:val="18"/>
                <w:color w:val="auto"/>
              </w:rPr>
              <w:t>MARYSVILLE, OHIO</w:t>
            </w:r>
          </w:p>
        </w:tc>
        <w:tc>
          <w:tcPr>
            <w:tcW w:w="2740" w:type="dxa"/>
            <w:vAlign w:val="bottom"/>
          </w:tcPr>
          <w:p>
            <w:pPr>
              <w:jc w:val="right"/>
              <w:ind w:right="370"/>
              <w:spacing w:after="0"/>
              <w:rPr>
                <w:sz w:val="20"/>
                <w:szCs w:val="20"/>
                <w:color w:val="auto"/>
              </w:rPr>
            </w:pPr>
            <w:r>
              <w:rPr>
                <w:rFonts w:ascii="Arial" w:cs="Arial" w:eastAsia="Arial" w:hAnsi="Arial"/>
                <w:sz w:val="18"/>
                <w:szCs w:val="18"/>
                <w:color w:val="auto"/>
              </w:rPr>
              <w:t>43041</w:t>
            </w:r>
          </w:p>
        </w:tc>
      </w:tr>
      <w:tr>
        <w:trPr>
          <w:trHeight w:val="230"/>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2"/>
              </w:rPr>
              <w:t>(Address of principal executive offices)</w:t>
            </w:r>
          </w:p>
        </w:tc>
        <w:tc>
          <w:tcPr>
            <w:tcW w:w="2740" w:type="dxa"/>
            <w:vAlign w:val="bottom"/>
          </w:tcPr>
          <w:p>
            <w:pPr>
              <w:jc w:val="center"/>
              <w:ind w:left="1290"/>
              <w:spacing w:after="0"/>
              <w:rPr>
                <w:sz w:val="20"/>
                <w:szCs w:val="20"/>
                <w:color w:val="auto"/>
              </w:rPr>
            </w:pPr>
            <w:r>
              <w:rPr>
                <w:rFonts w:ascii="Arial" w:cs="Arial" w:eastAsia="Arial" w:hAnsi="Arial"/>
                <w:sz w:val="18"/>
                <w:szCs w:val="18"/>
                <w:color w:val="auto"/>
                <w:w w:val="94"/>
              </w:rPr>
              <w:t>(Zip Code)</w:t>
            </w:r>
          </w:p>
        </w:tc>
      </w:tr>
    </w:tbl>
    <w:p>
      <w:pPr>
        <w:spacing w:after="0" w:line="161"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(937) 644-0011</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NO CHANGE</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84" w:lineRule="exact"/>
        <w:rPr>
          <w:sz w:val="20"/>
          <w:szCs w:val="20"/>
          <w:color w:val="auto"/>
        </w:rPr>
      </w:pPr>
    </w:p>
    <w:p>
      <w:pPr>
        <w:jc w:val="both"/>
        <w:ind w:left="340" w:right="1760"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1760" w:firstLine="373"/>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46"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00" w:type="dxa"/>
            <w:vAlign w:val="bottom"/>
          </w:tcPr>
          <w:p>
            <w:pPr>
              <w:jc w:val="center"/>
              <w:ind w:right="90"/>
              <w:spacing w:after="0"/>
              <w:rPr>
                <w:sz w:val="20"/>
                <w:szCs w:val="20"/>
                <w:color w:val="auto"/>
              </w:rPr>
            </w:pPr>
            <w:r>
              <w:rPr>
                <w:rFonts w:ascii="Arial" w:cs="Arial" w:eastAsia="Arial" w:hAnsi="Arial"/>
                <w:sz w:val="18"/>
                <w:szCs w:val="18"/>
                <w:color w:val="auto"/>
                <w:w w:val="90"/>
              </w:rPr>
              <w:t>Large accelerated filer</w:t>
            </w:r>
          </w:p>
        </w:tc>
        <w:tc>
          <w:tcPr>
            <w:tcW w:w="1680" w:type="dxa"/>
            <w:vAlign w:val="bottom"/>
          </w:tcPr>
          <w:p>
            <w:pPr>
              <w:ind w:left="180"/>
              <w:spacing w:after="0"/>
              <w:rPr>
                <w:sz w:val="20"/>
                <w:szCs w:val="20"/>
                <w:color w:val="auto"/>
              </w:rPr>
            </w:pPr>
            <w:r>
              <w:rPr>
                <w:rFonts w:ascii="Arial" w:cs="Arial" w:eastAsia="Arial" w:hAnsi="Arial"/>
                <w:sz w:val="18"/>
                <w:szCs w:val="18"/>
                <w:color w:val="auto"/>
              </w:rPr>
              <w:t>Accelerated filer o</w:t>
            </w:r>
          </w:p>
        </w:tc>
        <w:tc>
          <w:tcPr>
            <w:tcW w:w="3640" w:type="dxa"/>
            <w:vAlign w:val="bottom"/>
          </w:tcPr>
          <w:p>
            <w:pPr>
              <w:jc w:val="center"/>
              <w:ind w:left="10"/>
              <w:spacing w:after="0"/>
              <w:rPr>
                <w:sz w:val="20"/>
                <w:szCs w:val="20"/>
                <w:color w:val="auto"/>
              </w:rPr>
            </w:pPr>
            <w:r>
              <w:rPr>
                <w:rFonts w:ascii="Arial" w:cs="Arial" w:eastAsia="Arial" w:hAnsi="Arial"/>
                <w:sz w:val="18"/>
                <w:szCs w:val="18"/>
                <w:color w:val="auto"/>
                <w:w w:val="91"/>
              </w:rPr>
              <w:t>Non-accelerated filer o</w:t>
            </w:r>
          </w:p>
        </w:tc>
        <w:tc>
          <w:tcPr>
            <w:tcW w:w="2200" w:type="dxa"/>
            <w:vAlign w:val="bottom"/>
          </w:tcPr>
          <w:p>
            <w:pPr>
              <w:ind w:left="100"/>
              <w:spacing w:after="0"/>
              <w:rPr>
                <w:sz w:val="20"/>
                <w:szCs w:val="20"/>
                <w:color w:val="auto"/>
              </w:rPr>
            </w:pPr>
            <w:r>
              <w:rPr>
                <w:rFonts w:ascii="Arial" w:cs="Arial" w:eastAsia="Arial" w:hAnsi="Arial"/>
                <w:sz w:val="18"/>
                <w:szCs w:val="18"/>
                <w:color w:val="auto"/>
                <w:w w:val="90"/>
              </w:rPr>
              <w:t>Smaller reporting company o</w:t>
            </w:r>
          </w:p>
        </w:tc>
        <w:tc>
          <w:tcPr>
            <w:tcW w:w="0" w:type="dxa"/>
            <w:vAlign w:val="bottom"/>
          </w:tcPr>
          <w:p>
            <w:pPr>
              <w:spacing w:after="0"/>
              <w:rPr>
                <w:sz w:val="1"/>
                <w:szCs w:val="1"/>
                <w:color w:val="auto"/>
              </w:rPr>
            </w:pPr>
          </w:p>
        </w:tc>
      </w:tr>
      <w:tr>
        <w:trPr>
          <w:trHeight w:val="283"/>
        </w:trPr>
        <w:tc>
          <w:tcPr>
            <w:tcW w:w="1800" w:type="dxa"/>
            <w:vAlign w:val="bottom"/>
          </w:tcPr>
          <w:p>
            <w:pPr>
              <w:jc w:val="center"/>
              <w:ind w:right="110"/>
              <w:spacing w:after="0" w:line="181" w:lineRule="exact"/>
              <w:rPr>
                <w:sz w:val="20"/>
                <w:szCs w:val="20"/>
                <w:color w:val="auto"/>
              </w:rPr>
            </w:pPr>
            <w:r>
              <w:rPr>
                <w:rFonts w:ascii="MS PGothic" w:cs="MS PGothic" w:eastAsia="MS PGothic" w:hAnsi="MS PGothic"/>
                <w:sz w:val="18"/>
                <w:szCs w:val="18"/>
                <w:color w:val="auto"/>
                <w:w w:val="88"/>
              </w:rPr>
              <w:t>☑</w:t>
            </w:r>
          </w:p>
        </w:tc>
        <w:tc>
          <w:tcPr>
            <w:tcW w:w="168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2"/>
              </w:rPr>
              <w:t>(Do not check if a smaller reporting company)</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4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760" w:firstLine="373"/>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 at February 8, 2010</w:t>
            </w:r>
          </w:p>
        </w:tc>
        <w:tc>
          <w:tcPr>
            <w:tcW w:w="17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Common Shares, $0.01 stated value, no par value</w:t>
            </w:r>
          </w:p>
        </w:tc>
        <w:tc>
          <w:tcPr>
            <w:tcW w:w="4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8"/>
              </w:rPr>
              <w:t>66,581,978 common shares</w:t>
            </w:r>
          </w:p>
        </w:tc>
        <w:tc>
          <w:tcPr>
            <w:tcW w:w="1760" w:type="dxa"/>
            <w:vAlign w:val="bottom"/>
          </w:tcPr>
          <w:p>
            <w:pPr>
              <w:spacing w:after="0"/>
              <w:rPr>
                <w:sz w:val="19"/>
                <w:szCs w:val="19"/>
                <w:color w:val="auto"/>
              </w:rPr>
            </w:pPr>
          </w:p>
        </w:tc>
      </w:tr>
      <w:tr>
        <w:trPr>
          <w:trHeight w:val="236"/>
        </w:trPr>
        <w:tc>
          <w:tcPr>
            <w:tcW w:w="34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492"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gridSpan w:val="9"/>
          </w:tcPr>
          <w:p>
            <w:pPr>
              <w:jc w:val="center"/>
              <w:ind w:right="1920"/>
              <w:spacing w:after="0"/>
              <w:rPr>
                <w:sz w:val="20"/>
                <w:szCs w:val="20"/>
                <w:color w:val="auto"/>
              </w:rPr>
            </w:pPr>
            <w:r>
              <w:rPr>
                <w:rFonts w:ascii="Arial" w:cs="Arial" w:eastAsia="Arial" w:hAnsi="Arial"/>
                <w:sz w:val="18"/>
                <w:szCs w:val="18"/>
                <w:color w:val="auto"/>
                <w:w w:val="95"/>
              </w:rPr>
              <w:t>THE SCOTTS MIRACLE-GRO COMPANY</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0" w:type="dxa"/>
            <w:vAlign w:val="bottom"/>
            <w:gridSpan w:val="7"/>
          </w:tcPr>
          <w:p>
            <w:pPr>
              <w:jc w:val="center"/>
              <w:ind w:right="3320"/>
              <w:spacing w:after="0"/>
              <w:rPr>
                <w:sz w:val="20"/>
                <w:szCs w:val="20"/>
                <w:color w:val="auto"/>
              </w:rPr>
            </w:pPr>
            <w:r>
              <w:rPr>
                <w:rFonts w:ascii="Arial" w:cs="Arial" w:eastAsia="Arial" w:hAnsi="Arial"/>
                <w:sz w:val="18"/>
                <w:szCs w:val="18"/>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20" w:type="dxa"/>
            <w:vAlign w:val="bottom"/>
            <w:gridSpan w:val="23"/>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PAGE NO.</w:t>
            </w:r>
          </w:p>
        </w:tc>
        <w:tc>
          <w:tcPr>
            <w:tcW w:w="0" w:type="dxa"/>
            <w:vAlign w:val="bottom"/>
          </w:tcPr>
          <w:p>
            <w:pPr>
              <w:spacing w:after="0"/>
              <w:rPr>
                <w:sz w:val="1"/>
                <w:szCs w:val="1"/>
                <w:color w:val="auto"/>
              </w:rPr>
            </w:pPr>
          </w:p>
        </w:tc>
      </w:tr>
      <w:tr>
        <w:trPr>
          <w:trHeight w:val="169"/>
        </w:trPr>
        <w:tc>
          <w:tcPr>
            <w:tcW w:w="8320" w:type="dxa"/>
            <w:vAlign w:val="bottom"/>
            <w:gridSpan w:val="23"/>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860" w:type="dxa"/>
            <w:vAlign w:val="bottom"/>
            <w:tcBorders>
              <w:top w:val="single" w:sz="8" w:color="0000EE"/>
            </w:tcBorders>
            <w:gridSpan w:val="3"/>
          </w:tcPr>
          <w:p>
            <w:pPr>
              <w:spacing w:after="0"/>
              <w:rPr>
                <w:sz w:val="24"/>
                <w:szCs w:val="24"/>
                <w:color w:val="auto"/>
              </w:rPr>
            </w:pPr>
          </w:p>
        </w:tc>
        <w:tc>
          <w:tcPr>
            <w:tcW w:w="5400" w:type="dxa"/>
            <w:vAlign w:val="bottom"/>
            <w:gridSpan w:val="9"/>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4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 Three months ended January 2, 2010 and</w:t>
              </w:r>
            </w:hyperlink>
          </w:p>
        </w:tc>
        <w:tc>
          <w:tcPr>
            <w:tcW w:w="118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December 27, 2008</w:t>
              </w:r>
            </w:hyperlink>
          </w:p>
        </w:tc>
        <w:tc>
          <w:tcPr>
            <w:tcW w:w="6500" w:type="dxa"/>
            <w:vAlign w:val="bottom"/>
            <w:gridSpan w:val="1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 Three months ended January 2, 2010 and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December 27, 2008</w:t>
              </w:r>
            </w:hyperlink>
          </w:p>
        </w:tc>
        <w:tc>
          <w:tcPr>
            <w:tcW w:w="5360" w:type="dxa"/>
            <w:vAlign w:val="bottom"/>
            <w:tcBorders>
              <w:top w:val="single" w:sz="8" w:color="0000EE"/>
            </w:tcBorders>
            <w:gridSpan w:val="12"/>
          </w:tcPr>
          <w:p>
            <w:pPr>
              <w:spacing w:after="0"/>
              <w:rPr>
                <w:sz w:val="17"/>
                <w:szCs w:val="17"/>
                <w:color w:val="auto"/>
              </w:rPr>
            </w:pPr>
          </w:p>
        </w:tc>
        <w:tc>
          <w:tcPr>
            <w:tcW w:w="114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21"/>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Balance Sheets — January 2, 2010, December 27, 2008 and September 30, 2009</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640" w:type="dxa"/>
            <w:vAlign w:val="bottom"/>
            <w:tcBorders>
              <w:top w:val="single" w:sz="8" w:color="0000EE"/>
            </w:tcBorders>
            <w:gridSpan w:val="7"/>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832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 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48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132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23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Item 4. Controls and Procedures</w:t>
              </w:r>
            </w:hyperlink>
          </w:p>
        </w:tc>
        <w:tc>
          <w:tcPr>
            <w:tcW w:w="600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262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PART II. OTHER INFORMATION:</w:t>
              </w:r>
            </w:hyperlink>
          </w:p>
        </w:tc>
        <w:tc>
          <w:tcPr>
            <w:tcW w:w="5700" w:type="dxa"/>
            <w:vAlign w:val="bottom"/>
            <w:gridSpan w:val="10"/>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20" w:type="dxa"/>
            <w:vAlign w:val="bottom"/>
            <w:gridSpan w:val="2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 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1A. Risk Factors</w:t>
              </w:r>
            </w:hyperlink>
          </w:p>
        </w:tc>
        <w:tc>
          <w:tcPr>
            <w:tcW w:w="6440" w:type="dxa"/>
            <w:vAlign w:val="bottom"/>
            <w:gridSpan w:val="1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Item 2. Unregistered Sales of Equity Securities and Use of Proceeds</w:t>
              </w:r>
            </w:hyperlink>
          </w:p>
        </w:tc>
        <w:tc>
          <w:tcPr>
            <w:tcW w:w="34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432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Item 4. Submission of Matters to a Vote of Security Holders</w:t>
              </w:r>
            </w:hyperlink>
          </w:p>
        </w:tc>
        <w:tc>
          <w:tcPr>
            <w:tcW w:w="400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12"/>
        </w:trPr>
        <w:tc>
          <w:tcPr>
            <w:tcW w:w="8320" w:type="dxa"/>
            <w:vAlign w:val="bottom"/>
            <w:gridSpan w:val="2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6. 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12"/>
        </w:trPr>
        <w:tc>
          <w:tcPr>
            <w:tcW w:w="7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Signatures</w:t>
              </w:r>
            </w:hyperlink>
          </w:p>
        </w:tc>
        <w:tc>
          <w:tcPr>
            <w:tcW w:w="380" w:type="dxa"/>
            <w:vAlign w:val="bottom"/>
            <w:tcBorders>
              <w:top w:val="single" w:sz="8" w:color="0000EE"/>
            </w:tcBorders>
            <w:gridSpan w:val="2"/>
          </w:tcPr>
          <w:p>
            <w:pPr>
              <w:spacing w:after="0"/>
              <w:rPr>
                <w:sz w:val="24"/>
                <w:szCs w:val="24"/>
                <w:color w:val="auto"/>
              </w:rPr>
            </w:pPr>
          </w:p>
        </w:tc>
        <w:tc>
          <w:tcPr>
            <w:tcW w:w="7180" w:type="dxa"/>
            <w:vAlign w:val="bottom"/>
            <w:gridSpan w:val="1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12"/>
        </w:trPr>
        <w:tc>
          <w:tcPr>
            <w:tcW w:w="12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Index to Exhibits</w:t>
              </w:r>
            </w:hyperlink>
          </w:p>
        </w:tc>
        <w:tc>
          <w:tcPr>
            <w:tcW w:w="708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280" w:type="dxa"/>
            <w:vAlign w:val="bottom"/>
            <w:gridSpan w:val="22"/>
          </w:tcPr>
          <w:p>
            <w:pPr>
              <w:spacing w:after="0"/>
              <w:rPr>
                <w:sz w:val="20"/>
                <w:szCs w:val="20"/>
                <w:color w:val="auto"/>
              </w:rPr>
            </w:pPr>
            <w:r>
              <w:rPr>
                <w:rFonts w:ascii="Arial" w:cs="Arial" w:eastAsia="Arial" w:hAnsi="Arial"/>
                <w:sz w:val="18"/>
                <w:szCs w:val="18"/>
                <w:color w:val="0000EE"/>
              </w:rPr>
              <w:t>Exhibit 10.1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420" w:type="dxa"/>
            <w:vAlign w:val="bottom"/>
            <w:gridSpan w:val="1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280" w:type="dxa"/>
            <w:vAlign w:val="bottom"/>
            <w:gridSpan w:val="22"/>
          </w:tcPr>
          <w:p>
            <w:pPr>
              <w:spacing w:after="0" w:line="196" w:lineRule="exact"/>
              <w:rPr>
                <w:sz w:val="20"/>
                <w:szCs w:val="20"/>
                <w:color w:val="auto"/>
              </w:rPr>
            </w:pPr>
            <w:r>
              <w:rPr>
                <w:rFonts w:ascii="Arial" w:cs="Arial" w:eastAsia="Arial" w:hAnsi="Arial"/>
                <w:sz w:val="18"/>
                <w:szCs w:val="18"/>
                <w:color w:val="0000EE"/>
              </w:rPr>
              <w:t>Exhibit 10.2</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420" w:type="dxa"/>
            <w:vAlign w:val="bottom"/>
            <w:gridSpan w:val="1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280" w:type="dxa"/>
            <w:vAlign w:val="bottom"/>
            <w:gridSpan w:val="22"/>
          </w:tcPr>
          <w:p>
            <w:pPr>
              <w:spacing w:after="0" w:line="196" w:lineRule="exact"/>
              <w:rPr>
                <w:sz w:val="20"/>
                <w:szCs w:val="20"/>
                <w:color w:val="auto"/>
              </w:rPr>
            </w:pPr>
            <w:r>
              <w:rPr>
                <w:rFonts w:ascii="Arial" w:cs="Arial" w:eastAsia="Arial" w:hAnsi="Arial"/>
                <w:sz w:val="18"/>
                <w:szCs w:val="18"/>
                <w:color w:val="0000EE"/>
              </w:rPr>
              <w:t>Exhibit 10.3</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10.4</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 — FINANCIAL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 FINANCIAL STATEMENTS</w:t>
      </w:r>
    </w:p>
    <w:p>
      <w:pPr>
        <w:spacing w:after="0" w:line="185"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38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JANUARY 2,</w:t>
            </w:r>
          </w:p>
        </w:tc>
        <w:tc>
          <w:tcPr>
            <w:tcW w:w="13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DECEMBER 27,</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236.2</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product registration and recall matters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137.6</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138.7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registration and recall matters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continuing operations before taxes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Income tax benefit from continuing operations</w:t>
            </w: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continuing operations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Arial" w:cs="Arial" w:eastAsia="Arial" w:hAnsi="Arial"/>
                <w:sz w:val="18"/>
                <w:szCs w:val="18"/>
                <w:color w:val="auto"/>
              </w:rPr>
              <w:t>BASIC LOSS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Basic loss per common share from continuing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(0.76)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(0.82)</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 loss per common share from discontinued operations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Arial" w:cs="Arial" w:eastAsia="Arial" w:hAnsi="Arial"/>
                <w:sz w:val="18"/>
                <w:szCs w:val="18"/>
                <w:color w:val="auto"/>
              </w:rPr>
              <w:t>Basic loss per common share</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656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(0.88)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(0.88)</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65.9</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64.7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 loss per common share from continuing operations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Diluted loss per common share from discontinued operations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(0.12)</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0.125</w:t>
            </w:r>
          </w:p>
        </w:tc>
        <w:tc>
          <w:tcPr>
            <w:tcW w:w="34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0.125</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6780" w:type="dxa"/>
            <w:vAlign w:val="bottom"/>
            <w:gridSpan w:val="2"/>
          </w:tcPr>
          <w:p>
            <w:pPr>
              <w:ind w:left="2580"/>
              <w:spacing w:after="0"/>
              <w:rPr>
                <w:sz w:val="20"/>
                <w:szCs w:val="20"/>
                <w:color w:val="auto"/>
              </w:rPr>
            </w:pPr>
            <w:r>
              <w:rPr>
                <w:rFonts w:ascii="Arial" w:cs="Arial" w:eastAsia="Arial" w:hAnsi="Arial"/>
                <w:sz w:val="18"/>
                <w:szCs w:val="18"/>
                <w:color w:val="auto"/>
                <w:w w:val="89"/>
              </w:rPr>
              <w:t>See notes to condensed, consolidated financial statements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340" w:type="dxa"/>
            <w:vAlign w:val="bottom"/>
          </w:tcPr>
          <w:p>
            <w:pPr>
              <w:spacing w:after="0"/>
              <w:rPr>
                <w:sz w:val="24"/>
                <w:szCs w:val="24"/>
                <w:color w:val="auto"/>
              </w:rPr>
            </w:pPr>
          </w:p>
        </w:tc>
        <w:tc>
          <w:tcPr>
            <w:tcW w:w="6560" w:type="dxa"/>
            <w:vAlign w:val="bottom"/>
          </w:tcPr>
          <w:p>
            <w:pPr>
              <w:ind w:left="46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9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540" w:type="dxa"/>
            <w:vAlign w:val="bottom"/>
          </w:tcPr>
          <w:p>
            <w:pPr>
              <w:jc w:val="center"/>
              <w:ind w:left="1650"/>
              <w:spacing w:after="0"/>
              <w:rPr>
                <w:sz w:val="20"/>
                <w:szCs w:val="20"/>
                <w:color w:val="auto"/>
              </w:rPr>
            </w:pPr>
            <w:r>
              <w:rPr>
                <w:rFonts w:ascii="Arial" w:cs="Arial" w:eastAsia="Arial" w:hAnsi="Arial"/>
                <w:sz w:val="18"/>
                <w:szCs w:val="18"/>
                <w:color w:val="auto"/>
                <w:w w:val="95"/>
              </w:rPr>
              <w:t>THE SCOTTS MIRACLE-GRO COMPANY</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920" w:type="dxa"/>
            <w:vAlign w:val="bottom"/>
            <w:gridSpan w:val="4"/>
          </w:tcPr>
          <w:p>
            <w:pPr>
              <w:jc w:val="center"/>
              <w:ind w:left="270"/>
              <w:spacing w:after="0"/>
              <w:rPr>
                <w:sz w:val="20"/>
                <w:szCs w:val="20"/>
                <w:color w:val="auto"/>
              </w:rPr>
            </w:pPr>
            <w:r>
              <w:rPr>
                <w:rFonts w:ascii="Arial" w:cs="Arial" w:eastAsia="Arial" w:hAnsi="Arial"/>
                <w:sz w:val="18"/>
                <w:szCs w:val="18"/>
                <w:color w:val="auto"/>
                <w:w w:val="95"/>
              </w:rPr>
              <w:t>CONDENSED, CONSOLIDATED STATEMENTS OF CASH FLOWS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jc w:val="center"/>
              <w:ind w:left="165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tcPr>
          <w:p>
            <w:pPr>
              <w:jc w:val="center"/>
              <w:ind w:left="163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38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JANUARY 2,</w:t>
            </w:r>
          </w:p>
        </w:tc>
        <w:tc>
          <w:tcPr>
            <w:tcW w:w="13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DECEMBER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(57.7)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sale of long-lived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Changes in assets and liabilities, net of acquired businesses: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125.6</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40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4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106.8</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(139.7)</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400"/>
              <w:spacing w:after="0"/>
              <w:rPr>
                <w:sz w:val="20"/>
                <w:szCs w:val="20"/>
                <w:color w:val="auto"/>
              </w:rPr>
            </w:pPr>
            <w:r>
              <w:rPr>
                <w:rFonts w:ascii="Arial" w:cs="Arial" w:eastAsia="Arial" w:hAnsi="Arial"/>
                <w:sz w:val="18"/>
                <w:szCs w:val="18"/>
                <w:color w:val="auto"/>
              </w:rPr>
              <w:t>Restructuring reserves</w:t>
            </w:r>
          </w:p>
        </w:tc>
        <w:tc>
          <w:tcPr>
            <w:tcW w:w="1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non-current items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(176.7)</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the sale of long-lived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Investments in property, plant and equipment</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intellectual property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Investments in acquired businesses, net of cash acquired</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Borrowings under revolving and bank lines of credit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472.4</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Repayments under revolving and bank lines of credit</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(317.0)</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Payments on seller notes</w:t>
            </w:r>
          </w:p>
        </w:tc>
        <w:tc>
          <w:tcPr>
            <w:tcW w:w="1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payment arrangements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Cash received from the exercise of stock options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5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paid, net of interest capitalized</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Income taxes refunded</w:t>
            </w:r>
          </w:p>
        </w:tc>
        <w:tc>
          <w:tcPr>
            <w:tcW w:w="18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2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80" w:type="dxa"/>
            <w:vAlign w:val="bottom"/>
            <w:gridSpan w:val="6"/>
          </w:tcPr>
          <w:p>
            <w:pPr>
              <w:jc w:val="center"/>
              <w:ind w:left="1310"/>
              <w:spacing w:after="0"/>
              <w:rPr>
                <w:sz w:val="20"/>
                <w:szCs w:val="20"/>
                <w:color w:val="auto"/>
              </w:rPr>
            </w:pPr>
            <w:r>
              <w:rPr>
                <w:rFonts w:ascii="Arial" w:cs="Arial" w:eastAsia="Arial" w:hAnsi="Arial"/>
                <w:sz w:val="18"/>
                <w:szCs w:val="18"/>
                <w:color w:val="auto"/>
                <w:w w:val="95"/>
              </w:rPr>
              <w:t>THE SCOTTS MIRACLE-GRO COMPANY</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80" w:type="dxa"/>
            <w:vAlign w:val="bottom"/>
            <w:gridSpan w:val="6"/>
          </w:tcPr>
          <w:p>
            <w:pPr>
              <w:jc w:val="center"/>
              <w:ind w:left="1310"/>
              <w:spacing w:after="0"/>
              <w:rPr>
                <w:sz w:val="20"/>
                <w:szCs w:val="20"/>
                <w:color w:val="auto"/>
              </w:rPr>
            </w:pPr>
            <w:r>
              <w:rPr>
                <w:rFonts w:ascii="Arial" w:cs="Arial" w:eastAsia="Arial" w:hAnsi="Arial"/>
                <w:sz w:val="18"/>
                <w:szCs w:val="18"/>
                <w:color w:val="auto"/>
                <w:w w:val="96"/>
              </w:rPr>
              <w:t>CONDENSED, CONSOLIDATED BALANCE SHEETS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20" w:type="dxa"/>
            <w:vAlign w:val="bottom"/>
            <w:gridSpan w:val="5"/>
          </w:tcPr>
          <w:p>
            <w:pPr>
              <w:jc w:val="center"/>
              <w:ind w:left="1970"/>
              <w:spacing w:after="0"/>
              <w:rPr>
                <w:sz w:val="20"/>
                <w:szCs w:val="20"/>
                <w:color w:val="auto"/>
              </w:rPr>
            </w:pPr>
            <w:r>
              <w:rPr>
                <w:rFonts w:ascii="Arial" w:cs="Arial" w:eastAsia="Arial" w:hAnsi="Arial"/>
                <w:sz w:val="18"/>
                <w:szCs w:val="18"/>
                <w:color w:val="auto"/>
              </w:rPr>
              <w:t>(IN MILLIONS)</w:t>
            </w: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Arial" w:cs="Arial" w:eastAsia="Arial" w:hAnsi="Arial"/>
                <w:sz w:val="18"/>
                <w:szCs w:val="18"/>
                <w:b w:val="1"/>
                <w:bCs w:val="1"/>
                <w:color w:val="auto"/>
              </w:rPr>
              <w:t>JANUARY 2,</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DECEMBER 27,</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88"/>
              </w:rPr>
              <w:t>UNAUDITED</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(SEE NOTE 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80" w:type="dxa"/>
            <w:vAlign w:val="bottom"/>
            <w:shd w:val="clear" w:color="auto" w:fill="CCEEFF"/>
          </w:tcPr>
          <w:p>
            <w:pPr>
              <w:jc w:val="center"/>
              <w:ind w:right="1170"/>
              <w:spacing w:after="0"/>
              <w:rPr>
                <w:sz w:val="20"/>
                <w:szCs w:val="20"/>
                <w:color w:val="auto"/>
              </w:rPr>
            </w:pPr>
            <w:r>
              <w:rPr>
                <w:rFonts w:ascii="Arial" w:cs="Arial" w:eastAsia="Arial" w:hAnsi="Arial"/>
                <w:sz w:val="18"/>
                <w:szCs w:val="18"/>
                <w:color w:val="auto"/>
                <w:w w:val="92"/>
              </w:rPr>
              <w:t>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52.5</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9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Accounts receivable, less allowances of $10.7, $10.5 and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900" w:type="dxa"/>
            <w:vAlign w:val="bottom"/>
            <w:gridSpan w:val="2"/>
          </w:tcPr>
          <w:p>
            <w:pPr>
              <w:ind w:left="400"/>
              <w:spacing w:after="0"/>
              <w:rPr>
                <w:sz w:val="20"/>
                <w:szCs w:val="20"/>
                <w:color w:val="auto"/>
              </w:rPr>
            </w:pPr>
            <w:r>
              <w:rPr>
                <w:rFonts w:ascii="Arial" w:cs="Arial" w:eastAsia="Arial" w:hAnsi="Arial"/>
                <w:sz w:val="18"/>
                <w:szCs w:val="18"/>
                <w:color w:val="auto"/>
              </w:rPr>
              <w:t>$11.1, respectively</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265.1</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 pledged</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657.9</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643.4</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900" w:type="dxa"/>
            <w:vAlign w:val="bottom"/>
            <w:gridSpan w:val="2"/>
          </w:tcPr>
          <w:p>
            <w:pPr>
              <w:ind w:left="4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9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Property, plant and equipment, net of accumulated</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depreciation of $467.5, $461.9 and $492.3, respectively</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w:t>
            </w:r>
          </w:p>
        </w:tc>
        <w:tc>
          <w:tcPr>
            <w:tcW w:w="30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2,220.1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00" w:type="dxa"/>
            <w:vAlign w:val="bottom"/>
            <w:gridSpan w:val="2"/>
            <w:vMerge w:val="restart"/>
          </w:tcPr>
          <w:p>
            <w:pPr>
              <w:jc w:val="center"/>
              <w:ind w:right="150"/>
              <w:spacing w:after="0"/>
              <w:rPr>
                <w:sz w:val="20"/>
                <w:szCs w:val="20"/>
                <w:color w:val="auto"/>
              </w:rPr>
            </w:pPr>
            <w:r>
              <w:rPr>
                <w:rFonts w:ascii="Arial" w:cs="Arial" w:eastAsia="Arial" w:hAnsi="Arial"/>
                <w:sz w:val="18"/>
                <w:szCs w:val="18"/>
                <w:color w:val="auto"/>
                <w:w w:val="99"/>
              </w:rPr>
              <w:t>LIABILITIES AND SHAREHOLDERS’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9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Current portion of debt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166.7</w:t>
            </w:r>
          </w:p>
        </w:tc>
        <w:tc>
          <w:tcPr>
            <w:tcW w:w="2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798.8</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1,039.3</w:t>
            </w:r>
          </w:p>
        </w:tc>
        <w:tc>
          <w:tcPr>
            <w:tcW w:w="100" w:type="dxa"/>
            <w:vAlign w:val="bottom"/>
          </w:tcPr>
          <w:p>
            <w:pPr>
              <w:spacing w:after="0"/>
              <w:rPr>
                <w:sz w:val="24"/>
                <w:szCs w:val="2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649.7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90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(notes 3 and 11)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9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Common shares and capital in excess of $.01 stated value per</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share, 66.6, 65.5 and 66.2 shares issued and outstanding,</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460.7</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271.1</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Treasury shares, at cost: 1.9, 3.2 and 2.4 shares, respectively</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(105.4)</w:t>
            </w: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(64.9)</w:t>
            </w:r>
          </w:p>
        </w:tc>
        <w:tc>
          <w:tcPr>
            <w:tcW w:w="6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00" w:type="dxa"/>
            <w:vAlign w:val="bottom"/>
            <w:gridSpan w:val="2"/>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94" w:lineRule="exact"/>
        <w:rPr>
          <w:sz w:val="20"/>
          <w:szCs w:val="20"/>
          <w:color w:val="auto"/>
        </w:rPr>
      </w:pPr>
    </w:p>
    <w:p>
      <w:pPr>
        <w:ind w:left="340" w:right="4459"/>
        <w:spacing w:after="0" w:line="456" w:lineRule="auto"/>
        <w:rPr>
          <w:sz w:val="20"/>
          <w:szCs w:val="20"/>
          <w:color w:val="auto"/>
        </w:rPr>
      </w:pPr>
      <w:r>
        <w:rPr>
          <w:rFonts w:ascii="Arial" w:cs="Arial" w:eastAsia="Arial" w:hAnsi="Arial"/>
          <w:sz w:val="18"/>
          <w:szCs w:val="18"/>
          <w:b w:val="1"/>
          <w:bCs w:val="1"/>
          <w:color w:val="auto"/>
        </w:rPr>
        <w:t xml:space="preserve">NOTE 1. SUMMARY OF SIGNIFICANT ACCOUNTING POLICIES </w:t>
      </w:r>
      <w:r>
        <w:rPr>
          <w:rFonts w:ascii="Arial" w:cs="Arial" w:eastAsia="Arial" w:hAnsi="Arial"/>
          <w:sz w:val="18"/>
          <w:szCs w:val="18"/>
          <w:color w:val="auto"/>
        </w:rPr>
        <w:t>NATURE OF OPERATIONS</w:t>
      </w:r>
    </w:p>
    <w:p>
      <w:pPr>
        <w:spacing w:after="0" w:line="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The Scotts Miracle-Gro Company (“Scotts Miracle-Gro”) and its subsidiaries (collectively, together with Scotts Miracle-Gro, the “Company”) are engaged in the manufacturing, marketing and sale of lawn and garden care products. The Company’s primary customers include home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The Company also operates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which provides residential lawn care, lawn aeration, tree and shrub care and limited pest control services in the United States.</w:t>
      </w:r>
    </w:p>
    <w:p>
      <w:pPr>
        <w:spacing w:after="0" w:line="162"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Since its acquisition in fiscal 2005, the Company operated Smith &amp; Hawken</w:t>
      </w:r>
      <w:r>
        <w:rPr>
          <w:rFonts w:ascii="Arial" w:cs="Arial" w:eastAsia="Arial" w:hAnsi="Arial"/>
          <w:sz w:val="13"/>
          <w:szCs w:val="13"/>
          <w:color w:val="auto"/>
        </w:rPr>
        <w:t>® (1)</w:t>
      </w:r>
      <w:r>
        <w:rPr>
          <w:rFonts w:ascii="Arial" w:cs="Arial" w:eastAsia="Arial" w:hAnsi="Arial"/>
          <w:sz w:val="16"/>
          <w:szCs w:val="16"/>
          <w:color w:val="auto"/>
        </w:rPr>
        <w:t>, an outdoor living and garden lifestyle category brand. As discussed in “NOTE 2. DISCONTINUED OPERATIONS,” on July 8, 2009, the Company announced its intention to close the Smith &amp; Hawken business by the end of calendar 2009. During the Company’s first quarter of fiscal 2010, all Smith &amp; Hawken stores were closed and substantially all operational activities of Smith &amp; Hawken were discontinued.</w:t>
      </w:r>
    </w:p>
    <w:p>
      <w:pPr>
        <w:spacing w:after="0" w:line="114"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Due to the nature of the lawn and garden business, the majority of sales to customers occur in the Company’s second and third fiscal quarters. On a combined basis, net sales for the second and third fiscal quarters generally represent 70% to 75% of annual net sales.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ORGANIZATION AND BASIS OF PRESENTATION</w:t>
      </w:r>
    </w:p>
    <w:p>
      <w:pPr>
        <w:spacing w:after="0" w:line="198"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The Company’s condensed, consolidated financial statements are unaudited; however, in the opinion of management, these financial statements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 The interim financial statements and notes are presented as specified by Regulation S-X of the Securities and Exchange Commission, and should be read in conjunction with the consolidated financial statements and accompanying notes in Scotts Miracle-Gro’s Annual Report on Form 10-K for the fiscal year ended September 30, 2009.</w:t>
      </w:r>
    </w:p>
    <w:p>
      <w:pPr>
        <w:spacing w:after="0" w:line="12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Company’s Condensed, Consolidated Balance Sheet at September 30, 2009 has been derived from the Company’s audited Consolidated Balance Sheet at that date, but does not include all of the information and footnotes required by GAAP for complete financial statements.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USE OF ESTIMATES</w:t>
      </w:r>
    </w:p>
    <w:p>
      <w:pPr>
        <w:spacing w:after="0" w:line="19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RECOGNITION</w:t>
      </w:r>
    </w:p>
    <w:p>
      <w:pPr>
        <w:spacing w:after="0" w:line="185"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Revenue is recognized when title and risk of loss transfer, which generally occurs when products or services are received by the customer. Provisions for estimated returns and allowances are recorded at the time revenue is recognized based on historical rates and are periodically adjusted for known changes in return levels. Shipping and handling costs are included in cost of sales.</w:t>
      </w:r>
    </w:p>
    <w:p>
      <w:pPr>
        <w:spacing w:after="0" w:line="120"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Under the terms of the Amended and Restated Exclusive Agency and Marketing Agreement (the “Marketing Agreement”) between the Company and Monsanto Company (“Monsanto”), the Company, in its role as exclusive agent, performs certain functions, primarily manufacturing conversion, distribution and logistics, and selling and marketing support on behalf of Monsanto in the conduct of the consumer Roundup</w:t>
      </w:r>
      <w:r>
        <w:rPr>
          <w:rFonts w:ascii="Arial" w:cs="Arial" w:eastAsia="Arial" w:hAnsi="Arial"/>
          <w:sz w:val="14"/>
          <w:szCs w:val="14"/>
          <w:color w:val="auto"/>
        </w:rPr>
        <w:t>® (2)</w:t>
      </w:r>
      <w:r>
        <w:rPr>
          <w:rFonts w:ascii="Arial" w:cs="Arial" w:eastAsia="Arial" w:hAnsi="Arial"/>
          <w:sz w:val="17"/>
          <w:szCs w:val="17"/>
          <w:color w:val="auto"/>
        </w:rPr>
        <w:t xml:space="preserve"> business. The actual costs incurred by the Company on behalf of the consumer Roundup business are recovered from Monsanto through the terms of the Marketing Agreement. The reimbursement of costs for which the Company is considered the primary obligor is included in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233680</wp:posOffset>
            </wp:positionV>
            <wp:extent cx="1063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left="680" w:right="559" w:hanging="348"/>
        <w:spacing w:after="0" w:line="253"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Smith &amp; Hawken</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Target Brands, Inc. As discussed in “Note 2. DISCONTINUED OPERATIONS,” the Company sold the Smith &amp; Hawken brand and certain intellectual property rights related thereto on December 30, 2009, and subsequently changed the name of the subsidiary entity formerly known as Smith &amp; Hawken, Ltd. to Teak 2, Ltd. References in this Quarterly Report on Form 10-Q to Smith &amp; Hawken refer to Scotts Miracle-Gro’s subsidiary entity, not the brand itself.</w:t>
      </w:r>
    </w:p>
    <w:p>
      <w:pPr>
        <w:spacing w:after="0" w:line="3" w:lineRule="exact"/>
        <w:rPr>
          <w:rFonts w:ascii="Arial" w:cs="Arial" w:eastAsia="Arial" w:hAnsi="Arial"/>
          <w:sz w:val="18"/>
          <w:szCs w:val="18"/>
          <w:color w:val="auto"/>
        </w:rPr>
      </w:pPr>
    </w:p>
    <w:p>
      <w:pPr>
        <w:ind w:left="680" w:hanging="348"/>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Roundup</w:t>
      </w:r>
      <w:r>
        <w:rPr>
          <w:rFonts w:ascii="Arial" w:cs="Arial" w:eastAsia="Arial" w:hAnsi="Arial"/>
          <w:sz w:val="14"/>
          <w:szCs w:val="14"/>
          <w:color w:val="auto"/>
        </w:rPr>
        <w:t>®</w:t>
      </w:r>
      <w:r>
        <w:rPr>
          <w:rFonts w:ascii="Arial" w:cs="Arial" w:eastAsia="Arial" w:hAnsi="Arial"/>
          <w:sz w:val="17"/>
          <w:szCs w:val="17"/>
          <w:color w:val="auto"/>
        </w:rPr>
        <w:t xml:space="preserve"> is a registered trademark of Monsanto Technology LLC, a company affiliated with Monsanto Company.</w:t>
      </w:r>
    </w:p>
    <w:p>
      <w:pPr>
        <w:sectPr>
          <w:pgSz w:w="11900" w:h="16838" w:orient="portrait"/>
          <w:cols w:equalWidth="0" w:num="1">
            <w:col w:w="10219"/>
          </w:cols>
          <w:pgMar w:left="240" w:top="419" w:right="1440" w:bottom="699"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99"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PROMOTIONAL ALLOWANCES</w:t>
      </w:r>
    </w:p>
    <w:p>
      <w:pPr>
        <w:spacing w:after="0" w:line="19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The Company promotes its branded products through, among other things, cooperative advertising programs with retailers. Retailers may also be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Company’s Condensed, Consolidated Balance Sheets.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w:t>
      </w:r>
    </w:p>
    <w:p>
      <w:pPr>
        <w:spacing w:after="0" w:line="185"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Advertising costs incurred during the year by our Global Consumer segment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120"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Costs that do not qualify as direct response advertising costs are expensed within the fiscal year in which such costs are incurred on a monthly basis in proportion to net sales. The costs deferred at January 2, 2010, December 27, 2008 and September 30, 2009 were $1.4 million, $3.9 million and $2.1 million, respectively.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AWARDS</w:t>
      </w:r>
    </w:p>
    <w:p>
      <w:pPr>
        <w:spacing w:after="0" w:line="18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fair value of awards is expensed ratably over the vesting period, generally three years. The Company uses a binomial model to determine the fair value of its option grants.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AND INDEFINITE-LIVED INTANGIBLE ASSETS</w:t>
      </w:r>
    </w:p>
    <w:p>
      <w:pPr>
        <w:spacing w:after="0" w:line="185"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Goodwill and intangible assets determined to have indefinite lives are not subject to amortization. Goodwill and indefinite-lived intangible assets are reviewed for impairment by applying a fair-value based test on an annual basis, as of the first day of the Company’s fiscal fourth quarter, or more frequently if circumstances indicate a potential impairment. If it is determined that an impairment has occurred, an impairment loss would be recognized for the amount by which the carrying amount of the asset exceeds its estimated fair value and classified as “Impairment, restructuring and other charges” in the Consolidated Statements of Operations. No impairment, restructuring or other charges from continuing operations were recorded for the three months ended January 2, 2010 or December 27, 2008.</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TAXES</w:t>
      </w:r>
    </w:p>
    <w:p>
      <w:pPr>
        <w:spacing w:after="0" w:line="198"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Income tax benefit from continuing operations was calculated at an effective tax rate of 36.4% and 35.6% for the three months ended January 2, 2010 and December 27, 2008, respectively. The effective tax rate used for interim reporting purposes was based on management’s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as well as other items.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LOSS PER COMMON SHARE</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Basic loss per common share is computed based on the weighted-average number of common shares outstanding each period. Diluted loss per common share is computed based on the weighted-average number of common shares and dilutive potential common shares (stock options, restricted stock, restricted stock units, performance shares and stock appreciation rights) outstanding each period. Because of the first quarter net losses, common share equivalents were not included in the calculation of diluted loss per common share because to do so would have been anti-dilutive. These common share equivalents equated to 1.1 million common shares and 0.7 million common shares for the three months ended January 2, 2010 and December 27, 2008, respectively.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 EVENTS</w:t>
      </w:r>
    </w:p>
    <w:p>
      <w:pPr>
        <w:spacing w:after="0" w:line="198"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Company evaluated all events or transactions that occurred after January 2, 2010 up through February 11, 2010, the date the Company issued these condensed, consolidated financial statements. During this period, the Company did not have any material recognizable subsequent events. On January 14, 2010, Scotts Miracle-Gro issued $200 million of Senior Notes with a coupon of 7.25% and yield of 7.375% due 2018, described in more detail in “NOTE 6. DEBT.”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ACCOUNTING PRONOUNCEMENTS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98"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In December 2007, the Financial Accounting Standards Board (the “FASB”) issued new accounting guidance on business combinations and non-controlling interests in consolidated financial statements. The objective is to improve the relevance, representational faithfulness and comparability of the information that a reporting entity provides in its financial reports about a business combination and its effects. The guidance applies to all transactions or other events in which an entity (the “acquirer”) obtains control of one or more businesses (the “acquiree”), including those sometimes referred to as “true mergers” or “mergers of equals” and combinations achieved without the transfer of consideration. In April 2009, the FASB issued additional guidance which addresses application issues arising from contingencies in a business combination. The Company adopted the new guidance beginning October 1, 2009. The Company had no acquisition activity for the fiscal quarter ended January 2, 2010, and the adoption of the new guidance did not have a material effect on our financial position, results of operations or cash flows.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Noncontrolling Interests in Consolidated Financial Statements</w:t>
      </w:r>
    </w:p>
    <w:p>
      <w:pPr>
        <w:spacing w:after="0" w:line="185"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In December 2007, the FASB issued new accounting and reporting guidance for the noncontrolling interest in a subsidiary and for the deconsolidation of a subsidiary. The new guidance also changes the way the consolidated financial statements are presented, establishes a single method of accounting for changes in a parent’s ownership interest in a subsidiary that do not result in deconsolidation, requires that a parent recognize a gain or loss in net income when a subsidiary is deconsolidated and expands disclosures in the consolidated financial statements that clearly identify and distinguish between the parent’s ownership interest and the interest of the noncontrolling owners of a subsidiary. The provisions are to be applied prospectively as of the beginning of the fiscal year in which the guidance is adopted, except for the presentation and disclosure requirements, which are to be applied retrospectively for all periods presented. The Company adopted the new guidance beginning October 1, 2009, and the adoption of the new guidance did not impact the Company’s financial position, results of operations, cash flows or disclosures.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Determination of the Useful Life of Intangible Assets</w:t>
      </w:r>
    </w:p>
    <w:p>
      <w:pPr>
        <w:spacing w:after="0" w:line="185"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April 2008, the FASB issued new accounting guidance which amends the list of factors an entity should consider in developing renewal or extension assumptions used in determining the useful life of recognized intangible assets. The new guidance applies to: (a) intangible assets that are acquired individually or with a group of other assets and (b) intangible assets acquired in both business combinations and asset acquisitions. Entities estimating the useful life of a recognized intangible asset must consider their historical experience in renewing or extending similar arrangements or, in the absence of historical experience, must consider assumptions that market participants would use about renewal or extension. The new guidance requires certain additional disclosures beginning October 1, 2009 and prospective application to useful life estimates for intangible assets acquired after September 30, 2009. The adoption of the new guidance did not have a material effect on the Company’s financial statements and related disclosures.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Employers’ Disclosures About Postretirement Benefit Plan Assets</w:t>
      </w:r>
    </w:p>
    <w:p>
      <w:pPr>
        <w:spacing w:after="0" w:line="198"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In December 2008, the FASB issued new accounting guidance on employers’ disclosures about assets of a defined benefit pension or other postretirement plan. It requires employers to disclose information about fair value measurements of plan assets. The objectives of the disclosures are to provide an understanding of: (a) how investment allocation decisions are made, including the factors that are pertinent to an understanding of investment policies and strategies, (b) the major categories of plan assets,</w:t>
      </w:r>
    </w:p>
    <w:p>
      <w:pPr>
        <w:spacing w:after="0" w:line="2" w:lineRule="exact"/>
        <w:rPr>
          <w:sz w:val="20"/>
          <w:szCs w:val="20"/>
          <w:color w:val="auto"/>
        </w:rPr>
      </w:pPr>
    </w:p>
    <w:p>
      <w:pPr>
        <w:jc w:val="both"/>
        <w:ind w:left="340" w:right="559" w:hanging="8"/>
        <w:spacing w:after="0" w:line="254"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inputs and valuation techniques used to measure the fair value of plan assets, (d) the effect of fair value measurements using significant unobservable inputs on changes in plan assets for the period and (e) significant concentrations of risk within plan assets. The Company will disclose the information required by this new guidance at September 30, 2010, the fair value measurement date of its defined benefit pension and retiree medical plans.</w:t>
      </w: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Accounting for Transfers of Financial Assets</w:t>
      </w:r>
    </w:p>
    <w:p>
      <w:pPr>
        <w:spacing w:after="0" w:line="198" w:lineRule="exact"/>
        <w:rPr>
          <w:sz w:val="20"/>
          <w:szCs w:val="20"/>
          <w:color w:val="auto"/>
        </w:rPr>
      </w:pPr>
    </w:p>
    <w:p>
      <w:pPr>
        <w:jc w:val="both"/>
        <w:ind w:left="340" w:right="1760"/>
        <w:spacing w:after="0" w:line="276" w:lineRule="auto"/>
        <w:rPr>
          <w:sz w:val="20"/>
          <w:szCs w:val="20"/>
          <w:color w:val="auto"/>
        </w:rPr>
      </w:pPr>
      <w:r>
        <w:rPr>
          <w:rFonts w:ascii="Arial" w:cs="Arial" w:eastAsia="Arial" w:hAnsi="Arial"/>
          <w:sz w:val="17"/>
          <w:szCs w:val="17"/>
          <w:color w:val="auto"/>
        </w:rPr>
        <w:t>In June 2009, the FASB issued new accounting guidance to improve the information provided in financial statements concerning transfers of financial assets, including the effects of transfers on financial position, financial performance and cash flows, and any continuing involvement of the transferor with the transferred financial assets. The provisions are effective for the Company’s financial statements for the fiscal year beginning October 1, 2010. The Company is in the process of evaluating the impact that the guidance may have on its financial statements and related disclosures.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Variable Interest Entities</w:t>
      </w:r>
    </w:p>
    <w:p>
      <w:pPr>
        <w:spacing w:after="0" w:line="185" w:lineRule="exact"/>
        <w:rPr>
          <w:sz w:val="20"/>
          <w:szCs w:val="20"/>
          <w:color w:val="auto"/>
        </w:rPr>
      </w:pPr>
    </w:p>
    <w:p>
      <w:pPr>
        <w:jc w:val="both"/>
        <w:ind w:left="340" w:right="1760"/>
        <w:spacing w:after="0" w:line="255" w:lineRule="auto"/>
        <w:rPr>
          <w:sz w:val="20"/>
          <w:szCs w:val="20"/>
          <w:color w:val="auto"/>
        </w:rPr>
      </w:pPr>
      <w:r>
        <w:rPr>
          <w:rFonts w:ascii="Arial" w:cs="Arial" w:eastAsia="Arial" w:hAnsi="Arial"/>
          <w:sz w:val="18"/>
          <w:szCs w:val="18"/>
          <w:color w:val="auto"/>
        </w:rPr>
        <w:t>In June 2009, the FASB issued new accounting guidance requiring an enterprise to perform an analysis to determine whether the enterprise’s variable interest or interests give it a controlling financial interest in a variable interest entity. It also requires enhanced disclosures that will provide users of financial statements with more transparent information about an enterprise’s involvement in a variable interest entity. The provisions are effective for the Company’s financial statements for the fiscal year beginning October 1, 2010. The Company is in the process of evaluating the impact that the guidance may have on its financial statements and related disclosures.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DISCONTINUED OPERATIONS</w:t>
      </w:r>
    </w:p>
    <w:p>
      <w:pPr>
        <w:spacing w:after="0" w:line="189"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On July 8, 2009, Scotts Miracle-Gro announced that its wholly-owned subsidiary, Smith &amp; Hawken, Ltd., had adopted a plan to close the Smith &amp; Hawken business. During the Company’s first quarter of fiscal 2010, all Smith &amp; Hawken stores were closed and substantially all operational activities of Smith &amp; Hawken were discontinued.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effective in its first quarter of fiscal 2010, the Company classified Smith &amp; Hawken as discontinued operations.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the Company has reclassified its overall results for the three months ended December 27, 2008 to reflect Smith &amp;</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Hawken as discontinued operations separate from its results of continuing operations.</w:t>
      </w:r>
    </w:p>
    <w:p>
      <w:pPr>
        <w:spacing w:after="0" w:line="184" w:lineRule="exact"/>
        <w:rPr>
          <w:sz w:val="20"/>
          <w:szCs w:val="20"/>
          <w:color w:val="auto"/>
        </w:rPr>
      </w:pPr>
    </w:p>
    <w:p>
      <w:pPr>
        <w:jc w:val="both"/>
        <w:ind w:left="340" w:right="1760"/>
        <w:spacing w:after="0" w:line="279" w:lineRule="auto"/>
        <w:rPr>
          <w:sz w:val="20"/>
          <w:szCs w:val="20"/>
          <w:color w:val="auto"/>
        </w:rPr>
      </w:pPr>
      <w:r>
        <w:rPr>
          <w:rFonts w:ascii="Arial" w:cs="Arial" w:eastAsia="Arial" w:hAnsi="Arial"/>
          <w:sz w:val="17"/>
          <w:szCs w:val="17"/>
          <w:color w:val="auto"/>
        </w:rPr>
        <w:t>In the first quarter of fiscal 2010, the Company incurred a loss related to the liquidation of the Smith &amp; Hawken business of approximately $25.2 million, largely attributable to charges associated with the termination of retail site lease obligations, third-party agency fees and severance and benefit commitments. These charges were partially offset by a gain of approximately $18 million from the sale of the Smith &amp; Hawken intellectual property on December 30, 2009.</w:t>
      </w:r>
    </w:p>
    <w:p>
      <w:pPr>
        <w:spacing w:after="0" w:line="131" w:lineRule="exact"/>
        <w:rPr>
          <w:sz w:val="20"/>
          <w:szCs w:val="20"/>
          <w:color w:val="auto"/>
        </w:rPr>
      </w:pPr>
    </w:p>
    <w:p>
      <w:pPr>
        <w:jc w:val="both"/>
        <w:ind w:left="340" w:right="1760"/>
        <w:spacing w:after="0" w:line="342" w:lineRule="auto"/>
        <w:rPr>
          <w:sz w:val="20"/>
          <w:szCs w:val="20"/>
          <w:color w:val="auto"/>
        </w:rPr>
      </w:pPr>
      <w:r>
        <w:rPr>
          <w:rFonts w:ascii="Arial" w:cs="Arial" w:eastAsia="Arial" w:hAnsi="Arial"/>
          <w:sz w:val="16"/>
          <w:szCs w:val="16"/>
          <w:color w:val="auto"/>
        </w:rPr>
        <w:t>The following table summarizes results of Smith &amp; Hawken classified as discontinued operations in the Company’s Condensed, Consolidated Statements of Operations for the three months ended January 2, 2010 and December 27, 2008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JANUARY 2, 2010</w:t>
            </w:r>
          </w:p>
        </w:tc>
        <w:tc>
          <w:tcPr>
            <w:tcW w:w="300" w:type="dxa"/>
            <w:vAlign w:val="bottom"/>
          </w:tcPr>
          <w:p>
            <w:pPr>
              <w:spacing w:after="0"/>
              <w:rPr>
                <w:sz w:val="18"/>
                <w:szCs w:val="18"/>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DECEMBER 27, 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Operating costs</w:t>
            </w: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22.8</w:t>
            </w:r>
          </w:p>
        </w:tc>
        <w:tc>
          <w:tcPr>
            <w:tcW w:w="122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Impairment, restructuring and other charges</w:t>
            </w: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w:t>
            </w:r>
          </w:p>
        </w:tc>
        <w:tc>
          <w:tcPr>
            <w:tcW w:w="1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net</w:t>
            </w: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(17.9)</w:t>
            </w:r>
          </w:p>
        </w:tc>
        <w:tc>
          <w:tcPr>
            <w:tcW w:w="1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Loss from discontinued operations before income taxes</w:t>
            </w: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1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3"/>
              </w:rPr>
              <w:t>Income tax expense (benefit) from discontinued operations</w:t>
            </w: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12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w:t>
            </w:r>
          </w:p>
        </w:tc>
        <w:tc>
          <w:tcPr>
            <w:tcW w:w="17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360" w:type="dxa"/>
            <w:vAlign w:val="bottom"/>
            <w:vMerge w:val="restart"/>
          </w:tcPr>
          <w:p>
            <w:pPr>
              <w:jc w:val="right"/>
              <w:ind w:right="990"/>
              <w:spacing w:after="0"/>
              <w:rPr>
                <w:sz w:val="20"/>
                <w:szCs w:val="20"/>
                <w:color w:val="auto"/>
              </w:rPr>
            </w:pPr>
            <w:r>
              <w:rPr>
                <w:rFonts w:ascii="Arial" w:cs="Arial" w:eastAsia="Arial" w:hAnsi="Arial"/>
                <w:sz w:val="18"/>
                <w:szCs w:val="18"/>
                <w:color w:val="auto"/>
              </w:rPr>
              <w:t>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860" w:type="dxa"/>
            <w:vAlign w:val="bottom"/>
            <w:gridSpan w:val="9"/>
          </w:tcPr>
          <w:p>
            <w:pPr>
              <w:spacing w:after="0"/>
              <w:rPr>
                <w:sz w:val="20"/>
                <w:szCs w:val="20"/>
                <w:color w:val="auto"/>
              </w:rPr>
            </w:pPr>
            <w:r>
              <w:rPr>
                <w:rFonts w:ascii="Arial" w:cs="Arial" w:eastAsia="Arial" w:hAnsi="Arial"/>
                <w:sz w:val="18"/>
                <w:szCs w:val="18"/>
                <w:color w:val="auto"/>
              </w:rPr>
              <w:t>The major classes of assets and liabilities of Smith &amp; Hawken were as follows (in millions):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JANUARY 2,</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DECEMBER 27,</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5"/>
              </w:rPr>
              <w:t>(IN MILLIONS)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r>
      <w:tr>
        <w:trPr>
          <w:trHeight w:val="216"/>
        </w:trPr>
        <w:tc>
          <w:tcPr>
            <w:tcW w:w="3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r>
      <w:tr>
        <w:trPr>
          <w:trHeight w:val="216"/>
        </w:trPr>
        <w:tc>
          <w:tcPr>
            <w:tcW w:w="3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r>
      <w:tr>
        <w:trPr>
          <w:trHeight w:val="223"/>
        </w:trPr>
        <w:tc>
          <w:tcPr>
            <w:tcW w:w="340" w:type="dxa"/>
            <w:vAlign w:val="bottom"/>
          </w:tcPr>
          <w:p>
            <w:pPr>
              <w:spacing w:after="0"/>
              <w:rPr>
                <w:sz w:val="19"/>
                <w:szCs w:val="19"/>
                <w:color w:val="auto"/>
              </w:rPr>
            </w:pPr>
          </w:p>
        </w:tc>
        <w:tc>
          <w:tcPr>
            <w:tcW w:w="4860" w:type="dxa"/>
            <w:vAlign w:val="bottom"/>
            <w:gridSpan w:val="2"/>
          </w:tcPr>
          <w:p>
            <w:pPr>
              <w:ind w:left="200"/>
              <w:spacing w:after="0"/>
              <w:rPr>
                <w:sz w:val="20"/>
                <w:szCs w:val="20"/>
                <w:color w:val="auto"/>
              </w:rPr>
            </w:pPr>
            <w:r>
              <w:rPr>
                <w:rFonts w:ascii="Arial" w:cs="Arial" w:eastAsia="Arial" w:hAnsi="Arial"/>
                <w:sz w:val="18"/>
                <w:szCs w:val="18"/>
                <w:color w:val="auto"/>
              </w:rPr>
              <w:t>Assets of discontinued operations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r>
      <w:tr>
        <w:trPr>
          <w:trHeight w:val="216"/>
        </w:trPr>
        <w:tc>
          <w:tcPr>
            <w:tcW w:w="3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r>
      <w:tr>
        <w:trPr>
          <w:trHeight w:val="216"/>
        </w:trPr>
        <w:tc>
          <w:tcPr>
            <w:tcW w:w="3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23"/>
        </w:trPr>
        <w:tc>
          <w:tcPr>
            <w:tcW w:w="340" w:type="dxa"/>
            <w:vAlign w:val="bottom"/>
          </w:tcPr>
          <w:p>
            <w:pPr>
              <w:spacing w:after="0"/>
              <w:rPr>
                <w:sz w:val="19"/>
                <w:szCs w:val="19"/>
                <w:color w:val="auto"/>
              </w:rPr>
            </w:pPr>
          </w:p>
        </w:tc>
        <w:tc>
          <w:tcPr>
            <w:tcW w:w="4860" w:type="dxa"/>
            <w:vAlign w:val="bottom"/>
            <w:gridSpan w:val="2"/>
          </w:tcPr>
          <w:p>
            <w:pPr>
              <w:ind w:left="200"/>
              <w:spacing w:after="0"/>
              <w:rPr>
                <w:sz w:val="20"/>
                <w:szCs w:val="20"/>
                <w:color w:val="auto"/>
              </w:rPr>
            </w:pPr>
            <w:r>
              <w:rPr>
                <w:rFonts w:ascii="Arial" w:cs="Arial" w:eastAsia="Arial" w:hAnsi="Arial"/>
                <w:sz w:val="18"/>
                <w:szCs w:val="18"/>
                <w:color w:val="auto"/>
              </w:rPr>
              <w:t>Liabilities of discontinued operations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PRODUCT REGISTRATION AND RECALL MATTERS</w:t>
      </w:r>
    </w:p>
    <w:p>
      <w:pPr>
        <w:spacing w:after="0" w:line="189"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April 2008, the Company became aware that a former associate apparently deliberately circumvented Company policies and U.S. Environmental Protection Agency (“U.S. EPA”) regulations under the Federal Insecticide, Fungicide, and Rodenticide Act of 1947, as amended (“FIFRA”), by failing to obtain valid registrations for products and/or causing invalid product registration forms to be submitted to regulators. Since that time, the Company has been cooperating with both the U.S. EPA and the U.S. Department of Justice (“U.S. DOJ”) in related civil and criminal investigations into the pesticide product registration issues.</w:t>
      </w:r>
    </w:p>
    <w:p>
      <w:pPr>
        <w:spacing w:after="0" w:line="118"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In late April of 2008, in connection with the U.S. EPA’s investigation, the Company conducted a consumer-level recall of certain consumer lawn and garden products and a Scotts LawnService</w:t>
      </w:r>
      <w:r>
        <w:rPr>
          <w:rFonts w:ascii="Arial" w:cs="Arial" w:eastAsia="Arial" w:hAnsi="Arial"/>
          <w:sz w:val="13"/>
          <w:szCs w:val="13"/>
          <w:color w:val="auto"/>
        </w:rPr>
        <w:t>®</w:t>
      </w:r>
      <w:r>
        <w:rPr>
          <w:rFonts w:ascii="Arial" w:cs="Arial" w:eastAsia="Arial" w:hAnsi="Arial"/>
          <w:sz w:val="16"/>
          <w:szCs w:val="16"/>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reviewed substantially all of the Company’s U.S. pesticide product registrations and associated advertisements, some of which were historical in nature and no longer related to sales of the Company’s products. The U.S. EPA investigation and the QAI review process resulted in the temporary suspension of sales and shipments of certain products. In addition, as the QAI review process or the Company’s internal review identified potential FIFRA registration issues (some of which appear unrelated to the actions of the former associate), the Company endeavored to stop selling or distributing the affected products until the issues could be resolved. QAI’s review of the Company’s U.S. pesticide product registrations and associated advertisements is now substantially complete. The results of the QAI review process did not materially affect the Company’s fiscal 2009 or first quarter fiscal 2010 sales and are not expected to materially affect the Company’s sales during the remainder of fiscal 2010.</w:t>
      </w:r>
    </w:p>
    <w:p>
      <w:pPr>
        <w:spacing w:after="0" w:line="142"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late 2008, Scotts Miracle-Gro and its indirect subsidiary, EG Systems, Inc., doing business as Scotts LawnService</w:t>
      </w:r>
      <w:r>
        <w:rPr>
          <w:rFonts w:ascii="Arial" w:cs="Arial" w:eastAsia="Arial" w:hAnsi="Arial"/>
          <w:sz w:val="14"/>
          <w:szCs w:val="14"/>
          <w:color w:val="auto"/>
        </w:rPr>
        <w:t>®</w:t>
      </w:r>
      <w:r>
        <w:rPr>
          <w:rFonts w:ascii="Arial" w:cs="Arial" w:eastAsia="Arial" w:hAnsi="Arial"/>
          <w:sz w:val="17"/>
          <w:szCs w:val="17"/>
          <w:color w:val="auto"/>
        </w:rPr>
        <w:t>, were named as defendants in a purported class action filed in the U.S. District Court for the Eastern District of Michigan relating to the application of certain pesticide products by Scotts LawnService</w:t>
      </w:r>
      <w:r>
        <w:rPr>
          <w:rFonts w:ascii="Arial" w:cs="Arial" w:eastAsia="Arial" w:hAnsi="Arial"/>
          <w:sz w:val="14"/>
          <w:szCs w:val="14"/>
          <w:color w:val="auto"/>
        </w:rPr>
        <w:t>®</w:t>
      </w:r>
      <w:r>
        <w:rPr>
          <w:rFonts w:ascii="Arial" w:cs="Arial" w:eastAsia="Arial" w:hAnsi="Arial"/>
          <w:sz w:val="17"/>
          <w:szCs w:val="17"/>
          <w:color w:val="auto"/>
        </w:rPr>
        <w:t>. In the suit, Mark Baumkel, on behalf of himself and the purported classes, sought an unspecified amount of damages, plus costs and attorneys’ fees, for alleged claims involving breach of contract, unjust enrichment, tort, and violation of the State of Michigan’s consumer protection act. On September 28, 2009, the court granted the motion filed by Scotts Miracle-Gro and EG Systems, Inc. and dismissed the suit with prejudice. Since that time, Scotts Miracle-Gro, EG Systems, Inc. and Mr. Baumkel have agreed to a confidential settlement that, among other things, precludes an appeal of the decision. The impact of the confidential settlement did not, and will not, materially affect the Company’s financial condition, results of operations or cash flows.</w:t>
      </w:r>
    </w:p>
    <w:p>
      <w:pPr>
        <w:spacing w:after="0" w:line="14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fiscal 2008, the Company conducted a voluntary recall of certain of its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the Company’s fiscal 2009 financial condition, results of operations or cash flows.</w:t>
      </w:r>
    </w:p>
    <w:p>
      <w:pPr>
        <w:spacing w:after="0" w:line="149"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As a result of these registration and recall matters, the Company has reversed sales associated with estimated returns of affected products, recorded charges for affected inventory and recorded other registration and recall-related costs. The impacts of these adjustments were pre-tax charges of $2.6 million and $7.6 million for the three-month periods ended January 2, 2010 and December 27, 2008, respectively. The Company expects to incur $10 to $15 million in fiscal 2010 on recall and registration matters, excluding possible fines, penalties, judgments and/or litigation costs. These fiscal 2010 charges primarily consist of costs associated with the reworking of certain finished goods inventories, the potential disposal of certain products and ongoing third-party professional services related to the U.S. EPA and U.S. DOJ investigations.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The U.S. EPA and U.S. DOJ investigations continue and may result in future state, federal or private actions including fines and/or penalties with respect to known or potential additional product registration issues. Until the U.S. EPA and U.S. DOJ investigations are complete, the Company cannot reasonably determine the scope or magnitude of possible liabilities that could result from known or potential product registration issues, and no reserves for these potential liabilities have been established as of January 2, 2010. However, it is possible that such liabilities, including fines, penalties, judgments and/or litigation costs could be material and have an adverse effect on the Company’s financial condition, results of operations or cash flows.</w:t>
      </w:r>
    </w:p>
    <w:p>
      <w:pPr>
        <w:spacing w:after="0" w:line="13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following tables summarize the impact of the product registration and recall matters on the Company’s results of operations during the three months ended January 2, 2010 and December 27, 2008 and on accrued liabilities and inventory reserves as of January 2, 2010 (in millions):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00" w:type="dxa"/>
            <w:vAlign w:val="bottom"/>
            <w:tcBorders>
              <w:bottom w:val="single" w:sz="8" w:color="auto"/>
            </w:tcBorders>
            <w:gridSpan w:val="8"/>
          </w:tcPr>
          <w:p>
            <w:pPr>
              <w:ind w:left="66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JANUARY 2, 2010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4"/>
              </w:rPr>
              <w:t>DECEMBER 27, 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sales — product recalls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Cost of sales — product recalls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other charges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62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3620" w:type="dxa"/>
            <w:vAlign w:val="bottom"/>
          </w:tcPr>
          <w:p>
            <w:pPr>
              <w:ind w:left="20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36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8"/>
                <w:szCs w:val="18"/>
                <w:b w:val="1"/>
                <w:bCs w:val="1"/>
                <w:color w:val="auto"/>
              </w:rPr>
              <w:t>ADDITIONAL</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680" w:type="dxa"/>
            <w:vAlign w:val="bottom"/>
            <w:gridSpan w:val="4"/>
          </w:tcPr>
          <w:p>
            <w:pPr>
              <w:ind w:left="60"/>
              <w:spacing w:after="0"/>
              <w:rPr>
                <w:sz w:val="20"/>
                <w:szCs w:val="20"/>
                <w:color w:val="auto"/>
              </w:rPr>
            </w:pPr>
            <w:r>
              <w:rPr>
                <w:rFonts w:ascii="Arial" w:cs="Arial" w:eastAsia="Arial" w:hAnsi="Arial"/>
                <w:sz w:val="18"/>
                <w:szCs w:val="18"/>
                <w:b w:val="1"/>
                <w:bCs w:val="1"/>
                <w:color w:val="auto"/>
              </w:rPr>
              <w:t>RESERVES AT</w:t>
            </w:r>
          </w:p>
        </w:tc>
        <w:tc>
          <w:tcPr>
            <w:tcW w:w="1480" w:type="dxa"/>
            <w:vAlign w:val="bottom"/>
            <w:gridSpan w:val="4"/>
          </w:tcPr>
          <w:p>
            <w:pPr>
              <w:ind w:left="60"/>
              <w:spacing w:after="0"/>
              <w:rPr>
                <w:sz w:val="20"/>
                <w:szCs w:val="20"/>
                <w:color w:val="auto"/>
              </w:rPr>
            </w:pPr>
            <w:r>
              <w:rPr>
                <w:rFonts w:ascii="Arial" w:cs="Arial" w:eastAsia="Arial" w:hAnsi="Arial"/>
                <w:sz w:val="18"/>
                <w:szCs w:val="18"/>
                <w:b w:val="1"/>
                <w:bCs w:val="1"/>
                <w:color w:val="auto"/>
              </w:rPr>
              <w:t>COSTS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RESERVES AT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68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480" w:type="dxa"/>
            <w:vAlign w:val="bottom"/>
            <w:gridSpan w:val="4"/>
          </w:tcPr>
          <w:p>
            <w:pPr>
              <w:ind w:left="20"/>
              <w:spacing w:after="0"/>
              <w:rPr>
                <w:sz w:val="20"/>
                <w:szCs w:val="20"/>
                <w:color w:val="auto"/>
              </w:rPr>
            </w:pPr>
            <w:r>
              <w:rPr>
                <w:rFonts w:ascii="Arial" w:cs="Arial" w:eastAsia="Arial" w:hAnsi="Arial"/>
                <w:sz w:val="18"/>
                <w:szCs w:val="18"/>
                <w:b w:val="1"/>
                <w:bCs w:val="1"/>
                <w:color w:val="auto"/>
              </w:rPr>
              <w:t>CHANGES IN</w:t>
            </w:r>
          </w:p>
        </w:tc>
        <w:tc>
          <w:tcPr>
            <w:tcW w:w="1240" w:type="dxa"/>
            <w:vAlign w:val="bottom"/>
            <w:gridSpan w:val="5"/>
          </w:tcPr>
          <w:p>
            <w:pPr>
              <w:spacing w:after="0"/>
              <w:rPr>
                <w:sz w:val="20"/>
                <w:szCs w:val="20"/>
                <w:color w:val="auto"/>
              </w:rPr>
            </w:pPr>
            <w:r>
              <w:rPr>
                <w:rFonts w:ascii="Arial" w:cs="Arial" w:eastAsia="Arial" w:hAnsi="Arial"/>
                <w:sz w:val="18"/>
                <w:szCs w:val="18"/>
                <w:b w:val="1"/>
                <w:bCs w:val="1"/>
                <w:color w:val="auto"/>
              </w:rPr>
              <w:t>RESERVES</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7"/>
              </w:rPr>
              <w:t>JANUARY 2,</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ESTIMATE</w:t>
            </w:r>
          </w:p>
        </w:tc>
        <w:tc>
          <w:tcPr>
            <w:tcW w:w="320" w:type="dxa"/>
            <w:vAlign w:val="bottom"/>
          </w:tcPr>
          <w:p>
            <w:pPr>
              <w:spacing w:after="0"/>
              <w:rPr>
                <w:sz w:val="20"/>
                <w:szCs w:val="20"/>
                <w:color w:val="auto"/>
              </w:rPr>
            </w:pPr>
          </w:p>
        </w:tc>
        <w:tc>
          <w:tcPr>
            <w:tcW w:w="94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USED</w:t>
            </w: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87"/>
              </w:rPr>
              <w:t>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1"/>
              </w:rPr>
              <w:t>(0.1)</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Other incremental costs of sales</w:t>
            </w:r>
          </w:p>
        </w:tc>
        <w:tc>
          <w:tcPr>
            <w:tcW w:w="300" w:type="dxa"/>
            <w:vAlign w:val="bottom"/>
          </w:tcPr>
          <w:p>
            <w:pPr>
              <w:spacing w:after="0"/>
              <w:rPr>
                <w:sz w:val="18"/>
                <w:szCs w:val="18"/>
                <w:color w:val="auto"/>
              </w:rPr>
            </w:pP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w w:val="87"/>
              </w:rPr>
              <w:t>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(0.6)</w:t>
            </w:r>
          </w:p>
        </w:tc>
        <w:tc>
          <w:tcPr>
            <w:tcW w:w="8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costs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87"/>
              </w:rPr>
              <w:t>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1"/>
              </w:rPr>
              <w:t>(2.6)</w:t>
            </w: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Accrued liabilities and inventory reserves</w:t>
            </w: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ind w:left="840"/>
              <w:spacing w:after="0"/>
              <w:rPr>
                <w:sz w:val="20"/>
                <w:szCs w:val="20"/>
                <w:color w:val="auto"/>
              </w:rPr>
            </w:pPr>
            <w:r>
              <w:rPr>
                <w:rFonts w:ascii="Arial" w:cs="Arial" w:eastAsia="Arial" w:hAnsi="Arial"/>
                <w:sz w:val="18"/>
                <w:szCs w:val="18"/>
                <w:color w:val="auto"/>
                <w:w w:val="79"/>
              </w:rPr>
              <w:t>9.7</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20" w:type="dxa"/>
            <w:vAlign w:val="bottom"/>
            <w:vMerge w:val="continue"/>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(3.3)</w:t>
            </w: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DETAIL OF INVENTORIES, NET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Inventories, net of provisions for slow moving and obsolete inventory of $28.3 million, $26.5 million and $35.3 million as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January 2, 2010, December 27, 2008 and September 30, 2009, respectively, consisted of:</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JANUARY 2,</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DECEMBER 27,</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5"/>
              </w:rPr>
              <w:t>(IN MILLIONS)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427.3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Work-in-progress</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41.5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178.3</w:t>
            </w:r>
          </w:p>
        </w:tc>
      </w:tr>
      <w:tr>
        <w:trPr>
          <w:trHeight w:val="223"/>
        </w:trPr>
        <w:tc>
          <w:tcPr>
            <w:tcW w:w="4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643.4</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8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MARKETING AGREEMENT</w:t>
      </w:r>
    </w:p>
    <w:p>
      <w:pPr>
        <w:spacing w:after="0" w:line="189"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Company is Monsanto’s exclusive agent for the domestic and international marketing and distribution of consumer Roundup</w:t>
      </w:r>
      <w:r>
        <w:rPr>
          <w:rFonts w:ascii="Arial" w:cs="Arial" w:eastAsia="Arial" w:hAnsi="Arial"/>
          <w:sz w:val="14"/>
          <w:szCs w:val="14"/>
          <w:color w:val="auto"/>
        </w:rPr>
        <w:t>®</w:t>
      </w:r>
      <w:r>
        <w:rPr>
          <w:rFonts w:ascii="Arial" w:cs="Arial" w:eastAsia="Arial" w:hAnsi="Arial"/>
          <w:sz w:val="17"/>
          <w:szCs w:val="17"/>
          <w:color w:val="auto"/>
        </w:rPr>
        <w:t xml:space="preserve"> herbicide products. Under the terms of the Marketing Agreement with Monsanto, the Company is entitled to receive an annual commission from Monsanto in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and is based on the achievement of two earnings thresholds, as defined in the Marketing Agreement. In general, the Company begins to record a gross commission from the Marketing Agreement in its second fiscal quarter. The Marketing Agreement also requires the Company to make annual payments to Monsanto as a contribution against the overall expenses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The annual contribution payment is defined in the Marketing Agreement as $20 million.</w:t>
      </w:r>
    </w:p>
    <w:p>
      <w:pPr>
        <w:spacing w:after="0" w:line="14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$16.7 million and $15.6 million for the three months ended January 2, 2010 and December 27, 2008, respectively.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elements of the net commission earned under the Marketing Agreement and included in “Net sales” are as follows: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6560" w:type="dxa"/>
            <w:vAlign w:val="bottom"/>
          </w:tcPr>
          <w:p>
            <w:pPr>
              <w:spacing w:after="0"/>
              <w:rPr>
                <w:sz w:val="16"/>
                <w:szCs w:val="16"/>
                <w:color w:val="auto"/>
              </w:rPr>
            </w:pPr>
          </w:p>
        </w:tc>
        <w:tc>
          <w:tcPr>
            <w:tcW w:w="1380" w:type="dxa"/>
            <w:vAlign w:val="bottom"/>
            <w:tcBorders>
              <w:top w:val="single" w:sz="8" w:color="auto"/>
            </w:tcBorders>
            <w:gridSpan w:val="4"/>
          </w:tcPr>
          <w:p>
            <w:pPr>
              <w:spacing w:after="0" w:line="191" w:lineRule="exact"/>
              <w:rPr>
                <w:sz w:val="20"/>
                <w:szCs w:val="20"/>
                <w:color w:val="auto"/>
              </w:rPr>
            </w:pPr>
            <w:r>
              <w:rPr>
                <w:rFonts w:ascii="Arial" w:cs="Arial" w:eastAsia="Arial" w:hAnsi="Arial"/>
                <w:sz w:val="18"/>
                <w:szCs w:val="18"/>
                <w:b w:val="1"/>
                <w:bCs w:val="1"/>
                <w:color w:val="auto"/>
              </w:rPr>
              <w:t>JANUARY 2,</w:t>
            </w:r>
          </w:p>
        </w:tc>
        <w:tc>
          <w:tcPr>
            <w:tcW w:w="13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DECEMBER 27,</w:t>
            </w:r>
          </w:p>
        </w:tc>
        <w:tc>
          <w:tcPr>
            <w:tcW w:w="80" w:type="dxa"/>
            <w:vAlign w:val="bottom"/>
          </w:tcPr>
          <w:p>
            <w:pPr>
              <w:spacing w:after="0"/>
              <w:rPr>
                <w:sz w:val="16"/>
                <w:szCs w:val="16"/>
                <w:color w:val="auto"/>
              </w:rPr>
            </w:pPr>
          </w:p>
        </w:tc>
      </w:tr>
      <w:tr>
        <w:trPr>
          <w:trHeight w:val="234"/>
        </w:trPr>
        <w:tc>
          <w:tcPr>
            <w:tcW w:w="6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2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9"/>
              </w:rPr>
              <w:t>MILLIONS)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Contribution expenses</w:t>
            </w:r>
          </w:p>
        </w:tc>
        <w:tc>
          <w:tcPr>
            <w:tcW w:w="18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(5.0)</w:t>
            </w:r>
          </w:p>
        </w:tc>
        <w:tc>
          <w:tcPr>
            <w:tcW w:w="9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marketing fee</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23"/>
        </w:trPr>
        <w:tc>
          <w:tcPr>
            <w:tcW w:w="6560" w:type="dxa"/>
            <w:vAlign w:val="bottom"/>
          </w:tcPr>
          <w:p>
            <w:pPr>
              <w:ind w:left="200"/>
              <w:spacing w:after="0"/>
              <w:rPr>
                <w:sz w:val="20"/>
                <w:szCs w:val="20"/>
                <w:color w:val="auto"/>
              </w:rPr>
            </w:pPr>
            <w:r>
              <w:rPr>
                <w:rFonts w:ascii="Arial" w:cs="Arial" w:eastAsia="Arial" w:hAnsi="Arial"/>
                <w:sz w:val="18"/>
                <w:szCs w:val="18"/>
                <w:color w:val="auto"/>
              </w:rPr>
              <w:t>Net commission expense</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Reimbursements associated with Marketing Agreement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r>
      <w:tr>
        <w:trPr>
          <w:trHeight w:val="223"/>
        </w:trPr>
        <w:tc>
          <w:tcPr>
            <w:tcW w:w="6560" w:type="dxa"/>
            <w:vAlign w:val="bottom"/>
          </w:tcPr>
          <w:p>
            <w:pPr>
              <w:ind w:left="200"/>
              <w:spacing w:after="0"/>
              <w:rPr>
                <w:sz w:val="20"/>
                <w:szCs w:val="20"/>
                <w:color w:val="auto"/>
              </w:rPr>
            </w:pPr>
            <w:r>
              <w:rPr>
                <w:rFonts w:ascii="Arial" w:cs="Arial" w:eastAsia="Arial" w:hAnsi="Arial"/>
                <w:sz w:val="18"/>
                <w:szCs w:val="18"/>
                <w:color w:val="auto"/>
              </w:rPr>
              <w:t>Total net sales associated with Marketing Agreement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Marketing Agreement has no definite term except as it relates to the European Union countries (the “EU term”). The EU term extends through September 30, 2011, with up to two additional automatic renewal periods of two years each, subject to non-renewal only upon the occurrence of certain performance defaults. Thereafter, the Marketing Agreement provides that the parties may agree to renew the EU term for an additional three years.</w:t>
      </w:r>
    </w:p>
    <w:p>
      <w:pPr>
        <w:spacing w:after="0" w:line="146"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exceeding a certain threshold, but in no event will the termination fee be less than $16 million. If Monsanto were to terminate the Marketing Agreement due to an event of default by the Company, however, the Company would not be entitled to any termination fee, and the Company would lose all, or a substantial portion, of the significant source of earnings and overhead expense absorption the Marketing Agreement provides.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NOTE 6. DEBT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4860" w:type="dxa"/>
            <w:vAlign w:val="bottom"/>
          </w:tcPr>
          <w:p>
            <w:pPr>
              <w:spacing w:after="0"/>
              <w:rPr>
                <w:sz w:val="20"/>
                <w:szCs w:val="20"/>
                <w:color w:val="auto"/>
              </w:rPr>
            </w:pPr>
            <w:r>
              <w:rPr>
                <w:rFonts w:ascii="Arial" w:cs="Arial" w:eastAsia="Arial" w:hAnsi="Arial"/>
                <w:sz w:val="18"/>
                <w:szCs w:val="18"/>
                <w:color w:val="auto"/>
              </w:rPr>
              <w:t>The components of long-term debt are as follows: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486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JANUARY 2,</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DECEMBER 27,</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5"/>
              </w:rPr>
              <w:t>(IN MILLIONS)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Revolving loans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521.7</w:t>
            </w:r>
          </w:p>
        </w:tc>
        <w:tc>
          <w:tcPr>
            <w:tcW w:w="3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565.7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330.4</w:t>
            </w:r>
          </w:p>
        </w:tc>
      </w:tr>
      <w:tr>
        <w:trPr>
          <w:trHeight w:val="216"/>
        </w:trPr>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loans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456.4</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Master Accounts Receivable Purchase Agreement</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Notes due to sellers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Foreign bank borrowings and term loans</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r>
      <w:tr>
        <w:trPr>
          <w:trHeight w:val="223"/>
        </w:trPr>
        <w:tc>
          <w:tcPr>
            <w:tcW w:w="4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1,137.4</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810.1</w:t>
            </w:r>
          </w:p>
        </w:tc>
        <w:tc>
          <w:tcPr>
            <w:tcW w:w="80" w:type="dxa"/>
            <w:vAlign w:val="bottom"/>
          </w:tcPr>
          <w:p>
            <w:pPr>
              <w:spacing w:after="0"/>
              <w:rPr>
                <w:sz w:val="19"/>
                <w:szCs w:val="19"/>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160.4</w:t>
            </w:r>
          </w:p>
        </w:tc>
      </w:tr>
      <w:tr>
        <w:trPr>
          <w:trHeight w:val="223"/>
        </w:trPr>
        <w:tc>
          <w:tcPr>
            <w:tcW w:w="4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649.7</w:t>
            </w:r>
          </w:p>
        </w:tc>
        <w:tc>
          <w:tcPr>
            <w:tcW w:w="8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spacing w:after="0" w:line="291" w:lineRule="auto"/>
        <w:rPr>
          <w:sz w:val="20"/>
          <w:szCs w:val="20"/>
          <w:color w:val="auto"/>
        </w:rPr>
      </w:pPr>
      <w:r>
        <w:rPr>
          <w:rFonts w:ascii="Arial" w:cs="Arial" w:eastAsia="Arial" w:hAnsi="Arial"/>
          <w:sz w:val="16"/>
          <w:szCs w:val="16"/>
          <w:color w:val="auto"/>
        </w:rPr>
        <w:t>In February 2007, Scotts Miracle-Gro and certain of its subsidiaries entered into the following senior secured credit facilities totaling up to $2.15 billion in the aggregate: (a) a senior secured five-year term loan in the principal amount of $560 million and</w:t>
      </w:r>
    </w:p>
    <w:p>
      <w:pPr>
        <w:jc w:val="both"/>
        <w:ind w:left="340" w:right="559" w:hanging="8"/>
        <w:spacing w:after="0" w:line="252" w:lineRule="auto"/>
        <w:tabs>
          <w:tab w:leader="none" w:pos="599"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senior secured five-year revolving loan facility in the aggregate principal amount of up to $1.59 billion. Under the terms of these credit facilities, the Company may request an additional $200 million in revolving credit and/or term credit commitments, subject to approval from the lenders. Borrowings may be made in various currencies including U.S. dollars, Euros, British pounds, Australian dollars and Canadian dollars. Amortization payments on the term loan portion of the credit facilities began on September 30, 2007 and are due quarterly through 2012. As of January 2, 2010, the cumulative total amortization payments on the term loan were $138.6 million, reducing the balance of the Company’s term loan and effectively reducing the amount outstanding under the credit facilities.</w:t>
      </w:r>
    </w:p>
    <w:p>
      <w:pPr>
        <w:spacing w:after="0" w:line="166"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As of January 2, 2010, there was $1.03 billion of availability under the senior secured credit facilities, including letters of credit. Under the revolving loan facility, the Company has the ability to issue letter of credit commitments up to $65 million. At January 2, 2010, the Company had letters of credit in the aggregate face amount of $38.6 million outstanding.</w:t>
      </w:r>
    </w:p>
    <w:p>
      <w:pPr>
        <w:spacing w:after="0" w:line="12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At January 2, 2010, the Company had outstanding interest rate swaps with major financial institutions that effectively converted a portion of variable-rate debt denominated in U.S. dollars to a fixed rate. The swap agreements had a total U.S. dollar notional amount of $650 million at January 2, 2010. Interest payments made between the effective date and expiration date are hedged by the swap agreement, except as noted below. The effective dates, expiration dates and rates of these swap agreements are shown in the table below.</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NOTIONAL AMOUNT</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EFFECTIVE</w:t>
            </w:r>
          </w:p>
        </w:tc>
        <w:tc>
          <w:tcPr>
            <w:tcW w:w="8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EXPIRATION</w:t>
            </w:r>
          </w:p>
        </w:tc>
        <w:tc>
          <w:tcPr>
            <w:tcW w:w="86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FIXED</w:t>
            </w:r>
          </w:p>
        </w:tc>
      </w:tr>
      <w:tr>
        <w:trPr>
          <w:trHeight w:val="234"/>
        </w:trPr>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 MILLIONS)</w:t>
            </w:r>
          </w:p>
        </w:tc>
        <w:tc>
          <w:tcPr>
            <w:tcW w:w="11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 (a)</w:t>
            </w:r>
          </w:p>
        </w:tc>
        <w:tc>
          <w:tcPr>
            <w:tcW w:w="88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8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w:t>
            </w:r>
          </w:p>
        </w:tc>
        <w:tc>
          <w:tcPr>
            <w:tcW w:w="40" w:type="dxa"/>
            <w:vAlign w:val="bottom"/>
          </w:tcPr>
          <w:p>
            <w:pPr>
              <w:spacing w:after="0"/>
              <w:rPr>
                <w:sz w:val="20"/>
                <w:szCs w:val="20"/>
                <w:color w:val="auto"/>
              </w:rPr>
            </w:pPr>
          </w:p>
        </w:tc>
      </w:tr>
      <w:tr>
        <w:trPr>
          <w:trHeight w:val="210"/>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w:t>
            </w:r>
          </w:p>
        </w:tc>
        <w:tc>
          <w:tcPr>
            <w:tcW w:w="11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3/30/2007</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3/30/2010</w:t>
            </w:r>
          </w:p>
        </w:tc>
        <w:tc>
          <w:tcPr>
            <w:tcW w:w="1860" w:type="dxa"/>
            <w:vAlign w:val="bottom"/>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3"/>
              </w:rPr>
              <w:t>4.87%</w:t>
            </w:r>
          </w:p>
        </w:tc>
        <w:tc>
          <w:tcPr>
            <w:tcW w:w="4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200</w:t>
            </w:r>
          </w:p>
        </w:tc>
        <w:tc>
          <w:tcPr>
            <w:tcW w:w="1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2/14/2007</w:t>
            </w:r>
          </w:p>
        </w:tc>
        <w:tc>
          <w:tcPr>
            <w:tcW w:w="2680" w:type="dxa"/>
            <w:vAlign w:val="bottom"/>
            <w:gridSpan w:val="2"/>
          </w:tcPr>
          <w:p>
            <w:pPr>
              <w:jc w:val="center"/>
              <w:ind w:left="790"/>
              <w:spacing w:after="0"/>
              <w:rPr>
                <w:sz w:val="20"/>
                <w:szCs w:val="20"/>
                <w:color w:val="auto"/>
              </w:rPr>
            </w:pPr>
            <w:r>
              <w:rPr>
                <w:rFonts w:ascii="Arial" w:cs="Arial" w:eastAsia="Arial" w:hAnsi="Arial"/>
                <w:sz w:val="18"/>
                <w:szCs w:val="18"/>
                <w:color w:val="auto"/>
                <w:w w:val="89"/>
              </w:rPr>
              <w:t>2/14/2012</w:t>
            </w:r>
          </w:p>
        </w:tc>
        <w:tc>
          <w:tcPr>
            <w:tcW w:w="1860" w:type="dxa"/>
            <w:vAlign w:val="bottom"/>
            <w:gridSpan w:val="2"/>
          </w:tcPr>
          <w:p>
            <w:pPr>
              <w:jc w:val="center"/>
              <w:ind w:left="770"/>
              <w:spacing w:after="0"/>
              <w:rPr>
                <w:sz w:val="20"/>
                <w:szCs w:val="20"/>
                <w:color w:val="auto"/>
              </w:rPr>
            </w:pPr>
            <w:r>
              <w:rPr>
                <w:rFonts w:ascii="Arial" w:cs="Arial" w:eastAsia="Arial" w:hAnsi="Arial"/>
                <w:sz w:val="18"/>
                <w:szCs w:val="18"/>
                <w:color w:val="auto"/>
                <w:w w:val="93"/>
              </w:rPr>
              <w:t>5.20%</w:t>
            </w:r>
          </w:p>
        </w:tc>
        <w:tc>
          <w:tcPr>
            <w:tcW w:w="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1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2/14/2012</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2/14/2016</w:t>
            </w:r>
          </w:p>
        </w:tc>
        <w:tc>
          <w:tcPr>
            <w:tcW w:w="1860" w:type="dxa"/>
            <w:vAlign w:val="bottom"/>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3"/>
              </w:rPr>
              <w:t>3.78%</w:t>
            </w:r>
          </w:p>
        </w:tc>
        <w:tc>
          <w:tcPr>
            <w:tcW w:w="4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760" w:type="dxa"/>
            <w:vAlign w:val="bottom"/>
            <w:gridSpan w:val="2"/>
          </w:tcPr>
          <w:p>
            <w:pPr>
              <w:jc w:val="center"/>
              <w:ind w:right="1200"/>
              <w:spacing w:after="0"/>
              <w:rPr>
                <w:sz w:val="20"/>
                <w:szCs w:val="20"/>
                <w:color w:val="auto"/>
              </w:rPr>
            </w:pPr>
            <w:r>
              <w:rPr>
                <w:rFonts w:ascii="Arial" w:cs="Arial" w:eastAsia="Arial" w:hAnsi="Arial"/>
                <w:sz w:val="18"/>
                <w:szCs w:val="18"/>
                <w:color w:val="auto"/>
                <w:w w:val="91"/>
              </w:rPr>
              <w:t>150 (b)</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11/16/2009</w:t>
            </w:r>
          </w:p>
        </w:tc>
        <w:tc>
          <w:tcPr>
            <w:tcW w:w="2680" w:type="dxa"/>
            <w:vAlign w:val="bottom"/>
            <w:gridSpan w:val="2"/>
          </w:tcPr>
          <w:p>
            <w:pPr>
              <w:jc w:val="center"/>
              <w:ind w:left="790"/>
              <w:spacing w:after="0"/>
              <w:rPr>
                <w:sz w:val="20"/>
                <w:szCs w:val="20"/>
                <w:color w:val="auto"/>
              </w:rPr>
            </w:pPr>
            <w:r>
              <w:rPr>
                <w:rFonts w:ascii="Arial" w:cs="Arial" w:eastAsia="Arial" w:hAnsi="Arial"/>
                <w:sz w:val="18"/>
                <w:szCs w:val="18"/>
                <w:color w:val="auto"/>
                <w:w w:val="89"/>
              </w:rPr>
              <w:t>5/16/2016</w:t>
            </w:r>
          </w:p>
        </w:tc>
        <w:tc>
          <w:tcPr>
            <w:tcW w:w="1860" w:type="dxa"/>
            <w:vAlign w:val="bottom"/>
            <w:gridSpan w:val="2"/>
          </w:tcPr>
          <w:p>
            <w:pPr>
              <w:jc w:val="center"/>
              <w:ind w:left="770"/>
              <w:spacing w:after="0"/>
              <w:rPr>
                <w:sz w:val="20"/>
                <w:szCs w:val="20"/>
                <w:color w:val="auto"/>
              </w:rPr>
            </w:pPr>
            <w:r>
              <w:rPr>
                <w:rFonts w:ascii="Arial" w:cs="Arial" w:eastAsia="Arial" w:hAnsi="Arial"/>
                <w:sz w:val="18"/>
                <w:szCs w:val="18"/>
                <w:color w:val="auto"/>
                <w:w w:val="93"/>
              </w:rPr>
              <w:t>3.26%</w:t>
            </w:r>
          </w:p>
        </w:tc>
        <w:tc>
          <w:tcPr>
            <w:tcW w:w="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180"/>
              <w:spacing w:after="0"/>
              <w:rPr>
                <w:sz w:val="20"/>
                <w:szCs w:val="20"/>
                <w:color w:val="auto"/>
              </w:rPr>
            </w:pPr>
            <w:r>
              <w:rPr>
                <w:rFonts w:ascii="Arial" w:cs="Arial" w:eastAsia="Arial" w:hAnsi="Arial"/>
                <w:sz w:val="18"/>
                <w:szCs w:val="18"/>
                <w:color w:val="auto"/>
                <w:w w:val="91"/>
              </w:rPr>
              <w:t>50 (c)</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2/16/2010</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5/16/2016</w:t>
            </w:r>
          </w:p>
        </w:tc>
        <w:tc>
          <w:tcPr>
            <w:tcW w:w="1860" w:type="dxa"/>
            <w:vAlign w:val="bottom"/>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3"/>
              </w:rPr>
              <w:t>3.05%</w:t>
            </w:r>
          </w:p>
        </w:tc>
        <w:tc>
          <w:tcPr>
            <w:tcW w:w="4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effective date refers to the date on which interest payments are first hedged by the applicable swap contract.</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beginning November 14 of each year between the effective date and expiration date are hedged by the swap contract.</w:t>
      </w:r>
    </w:p>
    <w:p>
      <w:pPr>
        <w:spacing w:after="0" w:line="21"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beginning February 14 of each year between the effective date and expiration date are hedged by the swap contract.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Master Accounts Receivable Purchase Agreement</w:t>
      </w:r>
    </w:p>
    <w:p>
      <w:pPr>
        <w:spacing w:after="0" w:line="19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On April 9, 2008, the Company entered into a Master Accounts Receivable Purchase Agreement (the “2008 MARP Agreement”). The 2008 MARP Agreement provided for the discounted sale, on a revolving basis, of accounts receivable generated by specified account debtors, with seasonally adjusted monthly aggregate limits ranging from $10 million to $300 million. The 2008 MARP Agreement also provided for specified account debtor sublimit amounts, which provided limits on the amount of receivables owed by individual account debtors that could be sold to the banks. The 2008 MARP Agreement provided an interest rate that approximated the 7-day LIBOR rate plus 85 basis points. The 2008 MARP Agreement expired by its terms on April 8, 2009.</w:t>
      </w:r>
    </w:p>
    <w:p>
      <w:pPr>
        <w:spacing w:after="0" w:line="149"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On May 1, 2009, the Company entered into a Master Accounts Receivable Purchase Agreement (the “2009 MARP Agreement”), with a stated termination date of May 1, 2010, or such later date as may be mutually agreed by the Company and its lender. The 2009 MARP Agreement provides for the discounted sale, on an uncommitted, revolving basis, of accounts receivable generated by a specified account debtor, with aggregate limits not to exceed $80 million. The 2009 MARP Agreement provides an interest rate that approximates the 7-day LIBOR rate plus 225 basis points.</w:t>
      </w:r>
    </w:p>
    <w:p>
      <w:pPr>
        <w:spacing w:after="0" w:line="132"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The Company accounts for the sale of receivables under the 2009 MARP Agreement as short-term debt and continues to carry the receivables on its Condensed, Consolidated Balance Sheet, primarily as a result of the Company’s right to repurchase receivables sold. The caption “Accounts receivable pledged” on the accompanying Condensed, Consolidated Balance Sheets in the amounts of $9.7 million, $45.9 million and $17.0 million as of January 2, 2010, December 27, 2008 and September 30, 2009, respectively, represents the pool of receivables that have been designated as “sold” under the 2009 and 2008 MARP Agreements, respectively, and serve as collateral for short-term debt thereunder in the amounts of $3.0 million, $10.0 million and $4.2 million, as of those dates, respectively.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the terms of all borrowing agreements at January 2, 2010.</w:t>
      </w:r>
    </w:p>
    <w:p>
      <w:pPr>
        <w:spacing w:after="0" w:line="19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 description of the Company’s debt instruments and the methods and assumptions used to estimate their fair values is as follows: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Debt</w:t>
      </w:r>
    </w:p>
    <w:p>
      <w:pPr>
        <w:spacing w:after="0" w:line="18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interest rate currently available to the Company fluctuates with the applicable LIBOR rate, prime rate or Federal Funds Effective Rate, and thus the carrying value is a reasonable estimate of fair value.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85"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The interest rate on the short-term debt associated with accounts receivable pledged under the 2009 MARP Agreement fluctuates with the one-week LIBOR rate, and thus the carrying value is a reasonable estimate of fair value.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Subsequent Event — Issuance of $200 million of 7.25% Senior Notes</w:t>
      </w:r>
    </w:p>
    <w:p>
      <w:pPr>
        <w:spacing w:after="0" w:line="198"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On January 14, 2010, Scotts Miracle-Gro issued $200 million aggregate principal amount of 7.25% Senior Notes due 2018 (the “Senior Notes”). The proceeds of the offering were used to reduce outstanding borrowings under the Company’s senior secured revolving credit facility. The Senior Notes represent general unsecured senior obligations of Scotts Miracle-Gro, and were sold to the public at 99.254% of the principal amount thereof, to yield 7.375% to maturity. The Senior Notes have interest payment dates of January 15 and July 15, commencing on July 15, 2010, and may be redeemed prior to maturity at applicable redemption premiums. The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for or redemptions of Company stock and prepayments of subordinated debt, limitations on asset sales and restrictions on transactions with affiliates. The Senior Notes mature on January 15, 2018. Certain of Scotts Miracle-Gro’s domestic subsidiaries serve as guarantors of the Senior Notes. Refer to “NOTE 16. FINANCIAL INFORMATION FOR SUBSIDIARY GUARANTORS AND NON-GUARANTORS” for more information regarding the guarantor entities.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COMPREHENSIVE INCOME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comprehensive income (expense) and total comprehensive loss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138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JANUARY 2,</w:t>
            </w:r>
          </w:p>
        </w:tc>
        <w:tc>
          <w:tcPr>
            <w:tcW w:w="13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DECEMBER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9"/>
              </w:rPr>
              <w:t>MILLIONS)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(57.7)</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(57.0)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 comprehensive income (expense), net of tax:</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valuation of derivative instruments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2.4</w:t>
            </w: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(18.6)</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Change in pension and other postretirement amounts</w:t>
            </w:r>
          </w:p>
        </w:tc>
        <w:tc>
          <w:tcPr>
            <w:tcW w:w="18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5.8</w:t>
            </w:r>
          </w:p>
        </w:tc>
        <w:tc>
          <w:tcPr>
            <w:tcW w:w="8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(49.8)</w:t>
            </w: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(59.8)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RETIREMENT AND RETIREE MEDICAL PLANS COST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summarizes the net periodic benefit cost for the various retirement and retiree medical plans sponsored by the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Company:</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6560" w:type="dxa"/>
            <w:vAlign w:val="bottom"/>
          </w:tcPr>
          <w:p>
            <w:pPr>
              <w:spacing w:after="0"/>
              <w:rPr>
                <w:sz w:val="16"/>
                <w:szCs w:val="16"/>
                <w:color w:val="auto"/>
              </w:rPr>
            </w:pPr>
          </w:p>
        </w:tc>
        <w:tc>
          <w:tcPr>
            <w:tcW w:w="1380" w:type="dxa"/>
            <w:vAlign w:val="bottom"/>
            <w:gridSpan w:val="3"/>
          </w:tcPr>
          <w:p>
            <w:pPr>
              <w:jc w:val="right"/>
              <w:ind w:right="250"/>
              <w:spacing w:after="0" w:line="191" w:lineRule="exact"/>
              <w:rPr>
                <w:sz w:val="20"/>
                <w:szCs w:val="20"/>
                <w:color w:val="auto"/>
              </w:rPr>
            </w:pPr>
            <w:r>
              <w:rPr>
                <w:rFonts w:ascii="Arial" w:cs="Arial" w:eastAsia="Arial" w:hAnsi="Arial"/>
                <w:sz w:val="18"/>
                <w:szCs w:val="18"/>
                <w:b w:val="1"/>
                <w:bCs w:val="1"/>
                <w:color w:val="auto"/>
                <w:w w:val="95"/>
              </w:rPr>
              <w:t>JANUARY 2,</w:t>
            </w:r>
          </w:p>
        </w:tc>
        <w:tc>
          <w:tcPr>
            <w:tcW w:w="13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6"/>
              </w:rPr>
              <w:t>DECEMBER 27,</w:t>
            </w:r>
          </w:p>
        </w:tc>
        <w:tc>
          <w:tcPr>
            <w:tcW w:w="80" w:type="dxa"/>
            <w:vAlign w:val="bottom"/>
          </w:tcPr>
          <w:p>
            <w:pPr>
              <w:spacing w:after="0"/>
              <w:rPr>
                <w:sz w:val="16"/>
                <w:szCs w:val="16"/>
                <w:color w:val="auto"/>
              </w:rPr>
            </w:pPr>
          </w:p>
        </w:tc>
      </w:tr>
      <w:tr>
        <w:trPr>
          <w:trHeight w:val="234"/>
        </w:trPr>
        <w:tc>
          <w:tcPr>
            <w:tcW w:w="6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400" w:type="dxa"/>
            <w:vAlign w:val="bottom"/>
            <w:gridSpan w:val="2"/>
          </w:tcPr>
          <w:p>
            <w:pPr>
              <w:jc w:val="right"/>
              <w:ind w:right="375"/>
              <w:spacing w:after="0"/>
              <w:rPr>
                <w:sz w:val="20"/>
                <w:szCs w:val="20"/>
                <w:color w:val="auto"/>
              </w:rPr>
            </w:pPr>
            <w:r>
              <w:rPr>
                <w:rFonts w:ascii="Arial" w:cs="Arial" w:eastAsia="Arial" w:hAnsi="Arial"/>
                <w:sz w:val="18"/>
                <w:szCs w:val="18"/>
                <w:b w:val="1"/>
                <w:bCs w:val="1"/>
                <w:color w:val="auto"/>
                <w:w w:val="99"/>
              </w:rPr>
              <w:t>MILLIONS)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Frozen defined benefit plans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c>
          <w:tcPr>
            <w:tcW w:w="1060" w:type="dxa"/>
            <w:vAlign w:val="bottom"/>
            <w:shd w:val="clear" w:color="auto" w:fill="CCEEFF"/>
          </w:tcPr>
          <w:p>
            <w:pPr>
              <w:jc w:val="right"/>
              <w:ind w:right="895"/>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0.9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International benefit plans</w:t>
            </w:r>
          </w:p>
        </w:tc>
        <w:tc>
          <w:tcPr>
            <w:tcW w:w="18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1.9</w:t>
            </w:r>
          </w:p>
        </w:tc>
        <w:tc>
          <w:tcPr>
            <w:tcW w:w="106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1.8</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Retiree medical plan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0.6</w:t>
            </w:r>
          </w:p>
        </w:tc>
        <w:tc>
          <w:tcPr>
            <w:tcW w:w="10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0.5</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NOTE 9. STOCK-BASED COMPENSATION AWARDS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w w:val="91"/>
              </w:rPr>
              <w:t>The following is a recap of the share-based awards granted over the periods indicated:</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JANUARY 2,</w:t>
            </w:r>
          </w:p>
        </w:tc>
        <w:tc>
          <w:tcPr>
            <w:tcW w:w="13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DECEMBER 27,</w:t>
            </w:r>
          </w:p>
        </w:tc>
        <w:tc>
          <w:tcPr>
            <w:tcW w:w="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686,100</w:t>
            </w:r>
          </w:p>
        </w:tc>
      </w:tr>
      <w:tr>
        <w:trPr>
          <w:trHeight w:val="216"/>
        </w:trPr>
        <w:tc>
          <w:tcPr>
            <w:tcW w:w="34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240,400</w:t>
            </w:r>
          </w:p>
        </w:tc>
      </w:tr>
      <w:tr>
        <w:trPr>
          <w:trHeight w:val="216"/>
        </w:trPr>
        <w:tc>
          <w:tcPr>
            <w:tcW w:w="34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Restricted stock units (including deferred stock units)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4,915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190,330</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share-based awards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1,116,830</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Aggregate fair value at grant dates (in millions)</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share-based compensation and the deferred tax benefit recognized were as follows for the periods indicated (in millions):</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6560" w:type="dxa"/>
            <w:vAlign w:val="bottom"/>
          </w:tcPr>
          <w:p>
            <w:pPr>
              <w:spacing w:after="0"/>
              <w:rPr>
                <w:sz w:val="16"/>
                <w:szCs w:val="16"/>
                <w:color w:val="auto"/>
              </w:rPr>
            </w:pPr>
          </w:p>
        </w:tc>
        <w:tc>
          <w:tcPr>
            <w:tcW w:w="1380" w:type="dxa"/>
            <w:vAlign w:val="bottom"/>
            <w:gridSpan w:val="3"/>
          </w:tcPr>
          <w:p>
            <w:pPr>
              <w:jc w:val="right"/>
              <w:ind w:right="340"/>
              <w:spacing w:after="0" w:line="191" w:lineRule="exact"/>
              <w:rPr>
                <w:sz w:val="20"/>
                <w:szCs w:val="20"/>
                <w:color w:val="auto"/>
              </w:rPr>
            </w:pPr>
            <w:r>
              <w:rPr>
                <w:rFonts w:ascii="Arial" w:cs="Arial" w:eastAsia="Arial" w:hAnsi="Arial"/>
                <w:sz w:val="18"/>
                <w:szCs w:val="18"/>
                <w:b w:val="1"/>
                <w:bCs w:val="1"/>
                <w:color w:val="auto"/>
                <w:w w:val="95"/>
              </w:rPr>
              <w:t>JANUARY 2,</w:t>
            </w:r>
          </w:p>
        </w:tc>
        <w:tc>
          <w:tcPr>
            <w:tcW w:w="13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6"/>
              </w:rPr>
              <w:t>DECEMBER 27,</w:t>
            </w:r>
          </w:p>
        </w:tc>
        <w:tc>
          <w:tcPr>
            <w:tcW w:w="80" w:type="dxa"/>
            <w:vAlign w:val="bottom"/>
          </w:tcPr>
          <w:p>
            <w:pPr>
              <w:spacing w:after="0"/>
              <w:rPr>
                <w:sz w:val="16"/>
                <w:szCs w:val="16"/>
                <w:color w:val="auto"/>
              </w:rPr>
            </w:pPr>
          </w:p>
        </w:tc>
      </w:tr>
      <w:tr>
        <w:trPr>
          <w:trHeight w:val="234"/>
        </w:trPr>
        <w:tc>
          <w:tcPr>
            <w:tcW w:w="6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1060" w:type="dxa"/>
            <w:vAlign w:val="bottom"/>
            <w:shd w:val="clear" w:color="auto" w:fill="CCEEFF"/>
          </w:tcPr>
          <w:p>
            <w:pPr>
              <w:jc w:val="right"/>
              <w:ind w:right="895"/>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3.7</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Tax benefit recognized</w:t>
            </w:r>
          </w:p>
        </w:tc>
        <w:tc>
          <w:tcPr>
            <w:tcW w:w="18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06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w:t>
            </w:r>
          </w:p>
        </w:tc>
      </w:tr>
    </w:tbl>
    <w:p>
      <w:pPr>
        <w:spacing w:after="0" w:line="147"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Subsequent to January 2, 2010, Scotts Miracle-Gro awarded restricted stock units and stock options covering 0.6 million common shares to key employees with an estimated fair value of $15.3 million on the date of grant.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INCOME TAXES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balance of unrecognized tax benefits and the amount of related interest and penalties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3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7"/>
              </w:rPr>
              <w:t>JANUARY 2,</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6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MILLIONS)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6.8</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Portion that, if recognized, would impact the effective tax rate</w:t>
            </w:r>
          </w:p>
        </w:tc>
        <w:tc>
          <w:tcPr>
            <w:tcW w:w="220" w:type="dxa"/>
            <w:vAlign w:val="bottom"/>
          </w:tcPr>
          <w:p>
            <w:pPr>
              <w:spacing w:after="0"/>
              <w:rPr>
                <w:sz w:val="18"/>
                <w:szCs w:val="18"/>
                <w:color w:val="auto"/>
              </w:rPr>
            </w:pPr>
          </w:p>
        </w:tc>
        <w:tc>
          <w:tcPr>
            <w:tcW w:w="1160" w:type="dxa"/>
            <w:vAlign w:val="bottom"/>
            <w:gridSpan w:val="2"/>
          </w:tcPr>
          <w:p>
            <w:pPr>
              <w:jc w:val="right"/>
              <w:ind w:right="250"/>
              <w:spacing w:after="0"/>
              <w:rPr>
                <w:sz w:val="20"/>
                <w:szCs w:val="20"/>
                <w:color w:val="auto"/>
              </w:rPr>
            </w:pPr>
            <w:r>
              <w:rPr>
                <w:rFonts w:ascii="Arial" w:cs="Arial" w:eastAsia="Arial" w:hAnsi="Arial"/>
                <w:sz w:val="18"/>
                <w:szCs w:val="18"/>
                <w:color w:val="auto"/>
              </w:rPr>
              <w:t>6.8</w:t>
            </w:r>
          </w:p>
        </w:tc>
        <w:tc>
          <w:tcPr>
            <w:tcW w:w="10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Accrued penalties on unrecognized tax benefits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0.6</w:t>
            </w:r>
          </w:p>
        </w:tc>
        <w:tc>
          <w:tcPr>
            <w:tcW w:w="10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Accrued interest on unrecognized tax benefits</w:t>
            </w:r>
          </w:p>
        </w:tc>
        <w:tc>
          <w:tcPr>
            <w:tcW w:w="220" w:type="dxa"/>
            <w:vAlign w:val="bottom"/>
          </w:tcPr>
          <w:p>
            <w:pPr>
              <w:spacing w:after="0"/>
              <w:rPr>
                <w:sz w:val="20"/>
                <w:szCs w:val="20"/>
                <w:color w:val="auto"/>
              </w:rPr>
            </w:pPr>
          </w:p>
        </w:tc>
        <w:tc>
          <w:tcPr>
            <w:tcW w:w="1160" w:type="dxa"/>
            <w:vAlign w:val="bottom"/>
            <w:gridSpan w:val="2"/>
          </w:tcPr>
          <w:p>
            <w:pPr>
              <w:jc w:val="right"/>
              <w:ind w:right="250"/>
              <w:spacing w:after="0"/>
              <w:rPr>
                <w:sz w:val="20"/>
                <w:szCs w:val="20"/>
                <w:color w:val="auto"/>
              </w:rPr>
            </w:pPr>
            <w:r>
              <w:rPr>
                <w:rFonts w:ascii="Arial" w:cs="Arial" w:eastAsia="Arial" w:hAnsi="Arial"/>
                <w:sz w:val="18"/>
                <w:szCs w:val="18"/>
                <w:color w:val="auto"/>
              </w:rPr>
              <w:t>1.4</w:t>
            </w:r>
          </w:p>
        </w:tc>
        <w:tc>
          <w:tcPr>
            <w:tcW w:w="102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r>
    </w:tbl>
    <w:p>
      <w:pPr>
        <w:spacing w:after="0" w:line="147"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Scotts Miracle-Gro or one of its subsidiaries files income tax returns in the U.S. federal jurisdiction and various state, local and foreign jurisdictions. With few exceptions, the Company is no longer subject to examinations by these tax authorities for fiscal years prior to 2006. The Company is currently under examination by certain foreign and U.S. state and local tax authorities. In regard to the foreign audits, the tax periods under investigation are limited to fiscal years 2006 through 2008. In regards to the U.S. state and local audits, the tax periods under investigation are limited to fiscal years 2001 through 2007. In addition to the aforementioned audits, certain other tax deficiency issues and refund claims for previous years remain unresolved.</w:t>
      </w:r>
    </w:p>
    <w:p>
      <w:pPr>
        <w:spacing w:after="0" w:line="13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 currently anticipates that few of its open and active audits will be resolved 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11. CONTINGENCIES</w:t>
      </w:r>
    </w:p>
    <w:p>
      <w:pPr>
        <w:spacing w:after="0" w:line="202"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for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final resolution of these matters will not have a material adverse effect on the Company’s financial condition, results of operations or cash flows. The following are the more significant of the Company’s identified contingencies: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FIFRA Compliance and the Corresponding Governmental Investigations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 description of the Company’s ongoing FIFRA compliance efforts and the corresponding governmental investigation, see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3. PRODUCT REGISTRATION AND RECALL MATTERS.”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U.S. Horticultural Supply, Inc. (F/K/A E.C. Geiger, Inc.)</w:t>
      </w:r>
    </w:p>
    <w:p>
      <w:pPr>
        <w:spacing w:after="0" w:line="185"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On November 5, 2004, U.S. Horticultural Supply, Inc. (“Geiger”) filed suit against the Company in the U.S. District Court for the Eastern District of Pennsylvania. The complaint alleged that the Company conspired with another distributor, Griffin Greenhouse Supplies, Inc., to restrain trade in the horticultural products market, in violation of Section 1 of the Sherman Antitrust Act. Geiger’s damages expert quantified Geiger’s alleged damages at approximately $3.3 million, which could have been trebled under antitrust laws. Geiger also sought recovery of attorneys’ fees and costs. On January 13, 2009, the U.S. District Court granted the Company’s motion for summary judgment and entered judgment for the Company. Geiger has appealed the ruling to the U.S. Court of Appeals for the Third Circuit.</w:t>
      </w:r>
    </w:p>
    <w:p>
      <w:pPr>
        <w:spacing w:after="0" w:line="137"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Company continues to pursue the collection of funds owed to the Company by Geiger as confirmed by the Company’s April 25, 2005 judgment against Geiger.</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Other Regulatory Matters</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1997, the Ohio Environmental Protection Agency initiated an enforcement action against the Company with respect to alleged surface water violations and inadequate wastewater treatment capabilities at its Marysville, Ohio facility, seeking corrective action under the federal Resource Conservation and Recovery Act. The action related to discharges from on-site waste water treatment and several discontinued on-site disposal areas. Pursuant to a Consent Order entered by the Union County Common Pleas Court in 2002, the Company is actively engaged in restoring the site to eliminate exposure to waste materials from the discontinued on-site disposal areas.</w:t>
      </w:r>
    </w:p>
    <w:p>
      <w:pPr>
        <w:spacing w:after="0" w:line="153"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At January 2, 2010, $2.5 million was accrued for other regulatory matters in the “Other liabilities” line in the Condensed, Consolidated Balance Sheet. The amounts accrued are believed to be adequate to cover such known environmental exposures based on current facts and estimates of likely outcomes. However, if facts and circumstances change significantly, they could result in a material adverse effect on the Company’s financial condition, results of operations or cash flows.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85"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The Company has been named as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 damages from the Company alone. The Company believes that the claims against it are without merit and is vigorously defending against them. It is not currently possible to reasonably estimate a probable loss, if any, associated with these cases and, accordingly, no accrual or reserves have been recorded in the Company’s condensed,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142"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On April 27, 2007, the Company received a proposed Order On Consent from the New York State Department of Environmental Conservation (the “Proposed Order”) alleging that, during calendar year 2003, the Company and James Hagedorn, individually and as Chairman of the Board and Chief Executive Officer of the Company, unlawfully donated to a Port Washington, New York youth sports organization forty bags of Scotts</w:t>
      </w:r>
      <w:r>
        <w:rPr>
          <w:rFonts w:ascii="Arial" w:cs="Arial" w:eastAsia="Arial" w:hAnsi="Arial"/>
          <w:sz w:val="14"/>
          <w:szCs w:val="14"/>
          <w:color w:val="auto"/>
        </w:rPr>
        <w:t>®</w:t>
      </w:r>
      <w:r>
        <w:rPr>
          <w:rFonts w:ascii="Arial" w:cs="Arial" w:eastAsia="Arial" w:hAnsi="Arial"/>
          <w:sz w:val="17"/>
          <w:szCs w:val="17"/>
          <w:color w:val="auto"/>
        </w:rPr>
        <w:t xml:space="preserve"> LawnPro Annual Program Step 3 Insect Control Plus Fertilizer which, while federally registered, was allegedly not registered in the state of New York. The Proposed Order requests penalties totaling $695,000. The Company has responded in writing to the New York State Department of Environmental Conservation with respect to the Proposed Order and is awaiting a response.</w:t>
      </w:r>
    </w:p>
    <w:p>
      <w:pPr>
        <w:spacing w:after="0" w:line="15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financial condition, results of operations or cash flows.</w:t>
      </w:r>
    </w:p>
    <w:p>
      <w:pPr>
        <w:sectPr>
          <w:pgSz w:w="11900" w:h="16838" w:orient="portrait"/>
          <w:cols w:equalWidth="0" w:num="1">
            <w:col w:w="10219"/>
          </w:cols>
          <w:pgMar w:left="240" w:top="419" w:right="1440" w:bottom="136"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36"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Derivatives and Hedging</w:t>
      </w:r>
    </w:p>
    <w:p>
      <w:pPr>
        <w:spacing w:after="0" w:line="185"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The Company is exposed to market risks, such as changes in interest rates, currency exchange rates and commodity prices. To manage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14"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The Company formally designates and documents qualifying instruments as hedges of underlying exposures at inception. The Company formally assesses, both at inception and at least quarterly, whether the financial instruments used in hedging transactions are effective at offsetting changes in either the fair value or cash flows of the related underlying exposure. Fluctuations in the value of these instruments generally are offset by changes in the fair value or cash flows of the underlying exposures being hedged. This offset is driven by the high degree of effectiveness between the exposure being hedged and the hedging instrument. GAAP requires all derivative instruments to be recognized as either assets or liabilities at fair value in the Condensed, Consolidated Balance Sheets. The Company designates commodity hedges as cash flow hedges of forecasted purchases of commodities and interest rate swap agreements as cash flow hedges of interest payments on variable rate borrowings. Any ineffective portion of a change in the fair value of a qualifying instrument is immediately recognized in earnings. The amounts recorded in earnings related to ineffectiveness of derivative hedges for the three-month periods ended January 2, 2010 and December 27, 2008 were not significant.</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Foreign Currency Swap Contracts</w:t>
      </w:r>
    </w:p>
    <w:p>
      <w:pPr>
        <w:spacing w:after="0" w:line="185"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The Company periodically uses foreign currency swap contracts to manage the exchange rate risk associated with intercompany loans with foreign subsidiaries that are denominated in local currencies. At January 2, 2010, the notional amount of outstanding foreign currency swap contracts was $72.8 million, with a fair value of $1.2 million. The fair value of foreign currency swap contracts is determined based on changes in spot rates. The unrealized loss on the foreign currency swap contracts approximates the unrealized gain on the intercompany loans recognized by the Company’s lending subsidiaries.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98"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exposure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loss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137"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At January 2, 2010 and December 27, 2008, the Company had outstanding interest rate swap agreements with major financial institutions that effectively converted a portion of the Company’s variable-rate debt to a fixed rate. The swap agreements had a total U.S. dollar equivalent notional amount of $650 million and $600 million at January 2, 2010 and December 27, 2008, respectively. Refer to “NOTE 6. DEBT” for the terms of the swap agreements outstanding at January 2, 2010. Included in the AOCI balance at January 2, 2010 was a pre-tax loss of $8.7 million related to interest rate swap agreements that is expected to be reclassified to earnings during the next 12 months, consistent with the timing of the underlying hedged transactions.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Commodity Hedges</w:t>
      </w:r>
    </w:p>
    <w:p>
      <w:pPr>
        <w:spacing w:after="0" w:line="198"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The Company had outstanding hedging arrangements at January 2, 2010 designed to fix the price of a portion of its urea needs.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component of shareholders’ equity. Realized gains or losses remain as a component of AOCI until the related inventory is sold. Upon sale of the underlying inventory, the gain or loss is reclassified to cost of sales. Included in the AOCI balance at January 2, 2010 was a pre-tax loss of $0.8 million related to urea derivatives that is expected to be reclassified to earnings during the next 12 months, consistent with the timing of the underlying hedged transactions.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Periodically, the Company also uses fuel derivatives to partially mitigate the effect of fluctuating diesel and gasoline costs on operating results. Historically, the majority of fuel derivatives used by the Company has not qualified for hedge accounting treatment in accordance with GAAP and is marked-to-market, with unrealized gains and losses on open contracts and realized gains or losses on settled contracts recorded as an element of cost of sales.</w:t>
      </w:r>
    </w:p>
    <w:p>
      <w:pPr>
        <w:spacing w:after="0" w:line="160"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In fiscal 2009, the Company entered into fuel derivatives for its Scotts LawnService</w:t>
      </w:r>
      <w:r>
        <w:rPr>
          <w:rFonts w:ascii="Arial" w:cs="Arial" w:eastAsia="Arial" w:hAnsi="Arial"/>
          <w:sz w:val="13"/>
          <w:szCs w:val="13"/>
          <w:color w:val="auto"/>
        </w:rPr>
        <w:t>®</w:t>
      </w:r>
      <w:r>
        <w:rPr>
          <w:rFonts w:ascii="Arial" w:cs="Arial" w:eastAsia="Arial" w:hAnsi="Arial"/>
          <w:sz w:val="16"/>
          <w:szCs w:val="16"/>
          <w:color w:val="auto"/>
        </w:rPr>
        <w:t xml:space="preserve"> business that qualify for hedge accounting treatment. Unrealized gains or losses in the fair value of these contracts are recorded to the AOCI component of shareholders’ equity except for any ineffective portion of the change in fair value, which is immediately recorded in earnings. For the effective portion of the change in fair value, realized gains or losses remain as a component of AOCI until the related fuel is consumed by the Scotts LawnService</w:t>
      </w:r>
      <w:r>
        <w:rPr>
          <w:rFonts w:ascii="Arial" w:cs="Arial" w:eastAsia="Arial" w:hAnsi="Arial"/>
          <w:sz w:val="13"/>
          <w:szCs w:val="13"/>
          <w:color w:val="auto"/>
        </w:rPr>
        <w:t>®</w:t>
      </w:r>
      <w:r>
        <w:rPr>
          <w:rFonts w:ascii="Arial" w:cs="Arial" w:eastAsia="Arial" w:hAnsi="Arial"/>
          <w:sz w:val="16"/>
          <w:szCs w:val="16"/>
          <w:color w:val="auto"/>
        </w:rPr>
        <w:t xml:space="preserve"> service vehicles. Upon consumption of the fuel, the gain or loss is reclassified to cost of sales. Included in the AOCI balance at January 2, 2010 was a pre-tax gain of $0.1 million related to fuel derivatives that is expected to be reclassified to earnings during the next 12 months, consistent with the timing of the underlying hedged transactions.</w:t>
      </w:r>
    </w:p>
    <w:p>
      <w:pPr>
        <w:spacing w:after="0" w:line="127"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As of January 2, 2010, the Company had the following outstanding commodity contracts that were entered into to hedge forecasted purchases: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Commodity</w:t>
            </w:r>
          </w:p>
        </w:tc>
        <w:tc>
          <w:tcPr>
            <w:tcW w:w="460" w:type="dxa"/>
            <w:vAlign w:val="bottom"/>
          </w:tcPr>
          <w:p>
            <w:pPr>
              <w:spacing w:after="0"/>
              <w:rPr>
                <w:sz w:val="20"/>
                <w:szCs w:val="20"/>
                <w:color w:val="auto"/>
              </w:rPr>
            </w:pPr>
          </w:p>
        </w:tc>
        <w:tc>
          <w:tcPr>
            <w:tcW w:w="18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Volume</w:t>
            </w: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Urea</w:t>
            </w:r>
          </w:p>
        </w:tc>
        <w:tc>
          <w:tcPr>
            <w:tcW w:w="4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51,000 tons</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Diesel</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336,000 gallons</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Gasoline</w:t>
            </w:r>
          </w:p>
        </w:tc>
        <w:tc>
          <w:tcPr>
            <w:tcW w:w="4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168,000 gallons</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the Company’s derivative instruments were as follows (in millions):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Assets/(Liabilities)</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20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January 2, 2010</w:t>
            </w:r>
          </w:p>
        </w:tc>
        <w:tc>
          <w:tcPr>
            <w:tcW w:w="6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98"/>
              </w:rPr>
              <w:t>December 27, 2008</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Balance Sheet Location</w:t>
            </w:r>
          </w:p>
        </w:tc>
        <w:tc>
          <w:tcPr>
            <w:tcW w:w="200" w:type="dxa"/>
            <w:vAlign w:val="bottom"/>
          </w:tcPr>
          <w:p>
            <w:pPr>
              <w:spacing w:after="0"/>
              <w:rPr>
                <w:sz w:val="18"/>
                <w:szCs w:val="18"/>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Pr>
          <w:p>
            <w:pPr>
              <w:spacing w:after="0"/>
              <w:rPr>
                <w:sz w:val="18"/>
                <w:szCs w:val="18"/>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Balance Sheet Location</w:t>
            </w:r>
          </w:p>
        </w:tc>
        <w:tc>
          <w:tcPr>
            <w:tcW w:w="200" w:type="dxa"/>
            <w:vAlign w:val="bottom"/>
          </w:tcPr>
          <w:p>
            <w:pPr>
              <w:spacing w:after="0"/>
              <w:rPr>
                <w:sz w:val="18"/>
                <w:szCs w:val="18"/>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Derivatives Designated as Hedging</w:t>
            </w:r>
          </w:p>
        </w:tc>
        <w:tc>
          <w:tcPr>
            <w:tcW w:w="1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1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800" w:type="dxa"/>
            <w:vAlign w:val="bottom"/>
          </w:tcPr>
          <w:p>
            <w:pPr>
              <w:spacing w:after="0"/>
              <w:rPr>
                <w:sz w:val="20"/>
                <w:szCs w:val="20"/>
                <w:color w:val="auto"/>
              </w:rPr>
            </w:pPr>
            <w:r>
              <w:rPr>
                <w:rFonts w:ascii="Arial" w:cs="Arial" w:eastAsia="Arial" w:hAnsi="Arial"/>
                <w:sz w:val="18"/>
                <w:szCs w:val="18"/>
                <w:color w:val="auto"/>
              </w:rPr>
              <w:t>Other assets</w:t>
            </w:r>
          </w:p>
        </w:tc>
        <w:tc>
          <w:tcPr>
            <w:tcW w:w="40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800" w:type="dxa"/>
            <w:vAlign w:val="bottom"/>
          </w:tcPr>
          <w:p>
            <w:pPr>
              <w:spacing w:after="0"/>
              <w:rPr>
                <w:sz w:val="20"/>
                <w:szCs w:val="20"/>
                <w:color w:val="auto"/>
              </w:rPr>
            </w:pPr>
            <w:r>
              <w:rPr>
                <w:rFonts w:ascii="Arial" w:cs="Arial" w:eastAsia="Arial" w:hAnsi="Arial"/>
                <w:sz w:val="18"/>
                <w:szCs w:val="18"/>
                <w:color w:val="auto"/>
              </w:rPr>
              <w:t>Other assets</w:t>
            </w:r>
          </w:p>
        </w:tc>
        <w:tc>
          <w:tcPr>
            <w:tcW w:w="54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99"/>
              </w:rPr>
              <w:t>Other current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99"/>
              </w:rPr>
              <w:t>Other current liabilities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80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Commodity hedging instruments</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88"/>
              </w:rPr>
              <w:t>Prepaid and other 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88"/>
              </w:rPr>
              <w:t>Prepaid and other assets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9"/>
              </w:rPr>
              <w:t>Other current liabilities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0"/>
                <w:szCs w:val="20"/>
                <w:color w:val="auto"/>
              </w:rPr>
            </w:pPr>
            <w:r>
              <w:rPr>
                <w:rFonts w:ascii="Arial" w:cs="Arial" w:eastAsia="Arial" w:hAnsi="Arial"/>
                <w:sz w:val="18"/>
                <w:szCs w:val="18"/>
                <w:color w:val="auto"/>
                <w:w w:val="99"/>
              </w:rPr>
              <w:t>Other current liabilities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derivatives designated as hedging</w:t>
            </w: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18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8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w w:val="95"/>
              </w:rPr>
              <w:t>Derivatives not Designated as Hedging</w:t>
            </w: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00" w:type="dxa"/>
            <w:vAlign w:val="bottom"/>
            <w:vMerge w:val="continue"/>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Instruments(1)</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swap contracts</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88"/>
              </w:rPr>
              <w:t>Prepaid and other assets</w:t>
            </w:r>
          </w:p>
        </w:tc>
        <w:tc>
          <w:tcPr>
            <w:tcW w:w="4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88"/>
              </w:rPr>
              <w:t>Prepaid and other assets</w:t>
            </w:r>
          </w:p>
        </w:tc>
        <w:tc>
          <w:tcPr>
            <w:tcW w:w="54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9"/>
              </w:rPr>
              <w:t>Other current liabilities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0"/>
                <w:szCs w:val="20"/>
                <w:color w:val="auto"/>
              </w:rPr>
            </w:pPr>
            <w:r>
              <w:rPr>
                <w:rFonts w:ascii="Arial" w:cs="Arial" w:eastAsia="Arial" w:hAnsi="Arial"/>
                <w:sz w:val="18"/>
                <w:szCs w:val="18"/>
                <w:color w:val="auto"/>
                <w:w w:val="99"/>
              </w:rPr>
              <w:t>Other current liabilities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derivatives not designated as</w:t>
            </w: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hedging instruments(1)</w:t>
            </w:r>
          </w:p>
        </w:tc>
        <w:tc>
          <w:tcPr>
            <w:tcW w:w="18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8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Total derivatives</w:t>
            </w: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ind w:right="17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0636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right="559" w:hanging="348"/>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discussion above for additional information regarding the Company’s purpose for entering into derivatives not designated as hedging instruments and its overall risk management strategy.</w:t>
      </w:r>
    </w:p>
    <w:p>
      <w:pPr>
        <w:spacing w:after="0" w:line="13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Refer to “NOTE 13. FAIR VALUE MEASUREMENTS” for the Company’s fair value measurements of derivative instruments as they relate to the valuation hierarchy.</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effect of derivative instruments on AOCI and the Condensed, Consolidated Statements of Operations for the three months ended January 2, 2010 and December 27, 2008 was as follows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0"/>
              </w:rPr>
              <w:t>Amount of Gain/(Loss)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1"/>
              </w:rPr>
              <w:t>Recognized in OCI</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Derivatives in Cash Flow Hedging Relationships</w:t>
            </w:r>
          </w:p>
        </w:tc>
        <w:tc>
          <w:tcPr>
            <w:tcW w:w="240" w:type="dxa"/>
            <w:vAlign w:val="bottom"/>
            <w:vMerge w:val="restart"/>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January 2, 2010</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87"/>
              </w:rPr>
              <w:t>December 27, 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Commodity hedging instruments</w:t>
            </w:r>
          </w:p>
        </w:tc>
        <w:tc>
          <w:tcPr>
            <w:tcW w:w="3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9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Amount of Gain/(Loss)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9"/>
          </w:tcPr>
          <w:p>
            <w:pPr>
              <w:jc w:val="center"/>
              <w:ind w:right="80"/>
              <w:spacing w:after="0"/>
              <w:rPr>
                <w:sz w:val="20"/>
                <w:szCs w:val="20"/>
                <w:color w:val="auto"/>
              </w:rPr>
            </w:pPr>
            <w:r>
              <w:rPr>
                <w:rFonts w:ascii="Arial" w:cs="Arial" w:eastAsia="Arial" w:hAnsi="Arial"/>
                <w:sz w:val="18"/>
                <w:szCs w:val="18"/>
                <w:b w:val="1"/>
                <w:bCs w:val="1"/>
                <w:color w:val="auto"/>
                <w:w w:val="92"/>
              </w:rPr>
              <w:t>Reclassified From OCI Into Earnings</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8"/>
                <w:szCs w:val="18"/>
                <w:b w:val="1"/>
                <w:bCs w:val="1"/>
                <w:color w:val="auto"/>
              </w:rPr>
              <w:t>Derivatives in Cash Flow</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Location of Gain/(Loss)</w:t>
            </w:r>
          </w:p>
        </w:tc>
        <w:tc>
          <w:tcPr>
            <w:tcW w:w="1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8"/>
                <w:szCs w:val="18"/>
                <w:b w:val="1"/>
                <w:bCs w:val="1"/>
                <w:color w:val="auto"/>
              </w:rPr>
              <w:t>Hedging Relationships</w:t>
            </w:r>
          </w:p>
        </w:tc>
        <w:tc>
          <w:tcPr>
            <w:tcW w:w="1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b w:val="1"/>
                <w:bCs w:val="1"/>
                <w:color w:val="auto"/>
                <w:w w:val="90"/>
              </w:rPr>
              <w:t>Reclassified From OCI Into Earnings</w:t>
            </w:r>
          </w:p>
        </w:tc>
        <w:tc>
          <w:tcPr>
            <w:tcW w:w="180" w:type="dxa"/>
            <w:vAlign w:val="bottom"/>
          </w:tcPr>
          <w:p>
            <w:pPr>
              <w:spacing w:after="0"/>
              <w:rPr>
                <w:sz w:val="18"/>
                <w:szCs w:val="18"/>
                <w:color w:val="auto"/>
              </w:rPr>
            </w:pPr>
          </w:p>
        </w:tc>
        <w:tc>
          <w:tcPr>
            <w:tcW w:w="1680" w:type="dxa"/>
            <w:vAlign w:val="bottom"/>
            <w:gridSpan w:val="6"/>
          </w:tcPr>
          <w:p>
            <w:pPr>
              <w:spacing w:after="0"/>
              <w:rPr>
                <w:sz w:val="20"/>
                <w:szCs w:val="20"/>
                <w:color w:val="auto"/>
              </w:rPr>
            </w:pPr>
            <w:r>
              <w:rPr>
                <w:rFonts w:ascii="Arial" w:cs="Arial" w:eastAsia="Arial" w:hAnsi="Arial"/>
                <w:sz w:val="18"/>
                <w:szCs w:val="18"/>
                <w:b w:val="1"/>
                <w:bCs w:val="1"/>
                <w:color w:val="auto"/>
              </w:rPr>
              <w:t>January 2, 2010</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87"/>
              </w:rPr>
              <w:t>December 27, 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1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Commodity hedging instruments</w:t>
            </w:r>
          </w:p>
        </w:tc>
        <w:tc>
          <w:tcPr>
            <w:tcW w:w="1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5"/>
          </w:tcPr>
          <w:p>
            <w:pPr>
              <w:ind w:left="300"/>
              <w:spacing w:after="0"/>
              <w:rPr>
                <w:sz w:val="20"/>
                <w:szCs w:val="20"/>
                <w:color w:val="auto"/>
              </w:rPr>
            </w:pPr>
            <w:r>
              <w:rPr>
                <w:rFonts w:ascii="Arial" w:cs="Arial" w:eastAsia="Arial" w:hAnsi="Arial"/>
                <w:sz w:val="18"/>
                <w:szCs w:val="18"/>
                <w:b w:val="1"/>
                <w:bCs w:val="1"/>
                <w:color w:val="auto"/>
                <w:w w:val="98"/>
              </w:rPr>
              <w:t>Amount of Gain/(Loss)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w w:val="96"/>
              </w:rPr>
              <w:t>Recognized in Earnings</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8"/>
                <w:szCs w:val="18"/>
                <w:b w:val="1"/>
                <w:bCs w:val="1"/>
                <w:color w:val="auto"/>
              </w:rPr>
              <w:t>Derivatives not Designated As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gridSpan w:val="2"/>
          </w:tcPr>
          <w:p>
            <w:pPr>
              <w:ind w:left="500"/>
              <w:spacing w:after="0"/>
              <w:rPr>
                <w:sz w:val="20"/>
                <w:szCs w:val="20"/>
                <w:color w:val="auto"/>
              </w:rPr>
            </w:pPr>
            <w:r>
              <w:rPr>
                <w:rFonts w:ascii="Arial" w:cs="Arial" w:eastAsia="Arial" w:hAnsi="Arial"/>
                <w:sz w:val="18"/>
                <w:szCs w:val="18"/>
                <w:b w:val="1"/>
                <w:bCs w:val="1"/>
                <w:color w:val="auto"/>
              </w:rPr>
              <w:t>Location of Gain/(Loss)</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8"/>
                <w:szCs w:val="18"/>
                <w:b w:val="1"/>
                <w:bCs w:val="1"/>
                <w:color w:val="auto"/>
              </w:rPr>
              <w:t>Hedging Instruments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jc w:val="right"/>
              <w:ind w:right="450"/>
              <w:spacing w:after="0"/>
              <w:rPr>
                <w:sz w:val="20"/>
                <w:szCs w:val="20"/>
                <w:color w:val="auto"/>
              </w:rPr>
            </w:pPr>
            <w:r>
              <w:rPr>
                <w:rFonts w:ascii="Arial" w:cs="Arial" w:eastAsia="Arial" w:hAnsi="Arial"/>
                <w:sz w:val="18"/>
                <w:szCs w:val="18"/>
                <w:b w:val="1"/>
                <w:bCs w:val="1"/>
                <w:color w:val="auto"/>
              </w:rPr>
              <w:t>Recognized in Income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5"/>
          </w:tcPr>
          <w:p>
            <w:pPr>
              <w:spacing w:after="0"/>
              <w:rPr>
                <w:sz w:val="20"/>
                <w:szCs w:val="20"/>
                <w:color w:val="auto"/>
              </w:rPr>
            </w:pPr>
            <w:r>
              <w:rPr>
                <w:rFonts w:ascii="Arial" w:cs="Arial" w:eastAsia="Arial" w:hAnsi="Arial"/>
                <w:sz w:val="18"/>
                <w:szCs w:val="18"/>
                <w:b w:val="1"/>
                <w:bCs w:val="1"/>
                <w:color w:val="auto"/>
              </w:rPr>
              <w:t>January 2, 2010</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87"/>
              </w:rPr>
              <w:t>December 27, 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swap contracts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0" w:type="dxa"/>
            <w:vAlign w:val="bottom"/>
            <w:shd w:val="clear" w:color="auto" w:fill="CCEEFF"/>
          </w:tcPr>
          <w:p>
            <w:pPr>
              <w:jc w:val="right"/>
              <w:ind w:right="1550"/>
              <w:spacing w:after="0"/>
              <w:rPr>
                <w:sz w:val="20"/>
                <w:szCs w:val="20"/>
                <w:color w:val="auto"/>
              </w:rPr>
            </w:pPr>
            <w:r>
              <w:rPr>
                <w:rFonts w:ascii="Arial" w:cs="Arial" w:eastAsia="Arial" w:hAnsi="Arial"/>
                <w:sz w:val="18"/>
                <w:szCs w:val="18"/>
                <w:color w:val="auto"/>
                <w:w w:val="85"/>
              </w:rPr>
              <w:t>Interest expense</w:t>
            </w:r>
          </w:p>
        </w:tc>
        <w:tc>
          <w:tcPr>
            <w:tcW w:w="18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FAIR VALUE MEASUREMENTS</w:t>
      </w:r>
    </w:p>
    <w:p>
      <w:pPr>
        <w:spacing w:after="0" w:line="189"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Company adopted the new accounting guidance for all financial assets and liabilities accounted for at fair value on a recurring basis effective October 1, 2008. The Company adopted the new accounting guidance for all non-financial assets and liabilities accounted for at fair value on a non-recurring basis effective October 1, 2009. The guidance defines fair value, establishes a framework for measuring fair value, and expands disclosures about fair value measurements. It defines fair value as the exchange price that would be received for an asset or paid to transfer a liability (an exit price) in the principal or the most advantageous market for the asset or liability in an orderly transaction between market participants at the measurement date. GAAP establishes a three-level fair value hierarchy that prioritizes the inputs used to measure fair value. The hierarchy requires entities to maximize the use of observable inputs and minimize the use of unobservable inputs. The three levels of inputs used to measure fair value are as follows: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active markets; quoted prices for similar assets and liabilities in markets that are not active; or other inputs that are observable or can be corroborated by observable market data.</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assets or liabilities. This includes pricing models, discounted cash flow methodologies and similar techniques that use significant unobservable inputs.</w:t>
      </w:r>
    </w:p>
    <w:p>
      <w:pPr>
        <w:spacing w:after="0" w:line="14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The Company uses foreign currency swap contracts to manage the exchange rate risk associated with intercompany loans with foreign subsidiaries that are denominated in U.S. dollars. These contracts are valued using observable forward rates in commonly quoted intervals for the full term of the contracts.</w:t>
      </w:r>
    </w:p>
    <w:p>
      <w:pPr>
        <w:spacing w:after="0" w:line="14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Interest rate derivatives consist of interest rate swap agreements. The Company enters into interest rate swap agreements as a means to hedge its variable interest rate exposure on debt instruments. The fair value of the swap agreements is determined based on the present value of the estimated future net cash flows using implied rates in the applicable yield curve as of the valuation date.</w:t>
      </w:r>
    </w:p>
    <w:p>
      <w:pPr>
        <w:sectPr>
          <w:pgSz w:w="11900" w:h="16838" w:orient="portrait"/>
          <w:cols w:equalWidth="0" w:num="1">
            <w:col w:w="10219"/>
          </w:cols>
          <w:pgMar w:left="240" w:top="419" w:right="1440" w:bottom="1136"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36"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has hedging arrangements designed to fix the price of a portion of its urea and fuel needs. The objective of the hedges is to mitigate the earnings and cash flow volatility attributable to the risk of changing prices. These contracts are measured using observable commodity exchange prices in active markets.</w:t>
      </w:r>
    </w:p>
    <w:p>
      <w:pPr>
        <w:spacing w:after="0" w:line="154"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assets” and “Other current liabilities.”</w:t>
      </w:r>
    </w:p>
    <w:p>
      <w:pPr>
        <w:spacing w:after="0" w:line="106"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For further information on the Company’s derivative instruments, refer to “NOTE 12. DERIVATIVE INSTRUMENTS AND HEDGING ACTIVITIES.”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19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 These investment securities are classified within Level 1 of the valuation hierarchy and are included within “Other assets” in our Condensed, Consolidated Balance Sheets.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January 2, 2010 (in millions):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Quoted Prices in Active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2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Markets for Identical</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Significant Other</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Unobservable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1"/>
              </w:rPr>
              <w:t>Assets</w:t>
            </w: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Observable Inputs</w:t>
            </w:r>
          </w:p>
        </w:tc>
        <w:tc>
          <w:tcPr>
            <w:tcW w:w="1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Inputs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Derivatives</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 agreements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Foreign currency swap contracts</w:t>
            </w:r>
          </w:p>
        </w:tc>
        <w:tc>
          <w:tcPr>
            <w:tcW w:w="3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Commodity hedging instruments</w:t>
            </w:r>
          </w:p>
        </w:tc>
        <w:tc>
          <w:tcPr>
            <w:tcW w:w="3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Interest rate swap agreements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The assets and liabilities subject to the new guidance for fair value measurement accounting and disclosures related to non-financial assets and liabilities recognized or disclosed on a non-recurring basis primarily include goodwill and indefinite-lived intangible assets measured at fair value for impairment assessments, long-lived assets measured at fair value for impairment assessments and non-financial assets and liabilities measured at fair value in business combinations. The adoption of this new guidance did not affect our financial position, results of operations or cash flows for the periods presented.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14. ACQUISITIONS</w:t>
      </w:r>
    </w:p>
    <w:p>
      <w:pPr>
        <w:spacing w:after="0" w:line="189"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Effective October 1, 2008, the Company acquired Humax Horticulture Limited, a privately-owned growing media company in the United Kingdom, for a total cost of $9.3 million. There was no acquisition activity in the first quarter of fiscal 2010.</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15. SEGMENT INFORMATION</w:t>
      </w:r>
    </w:p>
    <w:p>
      <w:pPr>
        <w:spacing w:after="0" w:line="202"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The Company divides its business into the following segments — Global Consumer, Global Professional, Scotts LawnService</w:t>
      </w:r>
      <w:r>
        <w:rPr>
          <w:rFonts w:ascii="Arial" w:cs="Arial" w:eastAsia="Arial" w:hAnsi="Arial"/>
          <w:sz w:val="13"/>
          <w:szCs w:val="13"/>
          <w:color w:val="auto"/>
        </w:rPr>
        <w:t>®</w:t>
      </w:r>
      <w:r>
        <w:rPr>
          <w:rFonts w:ascii="Arial" w:cs="Arial" w:eastAsia="Arial" w:hAnsi="Arial"/>
          <w:sz w:val="16"/>
          <w:szCs w:val="16"/>
          <w:color w:val="auto"/>
        </w:rPr>
        <w:t xml:space="preserve"> and Corporate &amp; Other. Prior to being reported as discontinued operations, Smith &amp; Hawken was included as part of our Corporate &amp; Other reportable segment. This division of reportable segments is consistent with how the segments report to and are managed by senior management of the Company. Certain reclassifications were made to the Global Consumer and Global Professional prior period amounts to reflect changes in the structure of the Company’s organization effective in fiscal 2010.</w:t>
      </w:r>
    </w:p>
    <w:p>
      <w:pPr>
        <w:spacing w:after="0" w:line="118"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The Global Consumer segment consists of the North American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wild bird food, pesticide and rodenticide products. Products are marketed to mass merchandisers, home centers, large hardware chains, warehouse clubs, distributors, garden centers and grocers in the United States, Canada and Europe.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The Global Professional segment is focused on a full line of horticultural products including controlled-release and water-soluble fertilizers and plant protection products, wetting agents, grass seed products, spreaders and customer application services. Products are sold to commercial nurseries and greenhouses and specialty crop growers, primarily in North America and Europe.</w:t>
      </w:r>
    </w:p>
    <w:p>
      <w:pPr>
        <w:spacing w:after="0" w:line="12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provides lawn fertilization, disease and insect control and other related services such as core aeration, tree and shrub fertilization and limited pest control services primarily to residential consumers through Company-owned branches and franchises in the United States.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Corporate &amp; Other segment consists of corporate general and administrative expenses.</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are not GAAP measures. Senior management of the Company uses this measure of operating profit to gauge segment performance because the Company believes this measure is the most indicative of performance trends and the overall earnings potential of each segment. The following table presents segment financial information.</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138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JANUARY 2,</w:t>
            </w:r>
          </w:p>
        </w:tc>
        <w:tc>
          <w:tcPr>
            <w:tcW w:w="13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DECEMBER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8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w w:val="94"/>
              </w:rPr>
              <w:t>2008</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MILLIONS)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214.0</w:t>
            </w: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188.3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Professional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55.4</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Segment total</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286.6</w:t>
            </w:r>
          </w:p>
        </w:tc>
        <w:tc>
          <w:tcPr>
            <w:tcW w:w="0" w:type="dxa"/>
            <w:vAlign w:val="bottom"/>
          </w:tcPr>
          <w:p>
            <w:pPr>
              <w:spacing w:after="0"/>
              <w:rPr>
                <w:sz w:val="1"/>
                <w:szCs w:val="1"/>
                <w:color w:val="auto"/>
              </w:rPr>
            </w:pP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8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(0.2)</w:t>
            </w:r>
          </w:p>
        </w:tc>
        <w:tc>
          <w:tcPr>
            <w:tcW w:w="8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 registration and recall matters-returns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56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w:t>
            </w:r>
          </w:p>
        </w:tc>
        <w:tc>
          <w:tcPr>
            <w:tcW w:w="34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286.1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(37.0)</w:t>
            </w: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Professional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0.7</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(6.9)</w:t>
            </w:r>
          </w:p>
        </w:tc>
        <w:tc>
          <w:tcPr>
            <w:tcW w:w="8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(18.9)</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0"/>
              <w:spacing w:after="0"/>
              <w:rPr>
                <w:sz w:val="20"/>
                <w:szCs w:val="20"/>
                <w:color w:val="auto"/>
              </w:rPr>
            </w:pPr>
            <w:r>
              <w:rPr>
                <w:rFonts w:ascii="Arial" w:cs="Arial" w:eastAsia="Arial" w:hAnsi="Arial"/>
                <w:sz w:val="18"/>
                <w:szCs w:val="18"/>
                <w:color w:val="auto"/>
              </w:rPr>
              <w:t>Segment total</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(62.1)</w:t>
            </w:r>
          </w:p>
        </w:tc>
        <w:tc>
          <w:tcPr>
            <w:tcW w:w="8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Other amortization</w:t>
            </w:r>
          </w:p>
        </w:tc>
        <w:tc>
          <w:tcPr>
            <w:tcW w:w="18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(2.7)</w:t>
            </w:r>
          </w:p>
        </w:tc>
        <w:tc>
          <w:tcPr>
            <w:tcW w:w="8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 registration and recall matters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(2.6)</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(67.6)</w:t>
            </w: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340" w:type="dxa"/>
            <w:vAlign w:val="bottom"/>
            <w:gridSpan w:val="4"/>
          </w:tcPr>
          <w:p>
            <w:pPr>
              <w:spacing w:after="0"/>
              <w:rPr>
                <w:sz w:val="20"/>
                <w:szCs w:val="20"/>
                <w:color w:val="auto"/>
              </w:rPr>
            </w:pPr>
            <w:r>
              <w:rPr>
                <w:rFonts w:ascii="Arial" w:cs="Arial" w:eastAsia="Arial" w:hAnsi="Arial"/>
                <w:sz w:val="18"/>
                <w:szCs w:val="18"/>
                <w:b w:val="1"/>
                <w:bCs w:val="1"/>
                <w:color w:val="auto"/>
              </w:rPr>
              <w:t>JANUARY 2,</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DECEMBER 27,</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5"/>
              </w:rPr>
              <w:t>(IN MILLIONS)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1,621.5</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1,615.9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1,504.5</w:t>
            </w:r>
          </w:p>
        </w:tc>
      </w:tr>
      <w:tr>
        <w:trPr>
          <w:trHeight w:val="216"/>
        </w:trPr>
        <w:tc>
          <w:tcPr>
            <w:tcW w:w="4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Professional</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334.1</w:t>
            </w:r>
          </w:p>
        </w:tc>
      </w:tr>
      <w:tr>
        <w:trPr>
          <w:trHeight w:val="216"/>
        </w:trPr>
        <w:tc>
          <w:tcPr>
            <w:tcW w:w="4900" w:type="dxa"/>
            <w:vAlign w:val="bottom"/>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155.3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163.3</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176.1</w:t>
            </w:r>
          </w:p>
        </w:tc>
      </w:tr>
      <w:tr>
        <w:trPr>
          <w:trHeight w:val="216"/>
        </w:trPr>
        <w:tc>
          <w:tcPr>
            <w:tcW w:w="4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205.4</w:t>
            </w:r>
          </w:p>
        </w:tc>
      </w:tr>
      <w:tr>
        <w:trPr>
          <w:trHeight w:val="223"/>
        </w:trPr>
        <w:tc>
          <w:tcPr>
            <w:tcW w:w="490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2,262.9</w:t>
            </w: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2,220.1</w:t>
            </w:r>
          </w:p>
        </w:tc>
        <w:tc>
          <w:tcPr>
            <w:tcW w:w="8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Total assets reported for the Company’s operating segments include the intangible assets associated with the acquired businesses within those segments. Corporate &amp; Other assets primarily include deferred financing and debt issuance costs, corporate intangible assets and deferred tax assets and Smith &amp; Hawken assets.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16. FINANCIAL INFORMATION FOR SUBSIDIARY GUARANTORS AND NON-GUARANTORS</w:t>
      </w:r>
    </w:p>
    <w:p>
      <w:pPr>
        <w:spacing w:after="0" w:line="202"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 xml:space="preserve">The Senior Notes issued by Scotts Miracle-Gro on January 14, 2010 are guaranteed by certain of its domestic subsidiaries and, therefore, the Company has disclosed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xml:space="preserve"> The following 100% directly or indirectly owned subsidiaries fully and unconditionally guarantee the Senior Notes on a joint and several basis: EG Systems, Inc., dba Scotts LawnService</w:t>
      </w:r>
      <w:r>
        <w:rPr>
          <w:rFonts w:ascii="Arial" w:cs="Arial" w:eastAsia="Arial" w:hAnsi="Arial"/>
          <w:sz w:val="13"/>
          <w:szCs w:val="13"/>
          <w:color w:val="auto"/>
        </w:rPr>
        <w:t>®</w:t>
      </w:r>
      <w:r>
        <w:rPr>
          <w:rFonts w:ascii="Arial" w:cs="Arial" w:eastAsia="Arial" w:hAnsi="Arial"/>
          <w:sz w:val="16"/>
          <w:szCs w:val="16"/>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Crop Protection Company; Scotts-Sierra Horticultural Products Company; Scotts-Sierra Investments, Inc.; SMG Growing Media, Inc.; Teak 2, Ltd., f/k/a Smith &amp; Hawken, Ltd.; Swiss Farms Products, Inc.; and The Scotts Company LLC (collectively, the “Guarantors”).</w:t>
      </w:r>
    </w:p>
    <w:p>
      <w:pPr>
        <w:spacing w:after="0" w:line="126"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The following information presents condensed, consolidating Statements of Operations and Statements of Cash Flows for the three months ended January 2, 2010 and December 27, 2008, and condensed, consolidating Balance Sheets as of January 2, 2010, December 27, 2008 and September 30, 2009. The condensed, consolidating financial information presents, in separate columns, financial information for: Scotts Miracle-Gro on a Parent-only basis, carrying its investment in subsidiaries under the equity method; Guarantors on a combined basis, carrying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and income in subsidiaries. Because the Parent is obligated to pay the unpaid principal amount and interest on all amounts borrowed by the Guarantors or Non-Guarantors under the senior secured five-year revolving loan facility, the borrowings and related interest expense for the revolving loans outstanding of the Guarantors and Non-Guarantors are also presented in the accompanying Parent-only financial information, and are then eliminated.</w:t>
      </w: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The Scotts Miracle-Gro Company</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gridSpan w:val="12"/>
          </w:tcPr>
          <w:p>
            <w:pPr>
              <w:jc w:val="center"/>
              <w:ind w:left="1190"/>
              <w:spacing w:after="0"/>
              <w:rPr>
                <w:sz w:val="20"/>
                <w:szCs w:val="20"/>
                <w:color w:val="auto"/>
              </w:rPr>
            </w:pPr>
            <w:r>
              <w:rPr>
                <w:rFonts w:ascii="Arial" w:cs="Arial" w:eastAsia="Arial" w:hAnsi="Arial"/>
                <w:sz w:val="18"/>
                <w:szCs w:val="18"/>
                <w:b w:val="1"/>
                <w:bCs w:val="1"/>
                <w:color w:val="auto"/>
                <w:w w:val="88"/>
              </w:rPr>
              <w:t>Condensed, Consolidating Statement of Operations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120" w:type="dxa"/>
            <w:vAlign w:val="bottom"/>
            <w:gridSpan w:val="11"/>
          </w:tcPr>
          <w:p>
            <w:pPr>
              <w:jc w:val="center"/>
              <w:ind w:right="600"/>
              <w:spacing w:after="0"/>
              <w:rPr>
                <w:sz w:val="20"/>
                <w:szCs w:val="20"/>
                <w:color w:val="auto"/>
              </w:rPr>
            </w:pPr>
            <w:r>
              <w:rPr>
                <w:rFonts w:ascii="Arial" w:cs="Arial" w:eastAsia="Arial" w:hAnsi="Arial"/>
                <w:sz w:val="18"/>
                <w:szCs w:val="18"/>
                <w:b w:val="1"/>
                <w:bCs w:val="1"/>
                <w:color w:val="auto"/>
                <w:w w:val="90"/>
              </w:rPr>
              <w:t>for the three months ended January 2, 2010</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4"/>
          </w:tcPr>
          <w:p>
            <w:pPr>
              <w:jc w:val="center"/>
              <w:ind w:right="58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Subsidiary</w:t>
            </w:r>
          </w:p>
        </w:tc>
        <w:tc>
          <w:tcPr>
            <w:tcW w:w="24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Non-</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auto"/>
              </w:rPr>
              <w:t>Parent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5"/>
              </w:rPr>
              <w:t>Guarantors</w:t>
            </w:r>
          </w:p>
        </w:tc>
        <w:tc>
          <w:tcPr>
            <w:tcW w:w="3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Guarantors</w:t>
            </w:r>
          </w:p>
        </w:tc>
        <w:tc>
          <w:tcPr>
            <w:tcW w:w="36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212.1</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167.0</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69.2</w:t>
            </w:r>
          </w:p>
        </w:tc>
        <w:tc>
          <w:tcPr>
            <w:tcW w:w="3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236.2</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sales — product registration</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recall matters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20.9</w:t>
            </w:r>
          </w:p>
        </w:tc>
        <w:tc>
          <w:tcPr>
            <w:tcW w:w="32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65.1</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w w:val="97"/>
              </w:rPr>
              <w:t>Selling, general and administrative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137.6</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9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Product registration and recall</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matters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Equity income in subsidiaries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57.2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(65.1)</w:t>
            </w:r>
          </w:p>
        </w:tc>
        <w:tc>
          <w:tcPr>
            <w:tcW w:w="3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176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w:t>
            </w:r>
          </w:p>
        </w:tc>
        <w:tc>
          <w:tcPr>
            <w:tcW w:w="176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w w:val="93"/>
              </w:rPr>
              <w:t>Loss from discontinued operations, net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of tax</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(57.0)</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510"/>
              <w:spacing w:after="0"/>
              <w:rPr>
                <w:sz w:val="20"/>
                <w:szCs w:val="20"/>
                <w:color w:val="auto"/>
              </w:rPr>
            </w:pPr>
            <w:r>
              <w:rPr>
                <w:rFonts w:ascii="Arial" w:cs="Arial" w:eastAsia="Arial" w:hAnsi="Arial"/>
                <w:sz w:val="18"/>
                <w:szCs w:val="18"/>
                <w:color w:val="auto"/>
                <w:w w:val="89"/>
              </w:rPr>
              <w:t>23</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auto"/>
        </w:rPr>
        <w:t>Condensed, Consolidating Statement of Cash Flows</w:t>
      </w:r>
    </w:p>
    <w:p>
      <w:pPr>
        <w:spacing w:after="0" w:line="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three months ended January 2, 2010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Parent</w:t>
            </w:r>
          </w:p>
        </w:tc>
      </w:tr>
      <w:tr>
        <w:trPr>
          <w:trHeight w:val="411"/>
        </w:trPr>
        <w:tc>
          <w:tcPr>
            <w:tcW w:w="3080" w:type="dxa"/>
            <w:vAlign w:val="bottom"/>
          </w:tcPr>
          <w:p>
            <w:pPr>
              <w:spacing w:after="0"/>
              <w:rPr>
                <w:sz w:val="20"/>
                <w:szCs w:val="20"/>
                <w:color w:val="auto"/>
              </w:rPr>
            </w:pPr>
            <w:r>
              <w:rPr>
                <w:rFonts w:ascii="Arial" w:cs="Arial" w:eastAsia="Arial" w:hAnsi="Arial"/>
                <w:sz w:val="18"/>
                <w:szCs w:val="18"/>
                <w:color w:val="auto"/>
              </w:rPr>
              <w:t>NET CASH USED IN OPERATING</w:t>
            </w: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425"/>
        </w:trPr>
        <w:tc>
          <w:tcPr>
            <w:tcW w:w="3080" w:type="dxa"/>
            <w:vAlign w:val="bottom"/>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Proceeds from sale of long-lived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tcPr>
          <w:p>
            <w:pPr>
              <w:ind w:left="40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Investments in property, plant and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tcPr>
          <w:p>
            <w:pPr>
              <w:ind w:left="400"/>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Investments in intellectual property</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w w:val="98"/>
              </w:rPr>
              <w:t>Investments in acquired businesses,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080" w:type="dxa"/>
            <w:vAlign w:val="bottom"/>
          </w:tcPr>
          <w:p>
            <w:pPr>
              <w:ind w:left="400"/>
              <w:spacing w:after="0"/>
              <w:rPr>
                <w:sz w:val="20"/>
                <w:szCs w:val="20"/>
                <w:color w:val="auto"/>
              </w:rPr>
            </w:pPr>
            <w:r>
              <w:rPr>
                <w:rFonts w:ascii="Arial" w:cs="Arial" w:eastAsia="Arial" w:hAnsi="Arial"/>
                <w:sz w:val="18"/>
                <w:szCs w:val="18"/>
                <w:color w:val="auto"/>
              </w:rPr>
              <w:t>net of cash acquired</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9"/>
        </w:trPr>
        <w:tc>
          <w:tcPr>
            <w:tcW w:w="3080" w:type="dxa"/>
            <w:vAlign w:val="bottom"/>
          </w:tcPr>
          <w:p>
            <w:pPr>
              <w:ind w:left="400"/>
              <w:spacing w:after="0"/>
              <w:rPr>
                <w:sz w:val="20"/>
                <w:szCs w:val="20"/>
                <w:color w:val="auto"/>
              </w:rPr>
            </w:pPr>
            <w:r>
              <w:rPr>
                <w:rFonts w:ascii="Arial" w:cs="Arial" w:eastAsia="Arial" w:hAnsi="Arial"/>
                <w:sz w:val="18"/>
                <w:szCs w:val="18"/>
                <w:color w:val="auto"/>
              </w:rPr>
              <w:t>Net cash provided by (used in)</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080" w:type="dxa"/>
            <w:vAlign w:val="bottom"/>
          </w:tcPr>
          <w:p>
            <w:pPr>
              <w:ind w:left="60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Borrowings under revolving and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tcPr>
          <w:p>
            <w:pPr>
              <w:ind w:left="400"/>
              <w:spacing w:after="0"/>
              <w:rPr>
                <w:sz w:val="20"/>
                <w:szCs w:val="20"/>
                <w:color w:val="auto"/>
              </w:rPr>
            </w:pPr>
            <w:r>
              <w:rPr>
                <w:rFonts w:ascii="Arial" w:cs="Arial" w:eastAsia="Arial" w:hAnsi="Arial"/>
                <w:sz w:val="18"/>
                <w:szCs w:val="18"/>
                <w:color w:val="auto"/>
              </w:rPr>
              <w:t>bank lines of credit and term</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tcPr>
          <w:p>
            <w:pPr>
              <w:ind w:left="400"/>
              <w:spacing w:after="0"/>
              <w:rPr>
                <w:sz w:val="20"/>
                <w:szCs w:val="20"/>
                <w:color w:val="auto"/>
              </w:rPr>
            </w:pPr>
            <w:r>
              <w:rPr>
                <w:rFonts w:ascii="Arial" w:cs="Arial" w:eastAsia="Arial" w:hAnsi="Arial"/>
                <w:sz w:val="18"/>
                <w:szCs w:val="18"/>
                <w:color w:val="auto"/>
              </w:rPr>
              <w:t>loans</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Repayments under revolving and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tcPr>
          <w:p>
            <w:pPr>
              <w:ind w:left="400"/>
              <w:spacing w:after="0"/>
              <w:rPr>
                <w:sz w:val="20"/>
                <w:szCs w:val="20"/>
                <w:color w:val="auto"/>
              </w:rPr>
            </w:pPr>
            <w:r>
              <w:rPr>
                <w:rFonts w:ascii="Arial" w:cs="Arial" w:eastAsia="Arial" w:hAnsi="Arial"/>
                <w:sz w:val="18"/>
                <w:szCs w:val="18"/>
                <w:color w:val="auto"/>
              </w:rPr>
              <w:t>bank lines of credit and term</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tcPr>
          <w:p>
            <w:pPr>
              <w:ind w:left="400"/>
              <w:spacing w:after="0"/>
              <w:rPr>
                <w:sz w:val="20"/>
                <w:szCs w:val="20"/>
                <w:color w:val="auto"/>
              </w:rPr>
            </w:pPr>
            <w:r>
              <w:rPr>
                <w:rFonts w:ascii="Arial" w:cs="Arial" w:eastAsia="Arial" w:hAnsi="Arial"/>
                <w:sz w:val="18"/>
                <w:szCs w:val="18"/>
                <w:color w:val="auto"/>
              </w:rPr>
              <w:t>loans</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Financing and issuance fees</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Payments on sellers notes</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Excess tax benefits from share-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tcPr>
          <w:p>
            <w:pPr>
              <w:ind w:left="400"/>
              <w:spacing w:after="0"/>
              <w:rPr>
                <w:sz w:val="20"/>
                <w:szCs w:val="20"/>
                <w:color w:val="auto"/>
              </w:rPr>
            </w:pPr>
            <w:r>
              <w:rPr>
                <w:rFonts w:ascii="Arial" w:cs="Arial" w:eastAsia="Arial" w:hAnsi="Arial"/>
                <w:sz w:val="18"/>
                <w:szCs w:val="18"/>
                <w:color w:val="auto"/>
              </w:rPr>
              <w:t>based payment arrangements</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Cash received from exercise of</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Intercompany financing</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0"/>
                <w:szCs w:val="20"/>
                <w:color w:val="auto"/>
              </w:rPr>
            </w:pPr>
          </w:p>
        </w:tc>
      </w:tr>
      <w:tr>
        <w:trPr>
          <w:trHeight w:val="209"/>
        </w:trPr>
        <w:tc>
          <w:tcPr>
            <w:tcW w:w="3080" w:type="dxa"/>
            <w:vAlign w:val="bottom"/>
          </w:tcPr>
          <w:p>
            <w:pPr>
              <w:ind w:left="400"/>
              <w:spacing w:after="0"/>
              <w:rPr>
                <w:sz w:val="20"/>
                <w:szCs w:val="20"/>
                <w:color w:val="auto"/>
              </w:rPr>
            </w:pPr>
            <w:r>
              <w:rPr>
                <w:rFonts w:ascii="Arial" w:cs="Arial" w:eastAsia="Arial" w:hAnsi="Arial"/>
                <w:sz w:val="18"/>
                <w:szCs w:val="18"/>
                <w:color w:val="auto"/>
              </w:rPr>
              <w:t>Net cash provided by financing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080" w:type="dxa"/>
            <w:vAlign w:val="bottom"/>
          </w:tcPr>
          <w:p>
            <w:pPr>
              <w:ind w:left="600"/>
              <w:spacing w:after="0"/>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0"/>
                <w:szCs w:val="20"/>
                <w:color w:val="auto"/>
              </w:rPr>
            </w:pPr>
          </w:p>
        </w:tc>
      </w:tr>
      <w:tr>
        <w:trPr>
          <w:trHeight w:val="439"/>
        </w:trPr>
        <w:tc>
          <w:tcPr>
            <w:tcW w:w="30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9"/>
        </w:trPr>
        <w:tc>
          <w:tcPr>
            <w:tcW w:w="3080" w:type="dxa"/>
            <w:vAlign w:val="bottom"/>
          </w:tcPr>
          <w:p>
            <w:pPr>
              <w:spacing w:after="0"/>
              <w:rPr>
                <w:sz w:val="20"/>
                <w:szCs w:val="20"/>
                <w:color w:val="auto"/>
              </w:rPr>
            </w:pPr>
            <w:r>
              <w:rPr>
                <w:rFonts w:ascii="Arial" w:cs="Arial" w:eastAsia="Arial" w:hAnsi="Arial"/>
                <w:sz w:val="18"/>
                <w:szCs w:val="18"/>
                <w:color w:val="auto"/>
              </w:rPr>
              <w:t>Net decrease in cash</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Cash and cash equivalents, beginning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of year</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w w:val="96"/>
              </w:rPr>
              <w:t>Cash and cash equivalents, 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Subsidiary</w:t>
            </w:r>
          </w:p>
        </w:tc>
        <w:tc>
          <w:tcPr>
            <w:tcW w:w="1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Non-</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gridSpan w:val="2"/>
          </w:tcPr>
          <w:p>
            <w:pPr>
              <w:jc w:val="right"/>
              <w:spacing w:after="0"/>
              <w:rPr>
                <w:sz w:val="20"/>
                <w:szCs w:val="20"/>
                <w:color w:val="auto"/>
              </w:rPr>
            </w:pPr>
            <w:r>
              <w:rPr>
                <w:rFonts w:ascii="Arial" w:cs="Arial" w:eastAsia="Arial" w:hAnsi="Arial"/>
                <w:sz w:val="18"/>
                <w:szCs w:val="18"/>
                <w:color w:val="auto"/>
                <w:w w:val="95"/>
              </w:rPr>
              <w:t>Guarantors</w:t>
            </w:r>
          </w:p>
        </w:tc>
        <w:tc>
          <w:tcPr>
            <w:tcW w:w="3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Guarantors</w:t>
            </w:r>
          </w:p>
        </w:tc>
        <w:tc>
          <w:tcPr>
            <w:tcW w:w="36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00" w:type="dxa"/>
            <w:vAlign w:val="bottom"/>
            <w:gridSpan w:val="3"/>
          </w:tcPr>
          <w:p>
            <w:pPr>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(132.2)</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(42.9)</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080"/>
        </w:trPr>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325.4</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147.0</w:t>
            </w:r>
          </w:p>
        </w:tc>
        <w:tc>
          <w:tcPr>
            <w:tcW w:w="42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634"/>
        </w:trPr>
        <w:tc>
          <w:tcPr>
            <w:tcW w:w="10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(240.2)</w:t>
            </w:r>
          </w:p>
        </w:tc>
        <w:tc>
          <w:tcPr>
            <w:tcW w:w="18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(76.8)</w:t>
            </w:r>
          </w:p>
        </w:tc>
        <w:tc>
          <w:tcPr>
            <w:tcW w:w="42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(41.4)</w:t>
            </w:r>
          </w:p>
        </w:tc>
        <w:tc>
          <w:tcPr>
            <w:tcW w:w="42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124.2</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28.8</w:t>
            </w:r>
          </w:p>
        </w:tc>
        <w:tc>
          <w:tcPr>
            <w:tcW w:w="42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c>
          <w:tcPr>
            <w:tcW w:w="420" w:type="dxa"/>
            <w:vAlign w:val="bottom"/>
          </w:tcPr>
          <w:p>
            <w:pPr>
              <w:spacing w:after="0"/>
              <w:rPr>
                <w:sz w:val="19"/>
                <w:szCs w:val="19"/>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w w:val="88"/>
              </w:rPr>
              <w:t>—</w:t>
            </w:r>
          </w:p>
        </w:tc>
        <w:tc>
          <w:tcPr>
            <w:tcW w:w="3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431"/>
        </w:trPr>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64.0</w:t>
            </w:r>
          </w:p>
        </w:tc>
        <w:tc>
          <w:tcPr>
            <w:tcW w:w="42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3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-5205095</wp:posOffset>
            </wp:positionV>
            <wp:extent cx="59258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25820" cy="2743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-4638675</wp:posOffset>
            </wp:positionV>
            <wp:extent cx="59258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25820" cy="2743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-4090035</wp:posOffset>
            </wp:positionV>
            <wp:extent cx="59258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25820" cy="13716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-3661410</wp:posOffset>
            </wp:positionV>
            <wp:extent cx="59258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25820" cy="2743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-3112135</wp:posOffset>
            </wp:positionV>
            <wp:extent cx="592582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25820" cy="41148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-2289175</wp:posOffset>
            </wp:positionV>
            <wp:extent cx="59258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25820" cy="13716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-2014855</wp:posOffset>
            </wp:positionV>
            <wp:extent cx="59258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25820" cy="13716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-1602740</wp:posOffset>
            </wp:positionV>
            <wp:extent cx="592582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25820" cy="2743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-1174115</wp:posOffset>
            </wp:positionV>
            <wp:extent cx="59258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25820" cy="2743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-591185</wp:posOffset>
            </wp:positionV>
            <wp:extent cx="59258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25820" cy="13716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-162560</wp:posOffset>
            </wp:positionV>
            <wp:extent cx="59258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320"/>
            <w:col w:w="5459"/>
          </w:cols>
          <w:pgMar w:left="240" w:top="419" w:right="1440" w:bottom="1440" w:gutter="0" w:footer="0" w:header="0"/>
          <w:type w:val="continuous"/>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4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The Scotts Miracle-Gro Company</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940" w:type="dxa"/>
            <w:vAlign w:val="bottom"/>
            <w:gridSpan w:val="10"/>
          </w:tcPr>
          <w:p>
            <w:pPr>
              <w:ind w:left="20"/>
              <w:spacing w:after="0"/>
              <w:rPr>
                <w:sz w:val="20"/>
                <w:szCs w:val="20"/>
                <w:color w:val="auto"/>
              </w:rPr>
            </w:pPr>
            <w:r>
              <w:rPr>
                <w:rFonts w:ascii="Arial" w:cs="Arial" w:eastAsia="Arial" w:hAnsi="Arial"/>
                <w:sz w:val="18"/>
                <w:szCs w:val="18"/>
                <w:b w:val="1"/>
                <w:bCs w:val="1"/>
                <w:color w:val="auto"/>
              </w:rPr>
              <w:t>Condensed, Consolidating Balance Sheet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6"/>
          </w:tcPr>
          <w:p>
            <w:pPr>
              <w:jc w:val="center"/>
              <w:ind w:left="230"/>
              <w:spacing w:after="0"/>
              <w:rPr>
                <w:sz w:val="20"/>
                <w:szCs w:val="20"/>
                <w:color w:val="auto"/>
              </w:rPr>
            </w:pPr>
            <w:r>
              <w:rPr>
                <w:rFonts w:ascii="Arial" w:cs="Arial" w:eastAsia="Arial" w:hAnsi="Arial"/>
                <w:sz w:val="18"/>
                <w:szCs w:val="18"/>
                <w:b w:val="1"/>
                <w:bCs w:val="1"/>
                <w:color w:val="auto"/>
                <w:w w:val="91"/>
              </w:rPr>
              <w:t>As of January 2, 2010</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4"/>
          </w:tcPr>
          <w:p>
            <w:pPr>
              <w:jc w:val="center"/>
              <w:ind w:right="5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Subsidiary</w:t>
            </w:r>
          </w:p>
        </w:tc>
        <w:tc>
          <w:tcPr>
            <w:tcW w:w="24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Non-</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Parent</w:t>
            </w:r>
          </w:p>
        </w:tc>
        <w:tc>
          <w:tcPr>
            <w:tcW w:w="300" w:type="dxa"/>
            <w:vAlign w:val="bottom"/>
          </w:tcPr>
          <w:p>
            <w:pPr>
              <w:spacing w:after="0"/>
              <w:rPr>
                <w:sz w:val="20"/>
                <w:szCs w:val="20"/>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Guarantors</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w w:val="93"/>
              </w:rPr>
              <w:t>Guarantors</w:t>
            </w:r>
          </w:p>
        </w:tc>
        <w:tc>
          <w:tcPr>
            <w:tcW w:w="12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156.9</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108.2</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265.1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 pledged</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515.1</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142.8</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657.9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 and other assets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080" w:type="dxa"/>
            <w:vAlign w:val="bottom"/>
            <w:gridSpan w:val="2"/>
          </w:tcPr>
          <w:p>
            <w:pPr>
              <w:ind w:left="6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806.6</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348.2</w:t>
            </w:r>
          </w:p>
        </w:tc>
        <w:tc>
          <w:tcPr>
            <w:tcW w:w="20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1,154.8</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305.2</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375.0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investment in subsidiaries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Intercompany assets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929.5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(929.5)</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1,740.3</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(1,522.5)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2,286.</w:t>
            </w:r>
            <w:r>
              <w:rPr>
                <w:rFonts w:ascii="Arial" w:cs="Arial" w:eastAsia="Arial" w:hAnsi="Arial"/>
                <w:sz w:val="18"/>
                <w:szCs w:val="18"/>
                <w:u w:val="single" w:color="auto"/>
                <w:color w:val="auto"/>
              </w:rPr>
              <w:t>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0" w:type="dxa"/>
            <w:vAlign w:val="bottom"/>
          </w:tcPr>
          <w:p>
            <w:pPr>
              <w:spacing w:after="0"/>
              <w:rPr>
                <w:sz w:val="24"/>
                <w:szCs w:val="24"/>
                <w:color w:val="auto"/>
              </w:rPr>
            </w:pPr>
          </w:p>
        </w:tc>
        <w:tc>
          <w:tcPr>
            <w:tcW w:w="3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Current portion of debt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161.0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166.7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234.9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155.9</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109.0</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265.3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395.8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246.8</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291.7</w:t>
            </w:r>
          </w:p>
        </w:tc>
        <w:tc>
          <w:tcPr>
            <w:tcW w:w="2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(521.8)</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798.8</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Equity investment in subsidiaries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168.5</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(168.5)</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Intercompany liabilities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(407.7)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08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947.8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1,285.0</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655.5</w:t>
            </w:r>
          </w:p>
        </w:tc>
        <w:tc>
          <w:tcPr>
            <w:tcW w:w="2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(1,140.8)</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1,747.5</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(381.7)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40" w:type="dxa"/>
            <w:vAlign w:val="bottom"/>
          </w:tcPr>
          <w:p>
            <w:pPr>
              <w:spacing w:after="0"/>
              <w:rPr>
                <w:sz w:val="24"/>
                <w:szCs w:val="24"/>
                <w:color w:val="auto"/>
              </w:rPr>
            </w:pPr>
          </w:p>
        </w:tc>
        <w:tc>
          <w:tcPr>
            <w:tcW w:w="3080" w:type="dxa"/>
            <w:vAlign w:val="bottom"/>
            <w:gridSpan w:val="2"/>
          </w:tcPr>
          <w:p>
            <w:pPr>
              <w:ind w:left="600"/>
              <w:spacing w:after="0"/>
              <w:rPr>
                <w:sz w:val="20"/>
                <w:szCs w:val="20"/>
                <w:color w:val="auto"/>
              </w:rPr>
            </w:pPr>
            <w:r>
              <w:rPr>
                <w:rFonts w:ascii="Arial" w:cs="Arial" w:eastAsia="Arial" w:hAnsi="Arial"/>
                <w:sz w:val="18"/>
                <w:szCs w:val="18"/>
                <w:color w:val="auto"/>
              </w:rPr>
              <w:t>Total liabilities and</w:t>
            </w: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tcPr>
          <w:p>
            <w:pPr>
              <w:ind w:left="80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1,486.3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1,740.3</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581.9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(1,522.5)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2,286.</w:t>
            </w:r>
            <w:r>
              <w:rPr>
                <w:rFonts w:ascii="Arial" w:cs="Arial" w:eastAsia="Arial" w:hAnsi="Arial"/>
                <w:sz w:val="18"/>
                <w:szCs w:val="18"/>
                <w:u w:val="single" w:color="auto"/>
                <w:color w:val="auto"/>
              </w:rPr>
              <w:t>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510"/>
              <w:spacing w:after="0"/>
              <w:rPr>
                <w:sz w:val="20"/>
                <w:szCs w:val="20"/>
                <w:color w:val="auto"/>
              </w:rPr>
            </w:pPr>
            <w:r>
              <w:rPr>
                <w:rFonts w:ascii="Arial" w:cs="Arial" w:eastAsia="Arial" w:hAnsi="Arial"/>
                <w:sz w:val="18"/>
                <w:szCs w:val="18"/>
                <w:color w:val="auto"/>
                <w:w w:val="89"/>
              </w:rPr>
              <w:t>25</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31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The Scotts Miracle-Gro Company</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gridSpan w:val="12"/>
          </w:tcPr>
          <w:p>
            <w:pPr>
              <w:jc w:val="center"/>
              <w:ind w:left="1190"/>
              <w:spacing w:after="0"/>
              <w:rPr>
                <w:sz w:val="20"/>
                <w:szCs w:val="20"/>
                <w:color w:val="auto"/>
              </w:rPr>
            </w:pPr>
            <w:r>
              <w:rPr>
                <w:rFonts w:ascii="Arial" w:cs="Arial" w:eastAsia="Arial" w:hAnsi="Arial"/>
                <w:sz w:val="18"/>
                <w:szCs w:val="18"/>
                <w:b w:val="1"/>
                <w:bCs w:val="1"/>
                <w:color w:val="auto"/>
                <w:w w:val="88"/>
              </w:rPr>
              <w:t>Condensed, Consolidating Statement of Operations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180" w:type="dxa"/>
            <w:vAlign w:val="bottom"/>
            <w:gridSpan w:val="11"/>
          </w:tcPr>
          <w:p>
            <w:pPr>
              <w:jc w:val="center"/>
              <w:ind w:right="540"/>
              <w:spacing w:after="0"/>
              <w:rPr>
                <w:sz w:val="20"/>
                <w:szCs w:val="20"/>
                <w:color w:val="auto"/>
              </w:rPr>
            </w:pPr>
            <w:r>
              <w:rPr>
                <w:rFonts w:ascii="Arial" w:cs="Arial" w:eastAsia="Arial" w:hAnsi="Arial"/>
                <w:sz w:val="18"/>
                <w:szCs w:val="18"/>
                <w:b w:val="1"/>
                <w:bCs w:val="1"/>
                <w:color w:val="auto"/>
                <w:w w:val="88"/>
              </w:rPr>
              <w:t>for the three months ended December 27, 2008</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4"/>
          </w:tcPr>
          <w:p>
            <w:pPr>
              <w:jc w:val="center"/>
              <w:ind w:right="58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Subsidiary</w:t>
            </w:r>
          </w:p>
        </w:tc>
        <w:tc>
          <w:tcPr>
            <w:tcW w:w="24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Non-</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Parent</w:t>
            </w:r>
          </w:p>
        </w:tc>
        <w:tc>
          <w:tcPr>
            <w:tcW w:w="260" w:type="dxa"/>
            <w:vAlign w:val="bottom"/>
          </w:tcPr>
          <w:p>
            <w:pPr>
              <w:spacing w:after="0"/>
              <w:rPr>
                <w:sz w:val="20"/>
                <w:szCs w:val="20"/>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Guarantors</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w w:val="93"/>
              </w:rPr>
              <w:t>Guarantors</w:t>
            </w:r>
          </w:p>
        </w:tc>
        <w:tc>
          <w:tcPr>
            <w:tcW w:w="12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194.0</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152.4</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55.1</w:t>
            </w:r>
          </w:p>
        </w:tc>
        <w:tc>
          <w:tcPr>
            <w:tcW w:w="3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207.5</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Cost of sales — product registration</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recall matters</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77.3</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w w:val="95"/>
              </w:rPr>
              <w:t>Selling, general and administrative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104.6</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138.7</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8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Product registration and recall</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matters</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Equity income in subsidiaries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(57.2)</w:t>
            </w:r>
          </w:p>
        </w:tc>
        <w:tc>
          <w:tcPr>
            <w:tcW w:w="3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176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176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w w:val="91"/>
              </w:rPr>
              <w:t>Loss from discontinued operations, net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of tax</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(56.6)</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510"/>
              <w:spacing w:after="0"/>
              <w:rPr>
                <w:sz w:val="20"/>
                <w:szCs w:val="20"/>
                <w:color w:val="auto"/>
              </w:rPr>
            </w:pPr>
            <w:r>
              <w:rPr>
                <w:rFonts w:ascii="Arial" w:cs="Arial" w:eastAsia="Arial" w:hAnsi="Arial"/>
                <w:sz w:val="18"/>
                <w:szCs w:val="18"/>
                <w:color w:val="auto"/>
                <w:w w:val="89"/>
              </w:rPr>
              <w:t>26</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35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28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1"/>
              </w:rPr>
              <w:t>The Scotts Miracle-Gro Company</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40" w:type="dxa"/>
            <w:vAlign w:val="bottom"/>
            <w:gridSpan w:val="12"/>
          </w:tcPr>
          <w:p>
            <w:pPr>
              <w:jc w:val="center"/>
              <w:ind w:left="1150"/>
              <w:spacing w:after="0"/>
              <w:rPr>
                <w:sz w:val="20"/>
                <w:szCs w:val="20"/>
                <w:color w:val="auto"/>
              </w:rPr>
            </w:pPr>
            <w:r>
              <w:rPr>
                <w:rFonts w:ascii="Arial" w:cs="Arial" w:eastAsia="Arial" w:hAnsi="Arial"/>
                <w:sz w:val="18"/>
                <w:szCs w:val="18"/>
                <w:b w:val="1"/>
                <w:bCs w:val="1"/>
                <w:color w:val="auto"/>
                <w:w w:val="88"/>
              </w:rPr>
              <w:t>Condensed, Consolidating Statement of Cash Flows</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40" w:type="dxa"/>
            <w:vAlign w:val="bottom"/>
            <w:gridSpan w:val="12"/>
          </w:tcPr>
          <w:p>
            <w:pPr>
              <w:jc w:val="center"/>
              <w:ind w:left="1150"/>
              <w:spacing w:after="0"/>
              <w:rPr>
                <w:sz w:val="20"/>
                <w:szCs w:val="20"/>
                <w:color w:val="auto"/>
              </w:rPr>
            </w:pPr>
            <w:r>
              <w:rPr>
                <w:rFonts w:ascii="Arial" w:cs="Arial" w:eastAsia="Arial" w:hAnsi="Arial"/>
                <w:sz w:val="18"/>
                <w:szCs w:val="18"/>
                <w:b w:val="1"/>
                <w:bCs w:val="1"/>
                <w:color w:val="auto"/>
                <w:w w:val="88"/>
              </w:rPr>
              <w:t>for the three months ended December 27, 2008</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6"/>
          </w:tcPr>
          <w:p>
            <w:pPr>
              <w:jc w:val="center"/>
              <w:ind w:right="120"/>
              <w:spacing w:after="0"/>
              <w:rPr>
                <w:sz w:val="20"/>
                <w:szCs w:val="20"/>
                <w:color w:val="auto"/>
              </w:rPr>
            </w:pPr>
            <w:r>
              <w:rPr>
                <w:rFonts w:ascii="Arial" w:cs="Arial" w:eastAsia="Arial" w:hAnsi="Arial"/>
                <w:sz w:val="18"/>
                <w:szCs w:val="18"/>
                <w:color w:val="auto"/>
                <w:w w:val="96"/>
              </w:rPr>
              <w:t>(in millions)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w w:val="97"/>
              </w:rPr>
              <w:t>Subsidiary</w:t>
            </w:r>
          </w:p>
        </w:tc>
        <w:tc>
          <w:tcPr>
            <w:tcW w:w="200" w:type="dxa"/>
            <w:vAlign w:val="bottom"/>
          </w:tcPr>
          <w:p>
            <w:pPr>
              <w:spacing w:after="0"/>
              <w:rPr>
                <w:sz w:val="24"/>
                <w:szCs w:val="2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Non-</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Parent</w:t>
            </w:r>
          </w:p>
        </w:tc>
        <w:tc>
          <w:tcPr>
            <w:tcW w:w="160" w:type="dxa"/>
            <w:vAlign w:val="bottom"/>
          </w:tcPr>
          <w:p>
            <w:pPr>
              <w:spacing w:after="0"/>
              <w:rPr>
                <w:sz w:val="20"/>
                <w:szCs w:val="20"/>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Guarantors</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Guarantors</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w w:val="94"/>
              </w:rPr>
              <w:t>Eliminations</w:t>
            </w:r>
          </w:p>
        </w:tc>
        <w:tc>
          <w:tcPr>
            <w:tcW w:w="940" w:type="dxa"/>
            <w:vAlign w:val="bottom"/>
            <w:gridSpan w:val="2"/>
          </w:tcPr>
          <w:p>
            <w:pPr>
              <w:spacing w:after="0"/>
              <w:rPr>
                <w:sz w:val="20"/>
                <w:szCs w:val="20"/>
                <w:color w:val="auto"/>
              </w:rPr>
            </w:pPr>
            <w:r>
              <w:rPr>
                <w:rFonts w:ascii="Arial" w:cs="Arial" w:eastAsia="Arial" w:hAnsi="Arial"/>
                <w:sz w:val="18"/>
                <w:szCs w:val="18"/>
                <w:color w:val="auto"/>
                <w:w w:val="85"/>
              </w:rPr>
              <w:t>Consolidated</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CASH USED IN OPERATING</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(65.5)</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8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Proceeds from sale of long-lived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Investments in property, plant and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00" w:type="dxa"/>
            <w:vAlign w:val="bottom"/>
            <w:gridSpan w:val="2"/>
          </w:tcPr>
          <w:p>
            <w:pPr>
              <w:ind w:left="400"/>
              <w:spacing w:after="0"/>
              <w:rPr>
                <w:sz w:val="20"/>
                <w:szCs w:val="20"/>
                <w:color w:val="auto"/>
              </w:rPr>
            </w:pPr>
            <w:r>
              <w:rPr>
                <w:rFonts w:ascii="Arial" w:cs="Arial" w:eastAsia="Arial" w:hAnsi="Arial"/>
                <w:sz w:val="18"/>
                <w:szCs w:val="18"/>
                <w:color w:val="auto"/>
              </w:rPr>
              <w:t>equipment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intellectual property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3"/>
              </w:rPr>
              <w:t>Investments in acquired businesses, net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00" w:type="dxa"/>
            <w:vAlign w:val="bottom"/>
            <w:gridSpan w:val="2"/>
          </w:tcPr>
          <w:p>
            <w:pPr>
              <w:ind w:left="400"/>
              <w:spacing w:after="0"/>
              <w:rPr>
                <w:sz w:val="20"/>
                <w:szCs w:val="20"/>
                <w:color w:val="auto"/>
              </w:rPr>
            </w:pPr>
            <w:r>
              <w:rPr>
                <w:rFonts w:ascii="Arial" w:cs="Arial" w:eastAsia="Arial" w:hAnsi="Arial"/>
                <w:sz w:val="18"/>
                <w:szCs w:val="18"/>
                <w:color w:val="auto"/>
              </w:rPr>
              <w:t>of cash acquired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7"/>
              </w:rPr>
              <w:t>Net cash used in investing activities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Borrowings under revolving and bank</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lines of credit and term loans</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217.9</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97.5</w:t>
            </w:r>
          </w:p>
        </w:tc>
        <w:tc>
          <w:tcPr>
            <w:tcW w:w="4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8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6"/>
              </w:rPr>
              <w:t>Repayments under revolving and bank</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00" w:type="dxa"/>
            <w:vAlign w:val="bottom"/>
            <w:gridSpan w:val="2"/>
          </w:tcPr>
          <w:p>
            <w:pPr>
              <w:ind w:left="400"/>
              <w:spacing w:after="0"/>
              <w:rPr>
                <w:sz w:val="20"/>
                <w:szCs w:val="20"/>
                <w:color w:val="auto"/>
              </w:rPr>
            </w:pPr>
            <w:r>
              <w:rPr>
                <w:rFonts w:ascii="Arial" w:cs="Arial" w:eastAsia="Arial" w:hAnsi="Arial"/>
                <w:sz w:val="18"/>
                <w:szCs w:val="18"/>
                <w:color w:val="auto"/>
              </w:rPr>
              <w:t>lines of credit and term loans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(97.0)</w:t>
            </w:r>
          </w:p>
        </w:tc>
        <w:tc>
          <w:tcPr>
            <w:tcW w:w="44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(154.6)</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Payments on sellers notes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Excess tax benefits from share-based</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payment arrangements</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Cash received from exercise of stock</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00" w:type="dxa"/>
            <w:vAlign w:val="bottom"/>
            <w:gridSpan w:val="2"/>
          </w:tcPr>
          <w:p>
            <w:pPr>
              <w:ind w:left="400"/>
              <w:spacing w:after="0"/>
              <w:rPr>
                <w:sz w:val="20"/>
                <w:szCs w:val="20"/>
                <w:color w:val="auto"/>
              </w:rPr>
            </w:pPr>
            <w:r>
              <w:rPr>
                <w:rFonts w:ascii="Arial" w:cs="Arial" w:eastAsia="Arial" w:hAnsi="Arial"/>
                <w:sz w:val="18"/>
                <w:szCs w:val="18"/>
                <w:color w:val="auto"/>
              </w:rPr>
              <w:t>options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Intercompany financing</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200" w:type="dxa"/>
            <w:vAlign w:val="bottom"/>
            <w:gridSpan w:val="2"/>
          </w:tcPr>
          <w:p>
            <w:pPr>
              <w:ind w:left="400"/>
              <w:spacing w:after="0"/>
              <w:rPr>
                <w:sz w:val="20"/>
                <w:szCs w:val="20"/>
                <w:color w:val="auto"/>
              </w:rPr>
            </w:pPr>
            <w:r>
              <w:rPr>
                <w:rFonts w:ascii="Arial" w:cs="Arial" w:eastAsia="Arial" w:hAnsi="Arial"/>
                <w:sz w:val="18"/>
                <w:szCs w:val="18"/>
                <w:color w:val="auto"/>
              </w:rPr>
              <w:t>Net cash provided by financing</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00" w:type="dxa"/>
            <w:vAlign w:val="bottom"/>
            <w:gridSpan w:val="2"/>
          </w:tcPr>
          <w:p>
            <w:pPr>
              <w:ind w:left="600"/>
              <w:spacing w:after="0"/>
              <w:rPr>
                <w:sz w:val="20"/>
                <w:szCs w:val="20"/>
                <w:color w:val="auto"/>
              </w:rPr>
            </w:pPr>
            <w:r>
              <w:rPr>
                <w:rFonts w:ascii="Arial" w:cs="Arial" w:eastAsia="Arial" w:hAnsi="Arial"/>
                <w:sz w:val="18"/>
                <w:szCs w:val="18"/>
                <w:color w:val="auto"/>
              </w:rPr>
              <w:t>activities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114.1</w:t>
            </w:r>
          </w:p>
        </w:tc>
        <w:tc>
          <w:tcPr>
            <w:tcW w:w="2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38.9</w:t>
            </w:r>
          </w:p>
        </w:tc>
        <w:tc>
          <w:tcPr>
            <w:tcW w:w="44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154.3</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w:t>
            </w: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32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(36.7)</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(36.3)</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Cash and cash equivalents, beginning of</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year</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w:t>
            </w:r>
          </w:p>
        </w:tc>
        <w:tc>
          <w:tcPr>
            <w:tcW w:w="4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8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4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The Scotts Miracle-Gro Company</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940" w:type="dxa"/>
            <w:vAlign w:val="bottom"/>
            <w:gridSpan w:val="10"/>
          </w:tcPr>
          <w:p>
            <w:pPr>
              <w:ind w:left="20"/>
              <w:spacing w:after="0"/>
              <w:rPr>
                <w:sz w:val="20"/>
                <w:szCs w:val="20"/>
                <w:color w:val="auto"/>
              </w:rPr>
            </w:pPr>
            <w:r>
              <w:rPr>
                <w:rFonts w:ascii="Arial" w:cs="Arial" w:eastAsia="Arial" w:hAnsi="Arial"/>
                <w:sz w:val="18"/>
                <w:szCs w:val="18"/>
                <w:b w:val="1"/>
                <w:bCs w:val="1"/>
                <w:color w:val="auto"/>
              </w:rPr>
              <w:t>Condensed, Consolidating Balance Sheet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6"/>
          </w:tcPr>
          <w:p>
            <w:pPr>
              <w:jc w:val="center"/>
              <w:ind w:left="230"/>
              <w:spacing w:after="0"/>
              <w:rPr>
                <w:sz w:val="20"/>
                <w:szCs w:val="20"/>
                <w:color w:val="auto"/>
              </w:rPr>
            </w:pPr>
            <w:r>
              <w:rPr>
                <w:rFonts w:ascii="Arial" w:cs="Arial" w:eastAsia="Arial" w:hAnsi="Arial"/>
                <w:sz w:val="18"/>
                <w:szCs w:val="18"/>
                <w:b w:val="1"/>
                <w:bCs w:val="1"/>
                <w:color w:val="auto"/>
                <w:w w:val="88"/>
              </w:rPr>
              <w:t>As of December 27, 2008</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4"/>
          </w:tcPr>
          <w:p>
            <w:pPr>
              <w:jc w:val="center"/>
              <w:ind w:right="5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Subsidiary</w:t>
            </w:r>
          </w:p>
        </w:tc>
        <w:tc>
          <w:tcPr>
            <w:tcW w:w="24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Non-</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Parent</w:t>
            </w:r>
          </w:p>
        </w:tc>
        <w:tc>
          <w:tcPr>
            <w:tcW w:w="300" w:type="dxa"/>
            <w:vAlign w:val="bottom"/>
          </w:tcPr>
          <w:p>
            <w:pPr>
              <w:spacing w:after="0"/>
              <w:rPr>
                <w:sz w:val="20"/>
                <w:szCs w:val="20"/>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Guarantors</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w w:val="93"/>
              </w:rPr>
              <w:t>Guarantors</w:t>
            </w:r>
          </w:p>
        </w:tc>
        <w:tc>
          <w:tcPr>
            <w:tcW w:w="12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134.8</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144.4</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279.2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 pledged</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491.7</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151.7</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643.4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 and other assets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080" w:type="dxa"/>
            <w:vAlign w:val="bottom"/>
            <w:gridSpan w:val="2"/>
          </w:tcPr>
          <w:p>
            <w:pPr>
              <w:ind w:left="6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777.1</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389.1</w:t>
            </w:r>
          </w:p>
        </w:tc>
        <w:tc>
          <w:tcPr>
            <w:tcW w:w="20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1,166.2</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305.3</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370.5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investment in subsidiaries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Intercompany assets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839.8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(839.8)</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1,229.0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1,686.8</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(1,264.0)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2,262.</w:t>
            </w:r>
            <w:r>
              <w:rPr>
                <w:rFonts w:ascii="Arial" w:cs="Arial" w:eastAsia="Arial" w:hAnsi="Arial"/>
                <w:sz w:val="18"/>
                <w:szCs w:val="18"/>
                <w:u w:val="single" w:color="auto"/>
                <w:color w:val="auto"/>
              </w:rPr>
              <w:t>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0" w:type="dxa"/>
            <w:vAlign w:val="bottom"/>
          </w:tcPr>
          <w:p>
            <w:pPr>
              <w:spacing w:after="0"/>
              <w:rPr>
                <w:sz w:val="24"/>
                <w:szCs w:val="24"/>
                <w:color w:val="auto"/>
              </w:rPr>
            </w:pPr>
          </w:p>
        </w:tc>
        <w:tc>
          <w:tcPr>
            <w:tcW w:w="3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Current portion of debt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13.0</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98.1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160.9</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126.7</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288.9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370.9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769.1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330.0</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252.9</w:t>
            </w:r>
          </w:p>
        </w:tc>
        <w:tc>
          <w:tcPr>
            <w:tcW w:w="2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(312.7)</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1,039.3</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Equity investment in subsidiaries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163.1</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(163.1)</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Intercompany liabilities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08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860.3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1,402.6</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679.1</w:t>
            </w:r>
          </w:p>
        </w:tc>
        <w:tc>
          <w:tcPr>
            <w:tcW w:w="2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(1,047.8)</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1,894.2</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284.2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40" w:type="dxa"/>
            <w:vAlign w:val="bottom"/>
          </w:tcPr>
          <w:p>
            <w:pPr>
              <w:spacing w:after="0"/>
              <w:rPr>
                <w:sz w:val="24"/>
                <w:szCs w:val="24"/>
                <w:color w:val="auto"/>
              </w:rPr>
            </w:pPr>
          </w:p>
        </w:tc>
        <w:tc>
          <w:tcPr>
            <w:tcW w:w="3080" w:type="dxa"/>
            <w:vAlign w:val="bottom"/>
            <w:gridSpan w:val="2"/>
          </w:tcPr>
          <w:p>
            <w:pPr>
              <w:ind w:left="600"/>
              <w:spacing w:after="0"/>
              <w:rPr>
                <w:sz w:val="20"/>
                <w:szCs w:val="20"/>
                <w:color w:val="auto"/>
              </w:rPr>
            </w:pPr>
            <w:r>
              <w:rPr>
                <w:rFonts w:ascii="Arial" w:cs="Arial" w:eastAsia="Arial" w:hAnsi="Arial"/>
                <w:sz w:val="18"/>
                <w:szCs w:val="18"/>
                <w:color w:val="auto"/>
              </w:rPr>
              <w:t>Total liabilities and</w:t>
            </w: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tcPr>
          <w:p>
            <w:pPr>
              <w:ind w:left="80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1,229.0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1,686.8</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611.1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(1,264.0)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2,262.</w:t>
            </w:r>
            <w:r>
              <w:rPr>
                <w:rFonts w:ascii="Arial" w:cs="Arial" w:eastAsia="Arial" w:hAnsi="Arial"/>
                <w:sz w:val="18"/>
                <w:szCs w:val="18"/>
                <w:u w:val="single" w:color="auto"/>
                <w:color w:val="auto"/>
              </w:rPr>
              <w:t>9</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510"/>
              <w:spacing w:after="0"/>
              <w:rPr>
                <w:sz w:val="20"/>
                <w:szCs w:val="20"/>
                <w:color w:val="auto"/>
              </w:rPr>
            </w:pPr>
            <w:r>
              <w:rPr>
                <w:rFonts w:ascii="Arial" w:cs="Arial" w:eastAsia="Arial" w:hAnsi="Arial"/>
                <w:sz w:val="18"/>
                <w:szCs w:val="18"/>
                <w:color w:val="auto"/>
                <w:w w:val="89"/>
              </w:rPr>
              <w:t>28</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34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The Scotts Miracle-Gro Company</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940" w:type="dxa"/>
            <w:vAlign w:val="bottom"/>
            <w:gridSpan w:val="10"/>
          </w:tcPr>
          <w:p>
            <w:pPr>
              <w:ind w:left="20"/>
              <w:spacing w:after="0"/>
              <w:rPr>
                <w:sz w:val="20"/>
                <w:szCs w:val="20"/>
                <w:color w:val="auto"/>
              </w:rPr>
            </w:pPr>
            <w:r>
              <w:rPr>
                <w:rFonts w:ascii="Arial" w:cs="Arial" w:eastAsia="Arial" w:hAnsi="Arial"/>
                <w:sz w:val="18"/>
                <w:szCs w:val="18"/>
                <w:b w:val="1"/>
                <w:bCs w:val="1"/>
                <w:color w:val="auto"/>
              </w:rPr>
              <w:t>Condensed, Consolidating Balance Sheet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6"/>
          </w:tcPr>
          <w:p>
            <w:pPr>
              <w:jc w:val="center"/>
              <w:ind w:left="230"/>
              <w:spacing w:after="0"/>
              <w:rPr>
                <w:sz w:val="20"/>
                <w:szCs w:val="20"/>
                <w:color w:val="auto"/>
              </w:rPr>
            </w:pPr>
            <w:r>
              <w:rPr>
                <w:rFonts w:ascii="Arial" w:cs="Arial" w:eastAsia="Arial" w:hAnsi="Arial"/>
                <w:sz w:val="18"/>
                <w:szCs w:val="18"/>
                <w:b w:val="1"/>
                <w:bCs w:val="1"/>
                <w:color w:val="auto"/>
                <w:w w:val="89"/>
              </w:rPr>
              <w:t>As of September 30, 2009</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4"/>
          </w:tcPr>
          <w:p>
            <w:pPr>
              <w:jc w:val="center"/>
              <w:ind w:right="5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Subsidiary</w:t>
            </w:r>
          </w:p>
        </w:tc>
        <w:tc>
          <w:tcPr>
            <w:tcW w:w="24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Non-</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Parent</w:t>
            </w:r>
          </w:p>
        </w:tc>
        <w:tc>
          <w:tcPr>
            <w:tcW w:w="300" w:type="dxa"/>
            <w:vAlign w:val="bottom"/>
          </w:tcPr>
          <w:p>
            <w:pPr>
              <w:spacing w:after="0"/>
              <w:rPr>
                <w:sz w:val="20"/>
                <w:szCs w:val="20"/>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Guarantors</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w w:val="93"/>
              </w:rPr>
              <w:t>Guarantors</w:t>
            </w:r>
          </w:p>
        </w:tc>
        <w:tc>
          <w:tcPr>
            <w:tcW w:w="12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270.9</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113.4</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384.3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 pledged</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340.3</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118.6</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458.9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 and other assets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080" w:type="dxa"/>
            <w:vAlign w:val="bottom"/>
            <w:gridSpan w:val="2"/>
          </w:tcPr>
          <w:p>
            <w:pPr>
              <w:ind w:left="6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749.2</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341.7</w:t>
            </w:r>
          </w:p>
        </w:tc>
        <w:tc>
          <w:tcPr>
            <w:tcW w:w="20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1,090.9</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308.0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305.1</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375.2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investment in subsidiaries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(596.8)</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Intercompany assets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(781.3)</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1,675.9</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579.8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(1,426.2)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2,220.</w:t>
            </w:r>
            <w:r>
              <w:rPr>
                <w:rFonts w:ascii="Arial" w:cs="Arial" w:eastAsia="Arial" w:hAnsi="Arial"/>
                <w:sz w:val="18"/>
                <w:szCs w:val="18"/>
                <w:u w:val="single" w:color="auto"/>
                <w:color w:val="auto"/>
              </w:rPr>
              <w:t>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0" w:type="dxa"/>
            <w:vAlign w:val="bottom"/>
          </w:tcPr>
          <w:p>
            <w:pPr>
              <w:spacing w:after="0"/>
              <w:rPr>
                <w:sz w:val="24"/>
                <w:szCs w:val="24"/>
                <w:color w:val="auto"/>
              </w:rPr>
            </w:pPr>
          </w:p>
        </w:tc>
        <w:tc>
          <w:tcPr>
            <w:tcW w:w="3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Current portion of debt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5.8</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276.9</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128.0</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406.4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414.2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632.8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125.7</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221.6</w:t>
            </w:r>
          </w:p>
        </w:tc>
        <w:tc>
          <w:tcPr>
            <w:tcW w:w="2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(330.4)</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649.7</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Equity investment in subsidiaries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160.4</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(160.4)</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Intercompany liabilities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08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806.1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1,174.3</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645.0</w:t>
            </w:r>
          </w:p>
        </w:tc>
        <w:tc>
          <w:tcPr>
            <w:tcW w:w="2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(989.8)</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1,635.6</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501.6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(436.4)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40" w:type="dxa"/>
            <w:vAlign w:val="bottom"/>
          </w:tcPr>
          <w:p>
            <w:pPr>
              <w:spacing w:after="0"/>
              <w:rPr>
                <w:sz w:val="24"/>
                <w:szCs w:val="24"/>
                <w:color w:val="auto"/>
              </w:rPr>
            </w:pPr>
          </w:p>
        </w:tc>
        <w:tc>
          <w:tcPr>
            <w:tcW w:w="3080" w:type="dxa"/>
            <w:vAlign w:val="bottom"/>
            <w:gridSpan w:val="2"/>
          </w:tcPr>
          <w:p>
            <w:pPr>
              <w:ind w:left="600"/>
              <w:spacing w:after="0"/>
              <w:rPr>
                <w:sz w:val="20"/>
                <w:szCs w:val="20"/>
                <w:color w:val="auto"/>
              </w:rPr>
            </w:pPr>
            <w:r>
              <w:rPr>
                <w:rFonts w:ascii="Arial" w:cs="Arial" w:eastAsia="Arial" w:hAnsi="Arial"/>
                <w:sz w:val="18"/>
                <w:szCs w:val="18"/>
                <w:color w:val="auto"/>
              </w:rPr>
              <w:t>Total liabilities and</w:t>
            </w: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tcPr>
          <w:p>
            <w:pPr>
              <w:ind w:left="80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1,390.6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1,675.9</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579.8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(1,426.2)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2,220.</w:t>
            </w:r>
            <w:r>
              <w:rPr>
                <w:rFonts w:ascii="Arial" w:cs="Arial" w:eastAsia="Arial" w:hAnsi="Arial"/>
                <w:sz w:val="18"/>
                <w:szCs w:val="18"/>
                <w:u w:val="single" w:color="auto"/>
                <w:color w:val="auto"/>
              </w:rPr>
              <w:t>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510"/>
              <w:spacing w:after="0"/>
              <w:rPr>
                <w:sz w:val="20"/>
                <w:szCs w:val="20"/>
                <w:color w:val="auto"/>
              </w:rPr>
            </w:pPr>
            <w:r>
              <w:rPr>
                <w:rFonts w:ascii="Arial" w:cs="Arial" w:eastAsia="Arial" w:hAnsi="Arial"/>
                <w:sz w:val="18"/>
                <w:szCs w:val="18"/>
                <w:color w:val="auto"/>
                <w:w w:val="89"/>
              </w:rPr>
              <w:t>29</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43"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146" w:lineRule="exact"/>
        <w:rPr>
          <w:sz w:val="20"/>
          <w:szCs w:val="20"/>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Results of operations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Segment results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Regulatory matters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Critical accounting policies and estimates</w:t>
      </w:r>
    </w:p>
    <w:p>
      <w:pPr>
        <w:spacing w:after="0" w:line="18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98"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We are dedicated to delivering strong, consistent financial results and outstanding shareholder returns by providing products of superior quality and value in order to enhance consumers’ outdoor living environments. We are a leading manufacturer and marketer of consumer branded non-durable products for lawn and garden care and professional horticulture products in North America and Europe. We are Monsanto’s exclusive agent for the marketing and distribution of consumer Roundup</w:t>
      </w:r>
      <w:r>
        <w:rPr>
          <w:rFonts w:ascii="Arial" w:cs="Arial" w:eastAsia="Arial" w:hAnsi="Arial"/>
          <w:sz w:val="13"/>
          <w:szCs w:val="13"/>
          <w:color w:val="auto"/>
        </w:rPr>
        <w:t>®</w:t>
      </w:r>
      <w:r>
        <w:rPr>
          <w:rFonts w:ascii="Arial" w:cs="Arial" w:eastAsia="Arial" w:hAnsi="Arial"/>
          <w:sz w:val="16"/>
          <w:szCs w:val="16"/>
          <w:color w:val="auto"/>
        </w:rPr>
        <w:t xml:space="preserve"> non-selective herbicide products within the United States and other contractually specified countries. We have a presence in similar consumer branded and professional horticulture products in Australia, the Far East, Latin America and South America. In the United States, we operate Scotts LawnService</w:t>
      </w:r>
      <w:r>
        <w:rPr>
          <w:rFonts w:ascii="Arial" w:cs="Arial" w:eastAsia="Arial" w:hAnsi="Arial"/>
          <w:sz w:val="13"/>
          <w:szCs w:val="13"/>
          <w:color w:val="auto"/>
        </w:rPr>
        <w:t>®</w:t>
      </w:r>
      <w:r>
        <w:rPr>
          <w:rFonts w:ascii="Arial" w:cs="Arial" w:eastAsia="Arial" w:hAnsi="Arial"/>
          <w:sz w:val="16"/>
          <w:szCs w:val="16"/>
          <w:color w:val="auto"/>
        </w:rPr>
        <w:t>, the second largest residential lawn care service business. Our operations are divided into the following reportable segments: Global Consumer, Global Professional, Scotts LawnService</w:t>
      </w:r>
      <w:r>
        <w:rPr>
          <w:rFonts w:ascii="Arial" w:cs="Arial" w:eastAsia="Arial" w:hAnsi="Arial"/>
          <w:sz w:val="13"/>
          <w:szCs w:val="13"/>
          <w:color w:val="auto"/>
        </w:rPr>
        <w:t>®</w:t>
      </w:r>
      <w:r>
        <w:rPr>
          <w:rFonts w:ascii="Arial" w:cs="Arial" w:eastAsia="Arial" w:hAnsi="Arial"/>
          <w:sz w:val="16"/>
          <w:szCs w:val="16"/>
          <w:color w:val="auto"/>
        </w:rPr>
        <w:t xml:space="preserve"> and Corporate &amp; Other. The Corporate &amp; Other segment consists of corporate general and administrative expenses.</w:t>
      </w:r>
    </w:p>
    <w:p>
      <w:pPr>
        <w:spacing w:after="0" w:line="126"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On July 8, 2009, we announced that we were commencing a process to close the Smith &amp; Hawken business. During our first quarter of fiscal 2010, all Smith &amp; Hawken stores were closed and substantially all operational activities of Smith &amp; Hawken were discontinued. As a result, effective in our first quarter of fiscal 2010, we classified Smith &amp; Hawken as discontinued operations. Prior to being reported as discontinued operations, Smith &amp; Hawken was included as part of our Corporate &amp; Other reportable segment.</w:t>
      </w:r>
    </w:p>
    <w:p>
      <w:pPr>
        <w:spacing w:after="0" w:line="148"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As a leading consumer branded lawn and garden company, our marketing efforts are largely focused on providing innovative and differentiated products and on continually increasing brand and product awareness to inspire consumers and create retail demand. We have successfully applied this model for a number of years, consistently increasing our investment in research and development and investing approximately 5%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increasing market share.</w:t>
      </w:r>
    </w:p>
    <w:p>
      <w:pPr>
        <w:spacing w:after="0" w:line="140"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Our sales are susceptible in any one year to weather conditions in the markets in which our products are sold. For instance, periods of wet weather can adversely impact sales of certain products, while increasing demand for other products. We believe that our diversified product line and our broad geographic diversification reduce this risk. We also believe that weather conditions in any one year, positive or negative, do not materially alter longer-term category growth trends.</w:t>
      </w:r>
    </w:p>
    <w:p>
      <w:pPr>
        <w:spacing w:after="0" w:line="131"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Due to the nature of our lawn and garden business, significant portions of our products ship to our retail customers during our second and third fiscal quarters. Our annual sales are further concentrated in the second and third fiscal quarters by retailers who increasingly rely on our ability to deliver products “in season” when consumers buy our products, thereby reducing retailers’ inventories.</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Percent of Net Sales from</w:t>
      </w:r>
    </w:p>
    <w:p>
      <w:pPr>
        <w:spacing w:after="0" w:line="27"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Continuing Operations by Quarter</w:t>
      </w:r>
    </w:p>
    <w:p>
      <w:pPr>
        <w:spacing w:after="0" w:line="9" w:lineRule="exact"/>
        <w:rPr>
          <w:sz w:val="20"/>
          <w:szCs w:val="20"/>
          <w:color w:val="auto"/>
        </w:rPr>
      </w:pPr>
    </w:p>
    <w:p>
      <w:pPr>
        <w:ind w:left="6160"/>
        <w:spacing w:after="0"/>
        <w:tabs>
          <w:tab w:leader="none" w:pos="7500" w:val="left"/>
          <w:tab w:leader="none" w:pos="884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2008</w:t>
      </w:r>
      <w:r>
        <w:rPr>
          <w:sz w:val="20"/>
          <w:szCs w:val="20"/>
          <w:color w:val="auto"/>
        </w:rPr>
        <w:tab/>
      </w:r>
      <w:r>
        <w:rPr>
          <w:rFonts w:ascii="Arial" w:cs="Arial" w:eastAsia="Arial" w:hAnsi="Arial"/>
          <w:sz w:val="16"/>
          <w:szCs w:val="16"/>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-130810</wp:posOffset>
            </wp:positionV>
            <wp:extent cx="22980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5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5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First Quarter</w:t>
            </w:r>
          </w:p>
        </w:tc>
        <w:tc>
          <w:tcPr>
            <w:tcW w:w="13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9.6%</w:t>
            </w:r>
          </w:p>
        </w:tc>
        <w:tc>
          <w:tcPr>
            <w:tcW w:w="13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9.5%</w:t>
            </w:r>
          </w:p>
        </w:tc>
        <w:tc>
          <w:tcPr>
            <w:tcW w:w="10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8.4%</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Second Quarter</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31.6%</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Fourth Quarter</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17.3%</w:t>
            </w:r>
          </w:p>
        </w:tc>
      </w:tr>
    </w:tbl>
    <w:p>
      <w:pPr>
        <w:spacing w:after="0" w:line="160"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product mix and foreign exchange movements), organic sales growth (net sales growth excluding the impact of foreign exchange movements, product recalls and acquisitions), gross profit margins, income from operations, net income and earnings per share. To the extent applicable, these measures are evaluated with and without impairment, restructuring and other charges, which management believes are not indicative of the ongoing earnings capabilities of our businesses. We also focus on measures to optimize cash flow and return on invested capital, including the management of working capital and capital expenditures.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Registration and Recall Matters</w:t>
      </w:r>
    </w:p>
    <w:p>
      <w:pPr>
        <w:spacing w:after="0" w:line="189"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In April 2008, we became aware that a former associate apparently deliberately circumvented our policies and the U.S. Environmental Protection Agency (“U.S. EPA”) regulations under the Federal Insecticide, Fungicide, and Rodenticide Act of 1947, as amended (“FIFRA”), by failing to obtain valid registrations for products and/or causing invalid product registration forms to be submitted to regulators. Since that time, we have been cooperating with both the U.S. EPA and the U.S. Department of Justice (“U.S. DOJ”) in related civil and criminal investigations into our pesticide product registration issues.</w:t>
      </w:r>
    </w:p>
    <w:p>
      <w:pPr>
        <w:spacing w:after="0" w:line="146"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In late April of 2008, in connection with the U.S. EPA’s investigation, we conducted a consumer-level recall of certain consumer lawn and garden products and a Scotts LawnService</w:t>
      </w:r>
      <w:r>
        <w:rPr>
          <w:rFonts w:ascii="Arial" w:cs="Arial" w:eastAsia="Arial" w:hAnsi="Arial"/>
          <w:sz w:val="14"/>
          <w:szCs w:val="14"/>
          <w:color w:val="auto"/>
        </w:rPr>
        <w:t>®</w:t>
      </w:r>
      <w:r>
        <w:rPr>
          <w:rFonts w:ascii="Arial" w:cs="Arial" w:eastAsia="Arial" w:hAnsi="Arial"/>
          <w:sz w:val="17"/>
          <w:szCs w:val="17"/>
          <w:color w:val="auto"/>
        </w:rPr>
        <w:t xml:space="preserve"> product. Subsequently, the Company and the U.S. EPA agreed upon a Compliance Review Plan for conducting a comprehensive, independent review of our product registration records. Pursuant to the Compliance Review Plan, an independent third-party firm, Quality Associates Incorporated (“QAI”), reviewed substantially all of our U.S. pesticide product registrations and associated advertising,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 until the issues could be resolved. QAI’s review of our U.S. pesticide product registrations and associated advertisements is now substantially complete. The results of the QAI review process did not materially affect the Company’s fiscal 2009 or first quarter fiscal 2010 sales and are not expected to materially affect the Company’s sales during the remainder of fiscal 2010.</w:t>
      </w:r>
    </w:p>
    <w:p>
      <w:pPr>
        <w:spacing w:after="0" w:line="139"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late 2008, Scotts Miracle-Gro and its indirect subsidiary, EG Systems, Inc., doing business as Scotts LawnService</w:t>
      </w:r>
      <w:r>
        <w:rPr>
          <w:rFonts w:ascii="Arial" w:cs="Arial" w:eastAsia="Arial" w:hAnsi="Arial"/>
          <w:sz w:val="14"/>
          <w:szCs w:val="14"/>
          <w:color w:val="auto"/>
        </w:rPr>
        <w:t>®</w:t>
      </w:r>
      <w:r>
        <w:rPr>
          <w:rFonts w:ascii="Arial" w:cs="Arial" w:eastAsia="Arial" w:hAnsi="Arial"/>
          <w:sz w:val="17"/>
          <w:szCs w:val="17"/>
          <w:color w:val="auto"/>
        </w:rPr>
        <w:t xml:space="preserve"> were named as defendants in a purported class action filed in the U.S. District Court for the Eastern District of Michigan relating to the application of certain pesticide products by Scotts LawnService</w:t>
      </w:r>
      <w:r>
        <w:rPr>
          <w:rFonts w:ascii="Arial" w:cs="Arial" w:eastAsia="Arial" w:hAnsi="Arial"/>
          <w:sz w:val="14"/>
          <w:szCs w:val="14"/>
          <w:color w:val="auto"/>
        </w:rPr>
        <w:t>®</w:t>
      </w:r>
      <w:r>
        <w:rPr>
          <w:rFonts w:ascii="Arial" w:cs="Arial" w:eastAsia="Arial" w:hAnsi="Arial"/>
          <w:sz w:val="17"/>
          <w:szCs w:val="17"/>
          <w:color w:val="auto"/>
        </w:rPr>
        <w:t>. In the suit, Mark Baumkel, on behalf of himself and the purported classes, sought an unspecified amount of damages, plus costs and attorneys’ fees, for alleged claims involving breach of contract, unjust enrichment and violation of the state of Michigan’s consumer protection act. On September 28, 2009, the court granted the motion filed by Scotts Miracle-Gro and EG Systems, Inc. and dismissed the suit with prejudice. Since that time, Scotts Miracle-Gro, EG Systems, Inc. and Mr. Baumkel have agreed to a confidential settlement that, among other things, precludes an appeal of the decision. The impact of the confidential settlement did not, and will not, materially affect our financial condition, results of operations or cash flows.</w:t>
      </w:r>
    </w:p>
    <w:p>
      <w:pPr>
        <w:spacing w:after="0" w:line="141"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In fiscal 2008, we conducted a voluntary recall of certain of our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our fiscal 2009 financial condition, results of operations or cash flows.</w:t>
      </w:r>
    </w:p>
    <w:p>
      <w:pPr>
        <w:spacing w:after="0" w:line="138"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As a result of these registration and recall matters, we have reversed sales associated with estimated returns of affected products, recorded charges for affected inventory and recorded other registration and recall-related costs. The impacts of these adjustments were pre-tax charges of $2.6 million and $7.6 million for the three-month periods ended January 2, 2010 and December 27, 2008, respectively. We expect to incur $10 to $15 million in fiscal 2010 on recall and registration matters, excluding possible fines, penalties, judgments and/or litigation costs. These fiscal 2010 charges primarily consist of costs associated with the reworking of certain finished goods inventories, the potential disposal of certain products and ongoing third-party professional services related to the U.S. EPA and U.S. DOJ investigations.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spacing w:after="0" w:line="273" w:lineRule="auto"/>
        <w:rPr>
          <w:sz w:val="20"/>
          <w:szCs w:val="20"/>
          <w:color w:val="auto"/>
        </w:rPr>
      </w:pPr>
      <w:r>
        <w:rPr>
          <w:rFonts w:ascii="Arial" w:cs="Arial" w:eastAsia="Arial" w:hAnsi="Arial"/>
          <w:sz w:val="17"/>
          <w:szCs w:val="17"/>
          <w:color w:val="auto"/>
        </w:rPr>
        <w:t>The U.S. EPA and U.S. DOJ investigations continue and may result in future state, federal or private actions including fines and/or penalties with respect to known or potential additional product registration issues. Until the U.S. EPA and U.S. DOJ investigations are complete, we cannot reasonably determine the scope or magnitude of possible liabilities that could result from known or potential product registration issues, and no reserves for these potential liabilities have been established as of January 2, 2010. However, it is possible that such liabilities, including fines, penalties, judgments and/or litigation costs could be material and have an adverse effect on our financial condition, results of operations or cash flows.</w:t>
      </w:r>
    </w:p>
    <w:p>
      <w:pPr>
        <w:spacing w:after="0" w:line="151" w:lineRule="exact"/>
        <w:rPr>
          <w:sz w:val="20"/>
          <w:szCs w:val="20"/>
          <w:color w:val="auto"/>
        </w:rPr>
      </w:pPr>
    </w:p>
    <w:p>
      <w:pPr>
        <w:jc w:val="both"/>
        <w:ind w:left="340" w:right="1760"/>
        <w:spacing w:after="0" w:line="297" w:lineRule="auto"/>
        <w:rPr>
          <w:sz w:val="20"/>
          <w:szCs w:val="20"/>
          <w:color w:val="auto"/>
        </w:rPr>
      </w:pPr>
      <w:r>
        <w:rPr>
          <w:rFonts w:ascii="Arial" w:cs="Arial" w:eastAsia="Arial" w:hAnsi="Arial"/>
          <w:sz w:val="16"/>
          <w:szCs w:val="16"/>
          <w:color w:val="auto"/>
        </w:rPr>
        <w:t>We are committed to providing our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also are committed to conducting business with the highest degree of ethical standards and in adherence to the law. While we are disappointed in these events, we believe we have made significant progress in addressing the issues and restoring customer and consumer confidence in our products.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OPERATIONS</w:t>
      </w:r>
    </w:p>
    <w:p>
      <w:pPr>
        <w:spacing w:after="0" w:line="185" w:lineRule="exact"/>
        <w:rPr>
          <w:sz w:val="20"/>
          <w:szCs w:val="20"/>
          <w:color w:val="auto"/>
        </w:rPr>
      </w:pPr>
    </w:p>
    <w:p>
      <w:pPr>
        <w:jc w:val="both"/>
        <w:ind w:left="340" w:right="1760"/>
        <w:spacing w:after="0" w:line="272" w:lineRule="auto"/>
        <w:rPr>
          <w:sz w:val="20"/>
          <w:szCs w:val="20"/>
          <w:color w:val="auto"/>
        </w:rPr>
      </w:pPr>
      <w:r>
        <w:rPr>
          <w:rFonts w:ascii="Arial" w:cs="Arial" w:eastAsia="Arial" w:hAnsi="Arial"/>
          <w:sz w:val="17"/>
          <w:szCs w:val="17"/>
          <w:color w:val="auto"/>
        </w:rPr>
        <w:t>For the three months ended January 2, 2010, we have presented Smith &amp; Hawken as discontinued operations, coinciding with the fiscal quarter during which all stores were closed and substantially all operational activities of Smith &amp; Hawken were discontinued. Consequently, the results of Smith &amp; Hawken for the three months ended January 2, 2010 are reflected in our Results of Operations (unaudited) as discontinued operations. Accordingly, we have reclassified our overall results for the three months ended December 27, 2008 to reflect Smith &amp; Hawken as discontinued operations separate from our results of continuing operations. As a result, and unless specifically stated, all discussions regarding results for the three months ended January 2, 2010 and December 27, 2008, respectively, reflect results from our continuing operations.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 for the three months ended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January 2, 2010 and December 27,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40" w:type="dxa"/>
            <w:vAlign w:val="bottom"/>
            <w:gridSpan w:val="4"/>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20" w:type="dxa"/>
            <w:vAlign w:val="bottom"/>
            <w:tcBorders>
              <w:top w:val="single" w:sz="8" w:color="auto"/>
            </w:tcBorders>
            <w:gridSpan w:val="2"/>
          </w:tcPr>
          <w:p>
            <w:pPr>
              <w:jc w:val="right"/>
              <w:ind w:right="390"/>
              <w:spacing w:after="0" w:line="191" w:lineRule="exact"/>
              <w:rPr>
                <w:sz w:val="20"/>
                <w:szCs w:val="20"/>
                <w:color w:val="auto"/>
              </w:rPr>
            </w:pPr>
            <w:r>
              <w:rPr>
                <w:rFonts w:ascii="Arial" w:cs="Arial" w:eastAsia="Arial" w:hAnsi="Arial"/>
                <w:sz w:val="18"/>
                <w:szCs w:val="18"/>
                <w:b w:val="1"/>
                <w:bCs w:val="1"/>
                <w:color w:val="auto"/>
                <w:w w:val="95"/>
              </w:rPr>
              <w:t>JANUARY 2,</w:t>
            </w:r>
          </w:p>
        </w:tc>
        <w:tc>
          <w:tcPr>
            <w:tcW w:w="13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6"/>
              </w:rPr>
              <w:t>DECEMBER 27,</w:t>
            </w: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2010</w:t>
            </w:r>
          </w:p>
        </w:tc>
        <w:tc>
          <w:tcPr>
            <w:tcW w:w="480" w:type="dxa"/>
            <w:vAlign w:val="bottom"/>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w w:val="81"/>
              </w:rPr>
              <w:t>(UNAUDITED)</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56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Cost of sales</w:t>
            </w:r>
          </w:p>
        </w:tc>
        <w:tc>
          <w:tcPr>
            <w:tcW w:w="3560" w:type="dxa"/>
            <w:vAlign w:val="bottom"/>
            <w:gridSpan w:val="3"/>
          </w:tcPr>
          <w:p>
            <w:pPr>
              <w:jc w:val="right"/>
              <w:ind w:right="390"/>
              <w:spacing w:after="0"/>
              <w:rPr>
                <w:sz w:val="20"/>
                <w:szCs w:val="20"/>
                <w:color w:val="auto"/>
              </w:rPr>
            </w:pPr>
            <w:r>
              <w:rPr>
                <w:rFonts w:ascii="Arial" w:cs="Arial" w:eastAsia="Arial" w:hAnsi="Arial"/>
                <w:sz w:val="18"/>
                <w:szCs w:val="18"/>
                <w:color w:val="auto"/>
              </w:rPr>
              <w:t>78.2</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7"/>
              </w:rPr>
              <w:t>Cost of sales — product registration and recall matters</w:t>
            </w:r>
          </w:p>
        </w:tc>
        <w:tc>
          <w:tcPr>
            <w:tcW w:w="356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0.3</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20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48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560" w:type="dxa"/>
            <w:vAlign w:val="bottom"/>
            <w:gridSpan w:val="3"/>
          </w:tcPr>
          <w:p>
            <w:pPr>
              <w:jc w:val="right"/>
              <w:ind w:right="390"/>
              <w:spacing w:after="0"/>
              <w:rPr>
                <w:sz w:val="20"/>
                <w:szCs w:val="20"/>
                <w:color w:val="auto"/>
              </w:rPr>
            </w:pPr>
            <w:r>
              <w:rPr>
                <w:rFonts w:ascii="Arial" w:cs="Arial" w:eastAsia="Arial" w:hAnsi="Arial"/>
                <w:sz w:val="18"/>
                <w:szCs w:val="18"/>
                <w:color w:val="auto"/>
              </w:rPr>
              <w:t>45.5</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48.4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registration and recall matters</w:t>
            </w:r>
          </w:p>
        </w:tc>
        <w:tc>
          <w:tcPr>
            <w:tcW w:w="356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0.6</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2040" w:type="dxa"/>
            <w:vAlign w:val="bottom"/>
          </w:tcPr>
          <w:p>
            <w:pPr>
              <w:spacing w:after="0"/>
              <w:rPr>
                <w:sz w:val="18"/>
                <w:szCs w:val="18"/>
                <w:color w:val="auto"/>
              </w:rPr>
            </w:pPr>
          </w:p>
        </w:tc>
        <w:tc>
          <w:tcPr>
            <w:tcW w:w="1520" w:type="dxa"/>
            <w:vAlign w:val="bottom"/>
            <w:gridSpan w:val="2"/>
          </w:tcPr>
          <w:p>
            <w:pPr>
              <w:jc w:val="right"/>
              <w:ind w:right="330"/>
              <w:spacing w:after="0"/>
              <w:rPr>
                <w:sz w:val="20"/>
                <w:szCs w:val="20"/>
                <w:color w:val="auto"/>
              </w:rPr>
            </w:pPr>
            <w:r>
              <w:rPr>
                <w:rFonts w:ascii="Arial" w:cs="Arial" w:eastAsia="Arial" w:hAnsi="Arial"/>
                <w:sz w:val="18"/>
                <w:szCs w:val="18"/>
                <w:color w:val="auto"/>
              </w:rPr>
              <w:t>(2.2)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(22.4)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Loss from continuing operations before income taxes</w:t>
            </w:r>
          </w:p>
        </w:tc>
        <w:tc>
          <w:tcPr>
            <w:tcW w:w="20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(25.9)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Income tax benefit from continuing operations</w:t>
            </w:r>
          </w:p>
        </w:tc>
        <w:tc>
          <w:tcPr>
            <w:tcW w:w="2040" w:type="dxa"/>
            <w:vAlign w:val="bottom"/>
          </w:tcPr>
          <w:p>
            <w:pPr>
              <w:spacing w:after="0"/>
              <w:rPr>
                <w:sz w:val="18"/>
                <w:szCs w:val="18"/>
                <w:color w:val="auto"/>
              </w:rPr>
            </w:pPr>
          </w:p>
        </w:tc>
        <w:tc>
          <w:tcPr>
            <w:tcW w:w="1520" w:type="dxa"/>
            <w:vAlign w:val="bottom"/>
            <w:gridSpan w:val="2"/>
          </w:tcPr>
          <w:p>
            <w:pPr>
              <w:jc w:val="right"/>
              <w:ind w:right="330"/>
              <w:spacing w:after="0"/>
              <w:rPr>
                <w:sz w:val="20"/>
                <w:szCs w:val="20"/>
                <w:color w:val="auto"/>
              </w:rPr>
            </w:pPr>
            <w:r>
              <w:rPr>
                <w:rFonts w:ascii="Arial" w:cs="Arial" w:eastAsia="Arial" w:hAnsi="Arial"/>
                <w:sz w:val="18"/>
                <w:szCs w:val="18"/>
                <w:color w:val="auto"/>
              </w:rPr>
              <w:t>(9.4)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20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(16.5)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Loss from discontinued operations, net of tax</w:t>
            </w:r>
          </w:p>
        </w:tc>
        <w:tc>
          <w:tcPr>
            <w:tcW w:w="2040" w:type="dxa"/>
            <w:vAlign w:val="bottom"/>
          </w:tcPr>
          <w:p>
            <w:pPr>
              <w:spacing w:after="0"/>
              <w:rPr>
                <w:sz w:val="18"/>
                <w:szCs w:val="18"/>
                <w:color w:val="auto"/>
              </w:rPr>
            </w:pPr>
          </w:p>
        </w:tc>
        <w:tc>
          <w:tcPr>
            <w:tcW w:w="1520" w:type="dxa"/>
            <w:vAlign w:val="bottom"/>
            <w:gridSpan w:val="2"/>
          </w:tcPr>
          <w:p>
            <w:pPr>
              <w:jc w:val="right"/>
              <w:ind w:right="330"/>
              <w:spacing w:after="0"/>
              <w:rPr>
                <w:sz w:val="20"/>
                <w:szCs w:val="20"/>
                <w:color w:val="auto"/>
              </w:rPr>
            </w:pPr>
            <w:r>
              <w:rPr>
                <w:rFonts w:ascii="Arial" w:cs="Arial" w:eastAsia="Arial" w:hAnsi="Arial"/>
                <w:sz w:val="18"/>
                <w:szCs w:val="18"/>
                <w:color w:val="auto"/>
              </w:rPr>
              <w:t>(2.6)</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40" w:type="dxa"/>
            <w:vAlign w:val="bottom"/>
            <w:vMerge w:val="restart"/>
          </w:tcPr>
          <w:p>
            <w:pPr>
              <w:jc w:val="right"/>
              <w:ind w:right="1450"/>
              <w:spacing w:after="0"/>
              <w:rPr>
                <w:sz w:val="20"/>
                <w:szCs w:val="20"/>
                <w:color w:val="auto"/>
              </w:rPr>
            </w:pPr>
            <w:r>
              <w:rPr>
                <w:rFonts w:ascii="Arial" w:cs="Arial" w:eastAsia="Arial" w:hAnsi="Arial"/>
                <w:sz w:val="18"/>
                <w:szCs w:val="18"/>
                <w:color w:val="auto"/>
              </w:rPr>
              <w:t>32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Net sales for the three months ended January 2, 2010 were $302.2 million, an increase of 5.6% from net sales of $286.1 million for the three months ended December 27, 2008. Organic net sales growth, which excludes the impact of changes in foreign exchange rates, product recalls and acquisitions, was 2.2% for the three months ended January 2, 2010 as noted in the following table:</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Three Months</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Ended January 2,</w:t>
            </w:r>
          </w:p>
        </w:tc>
        <w:tc>
          <w:tcPr>
            <w:tcW w:w="0" w:type="dxa"/>
            <w:vAlign w:val="bottom"/>
          </w:tcPr>
          <w:p>
            <w:pPr>
              <w:spacing w:after="0"/>
              <w:rPr>
                <w:sz w:val="1"/>
                <w:szCs w:val="1"/>
                <w:color w:val="auto"/>
              </w:rPr>
            </w:pPr>
          </w:p>
        </w:tc>
      </w:tr>
      <w:tr>
        <w:trPr>
          <w:trHeight w:val="234"/>
        </w:trPr>
        <w:tc>
          <w:tcPr>
            <w:tcW w:w="774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sales growth</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Foreign exchange rates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Product recall matters — returns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Organic net sales growth</w:t>
            </w: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vMerge w:val="continue"/>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Organic net sales in the Global Consumer segment increased 10.3% in the first quarter, driven by 17.2% growth in the United States. In the Global Professional and Scotts LawnService</w:t>
      </w:r>
      <w:r>
        <w:rPr>
          <w:rFonts w:ascii="Arial" w:cs="Arial" w:eastAsia="Arial" w:hAnsi="Arial"/>
          <w:sz w:val="15"/>
          <w:szCs w:val="15"/>
          <w:color w:val="auto"/>
        </w:rPr>
        <w:t>®</w:t>
      </w:r>
      <w:r>
        <w:rPr>
          <w:rFonts w:ascii="Arial" w:cs="Arial" w:eastAsia="Arial" w:hAnsi="Arial"/>
          <w:sz w:val="18"/>
          <w:szCs w:val="18"/>
          <w:color w:val="auto"/>
        </w:rPr>
        <w:t xml:space="preserve"> segments, organic net sales declined for the quarter by 12.2% and 14.7%, respectively. Net sales for our first fiscal quarter typically comprise 8% to 10% of our total year net sales. Therefore, first quarter net sales trends are generally not indicative of the full fiscal year. We anticipate full-year fiscal 2010 net sales will increase by 3% to 5% compared to fiscal 2009.</w:t>
      </w:r>
    </w:p>
    <w:p>
      <w:pPr>
        <w:spacing w:after="0" w:line="148"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As a percentage, gross profit was 21.5% of net sales in the first quarter of fiscal 2010 compared to 27.0% in the first quarter of fiscal 2009. Gross margin rates for the first fiscal quarter are lower than the full-year average primarily as an outcome of seasonally low sales leveraged across a partially fixed overhead cost base. The decline in gross profit for the quarter relative to fiscal 2009 was primarily attributable to a decline in selling prices in the Global Professional segment and increased input costs in both our Global Consumer and Global Professional segments. Product registration and recall matters unfavorably impacted gross profit rates by 30 and 50 basis points for the three months ended January 2, 2010 and December 27, 2008, respectively. Excluding the impact of product registration and recall matters, for fiscal 2010 we anticipate the full-year gross profit rate as a percentage of net sales to be approximately flat compared to fiscal 2009. We expect gross profit rates to improve relative to fiscal 2009 in the second half of fiscal 2010 as price reductions begin to reach their anniversary and input costs decline.</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6500" w:type="dxa"/>
            <w:vAlign w:val="bottom"/>
          </w:tcPr>
          <w:p>
            <w:pPr>
              <w:spacing w:after="0"/>
              <w:rPr>
                <w:sz w:val="16"/>
                <w:szCs w:val="16"/>
                <w:color w:val="auto"/>
              </w:rPr>
            </w:pPr>
          </w:p>
        </w:tc>
        <w:tc>
          <w:tcPr>
            <w:tcW w:w="1400" w:type="dxa"/>
            <w:vAlign w:val="bottom"/>
            <w:tcBorders>
              <w:top w:val="single" w:sz="8" w:color="auto"/>
            </w:tcBorders>
            <w:gridSpan w:val="4"/>
          </w:tcPr>
          <w:p>
            <w:pPr>
              <w:spacing w:after="0" w:line="191" w:lineRule="exact"/>
              <w:rPr>
                <w:sz w:val="20"/>
                <w:szCs w:val="20"/>
                <w:color w:val="auto"/>
              </w:rPr>
            </w:pPr>
            <w:r>
              <w:rPr>
                <w:rFonts w:ascii="Arial" w:cs="Arial" w:eastAsia="Arial" w:hAnsi="Arial"/>
                <w:sz w:val="18"/>
                <w:szCs w:val="18"/>
                <w:b w:val="1"/>
                <w:bCs w:val="1"/>
                <w:color w:val="auto"/>
              </w:rPr>
              <w:t>JANUARY 2,</w:t>
            </w:r>
          </w:p>
        </w:tc>
        <w:tc>
          <w:tcPr>
            <w:tcW w:w="13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6"/>
              </w:rPr>
              <w:t>DECEMBER 27,</w:t>
            </w:r>
          </w:p>
        </w:tc>
        <w:tc>
          <w:tcPr>
            <w:tcW w:w="100" w:type="dxa"/>
            <w:vAlign w:val="bottom"/>
          </w:tcPr>
          <w:p>
            <w:pPr>
              <w:spacing w:after="0"/>
              <w:rPr>
                <w:sz w:val="16"/>
                <w:szCs w:val="16"/>
                <w:color w:val="auto"/>
              </w:rPr>
            </w:pPr>
          </w:p>
        </w:tc>
      </w:tr>
      <w:tr>
        <w:trPr>
          <w:trHeight w:val="234"/>
        </w:trPr>
        <w:tc>
          <w:tcPr>
            <w:tcW w:w="6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(IN</w:t>
            </w:r>
          </w:p>
        </w:tc>
        <w:tc>
          <w:tcPr>
            <w:tcW w:w="1220" w:type="dxa"/>
            <w:vAlign w:val="bottom"/>
            <w:gridSpan w:val="3"/>
          </w:tcPr>
          <w:p>
            <w:pPr>
              <w:jc w:val="right"/>
              <w:ind w:right="190"/>
              <w:spacing w:after="0" w:line="191" w:lineRule="exact"/>
              <w:rPr>
                <w:sz w:val="20"/>
                <w:szCs w:val="20"/>
                <w:color w:val="auto"/>
              </w:rPr>
            </w:pPr>
            <w:r>
              <w:rPr>
                <w:rFonts w:ascii="Arial" w:cs="Arial" w:eastAsia="Arial" w:hAnsi="Arial"/>
                <w:sz w:val="18"/>
                <w:szCs w:val="18"/>
                <w:b w:val="1"/>
                <w:bCs w:val="1"/>
                <w:color w:val="auto"/>
                <w:w w:val="99"/>
              </w:rPr>
              <w:t>MILLIONS)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rPr>
              <w:t>(UNAUDITED)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12.2</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selling, general and administrative</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122.8</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125.1</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r>
      <w:tr>
        <w:trPr>
          <w:trHeight w:val="223"/>
        </w:trPr>
        <w:tc>
          <w:tcPr>
            <w:tcW w:w="6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138.7</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Selling, general and administrative expenses (“SG&amp;A”) were $137.6 million in the first quarter of fiscal 2010, a decrease of 0.8% compared to the first quarter of fiscal 2009. The decline in SG&amp;A was 3.4% excluding the impact of foreign exchange rates. The change in SG&amp;A for the quarter, excluding the impact of foreign exchange rates, was driven by decreased spending by the Global Professional, Scotts LawnService</w:t>
      </w:r>
      <w:r>
        <w:rPr>
          <w:rFonts w:ascii="Arial" w:cs="Arial" w:eastAsia="Arial" w:hAnsi="Arial"/>
          <w:sz w:val="13"/>
          <w:szCs w:val="13"/>
          <w:color w:val="auto"/>
        </w:rPr>
        <w:t>®</w:t>
      </w:r>
      <w:r>
        <w:rPr>
          <w:rFonts w:ascii="Arial" w:cs="Arial" w:eastAsia="Arial" w:hAnsi="Arial"/>
          <w:sz w:val="16"/>
          <w:szCs w:val="16"/>
          <w:color w:val="auto"/>
        </w:rPr>
        <w:t xml:space="preserve"> and Corporate &amp; Other segments, primarily related to lower compensation-related costs and third-party legal fees. These declines were partially offset by increased spending in the Global Consumer segment driven by increased advertising and costs related to opening regional offices in Florida, Texas and California. We anticipate full-year SG&amp;A to be approximately flat compared to fiscal 2009, driven by trends consistent with our first fiscal quarter.</w:t>
      </w:r>
    </w:p>
    <w:p>
      <w:pPr>
        <w:spacing w:after="0" w:line="127"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We recorded $1.7 million and $6.2 million of SG&amp;A-related product registration and recall costs during the first quarters of fiscal 2010 and fiscal 2009, respectively, which primarily related to third-party compliance review, legal and consulting fees.</w:t>
      </w:r>
    </w:p>
    <w:p>
      <w:pPr>
        <w:spacing w:after="0" w:line="106"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Interest expense for the first quarter of fiscal 2010 was $10.7 million, compared to $16.3 million for the first quarter of fiscal 2009. The decrease in interest expense was attributable to a decrease in average borrowings and weighted average interest rates. Excluding the impact of foreign exchange rates, average borrowings decreased by approximately $153 million during the first quarter of fiscal 2010 as compared to the prior year period. Weighted average interest rates decreased by approximately 155 basis points. We expect full-year interest expense to decline slightly compared to fiscal 2009 as lower average borrowings and weighted average interest rates on our senior secured credit facility will be partially offset by higher interest expense attributable to the $200 million aggregate principal amount of Senior Notes with a coupon of 7.25% and yield of 7.375% due 2018 (the “Senior Notes”) issued on January 14, 2010. We issued the Senior Notes as part of a broader strategy to diversify sources of liquidity and debt maturities in anticipation of the expiration of our current senior secured credit facility in February, 2012. Refer to “NOTE 6. DEBT” of the Notes to Condensed, Consolidated Financial Statements for a further description of the Senior Notes.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spacing w:after="0" w:line="271" w:lineRule="auto"/>
        <w:rPr>
          <w:sz w:val="20"/>
          <w:szCs w:val="20"/>
          <w:color w:val="auto"/>
        </w:rPr>
      </w:pPr>
      <w:r>
        <w:rPr>
          <w:rFonts w:ascii="Arial" w:cs="Arial" w:eastAsia="Arial" w:hAnsi="Arial"/>
          <w:sz w:val="17"/>
          <w:szCs w:val="17"/>
          <w:color w:val="auto"/>
        </w:rPr>
        <w:t>The first fiscal quarter income tax benefit was calculated at an effective tax rate of 36.4% and 35.6% for the three months ended January 2, 2010 and December 27, 2008, respectively. The effective tax rate used for interim reporting purposes was based on management’s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as well as other items.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152" w:lineRule="exact"/>
        <w:rPr>
          <w:sz w:val="20"/>
          <w:szCs w:val="20"/>
          <w:color w:val="auto"/>
        </w:rPr>
      </w:pPr>
    </w:p>
    <w:p>
      <w:pPr>
        <w:jc w:val="both"/>
        <w:ind w:left="340" w:right="1760"/>
        <w:spacing w:after="0" w:line="272" w:lineRule="auto"/>
        <w:rPr>
          <w:sz w:val="20"/>
          <w:szCs w:val="20"/>
          <w:color w:val="auto"/>
        </w:rPr>
      </w:pPr>
      <w:r>
        <w:rPr>
          <w:rFonts w:ascii="Arial" w:cs="Arial" w:eastAsia="Arial" w:hAnsi="Arial"/>
          <w:sz w:val="17"/>
          <w:szCs w:val="17"/>
          <w:color w:val="auto"/>
        </w:rPr>
        <w:t>We reported a loss from continuing operations of $49.8 million for the first quarter of fiscal 2010, compared to a loss from continuing operations of $52.9 million for the first quarter of fiscal 2009. This first quarter loss was anticipated due to the seasonal nature of our business, in which our sales are heavily weighted in the spring and summer selling seasons. Average common shares outstanding increased to 65.9 million for the three months ended January 2, 2010 from 64.7 million for the three months ended December 27, 2008, primarily due to common shares issued as a result of stock option exercises. Furthermore, 1.1 million and 0.7 million potential common shares were excluded from the diluted loss per share calculation for the first quarters of fiscal 2010 and fiscal 2009, respectively, because their effect was anti-dilutive.</w:t>
      </w:r>
    </w:p>
    <w:p>
      <w:pPr>
        <w:spacing w:after="0" w:line="137" w:lineRule="exact"/>
        <w:rPr>
          <w:sz w:val="20"/>
          <w:szCs w:val="20"/>
          <w:color w:val="auto"/>
        </w:rPr>
      </w:pPr>
    </w:p>
    <w:p>
      <w:pPr>
        <w:jc w:val="both"/>
        <w:ind w:left="340" w:right="1760"/>
        <w:spacing w:after="0" w:line="272" w:lineRule="auto"/>
        <w:rPr>
          <w:sz w:val="20"/>
          <w:szCs w:val="20"/>
          <w:color w:val="auto"/>
        </w:rPr>
      </w:pPr>
      <w:r>
        <w:rPr>
          <w:rFonts w:ascii="Arial" w:cs="Arial" w:eastAsia="Arial" w:hAnsi="Arial"/>
          <w:sz w:val="17"/>
          <w:szCs w:val="17"/>
          <w:color w:val="auto"/>
        </w:rPr>
        <w:t>For the three months ended January 2, 2010, we began presenting Smith &amp; Hawken as discontinued operations and the prior period has been reclassified to conform to this presentation. We reported a loss from discontinued operations, net of tax, of $7.9 million for the first quarter of fiscal 2010, compared to a loss, net of tax, of $4.1 million for the first quarter of fiscal 2009. In the first quarter of fiscal 2010, we incurred a loss related to the liquidation of the Smith &amp; Hawken business of approximately $25.2 million, largely attributable to charges associated with the termination of retail site lease obligations, third-party agency fees and severance and benefit commitments. These charges were partially offset by a gain of approximately $18 million from the sale of the Smith &amp; Hawken intellectual property on December 30, 2009.</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RESULTS</w:t>
      </w:r>
    </w:p>
    <w:p>
      <w:pPr>
        <w:spacing w:after="0" w:line="198" w:lineRule="exact"/>
        <w:rPr>
          <w:sz w:val="20"/>
          <w:szCs w:val="20"/>
          <w:color w:val="auto"/>
        </w:rPr>
      </w:pPr>
    </w:p>
    <w:p>
      <w:pPr>
        <w:jc w:val="both"/>
        <w:ind w:left="340" w:right="1760"/>
        <w:spacing w:after="0" w:line="273" w:lineRule="auto"/>
        <w:rPr>
          <w:sz w:val="20"/>
          <w:szCs w:val="20"/>
          <w:color w:val="auto"/>
        </w:rPr>
      </w:pPr>
      <w:r>
        <w:rPr>
          <w:rFonts w:ascii="Arial" w:cs="Arial" w:eastAsia="Arial" w:hAnsi="Arial"/>
          <w:sz w:val="17"/>
          <w:szCs w:val="17"/>
          <w:color w:val="auto"/>
        </w:rPr>
        <w:t>Our operations are divided into the following segments: Global Consumer, Global Professional, Scotts LawnService</w:t>
      </w:r>
      <w:r>
        <w:rPr>
          <w:rFonts w:ascii="Arial" w:cs="Arial" w:eastAsia="Arial" w:hAnsi="Arial"/>
          <w:sz w:val="14"/>
          <w:szCs w:val="14"/>
          <w:color w:val="auto"/>
        </w:rPr>
        <w:t>®</w:t>
      </w:r>
      <w:r>
        <w:rPr>
          <w:rFonts w:ascii="Arial" w:cs="Arial" w:eastAsia="Arial" w:hAnsi="Arial"/>
          <w:sz w:val="17"/>
          <w:szCs w:val="17"/>
          <w:color w:val="auto"/>
        </w:rPr>
        <w:t xml:space="preserve"> and Corporate &amp; Other. The Corporate &amp; Other segment consists of corporate general and administrative expenses. Prior to being reported as a discontinued operation, Smith &amp; Hawken was included as part of our Corporate &amp; Other reportable segment. This division of reportable segments is consistent with how the segments report to and are managed by senior management of the Company. Certain reclassifications were made to the Global Consumer and Global Professional prior period amounts to reflect changes in the structure of the Company’s organization effective in fiscal 2010.</w:t>
      </w:r>
    </w:p>
    <w:p>
      <w:pPr>
        <w:spacing w:after="0" w:line="138" w:lineRule="exact"/>
        <w:rPr>
          <w:sz w:val="20"/>
          <w:szCs w:val="20"/>
          <w:color w:val="auto"/>
        </w:rPr>
      </w:pPr>
    </w:p>
    <w:p>
      <w:pPr>
        <w:jc w:val="both"/>
        <w:ind w:left="340" w:right="1760"/>
        <w:spacing w:after="0" w:line="302" w:lineRule="auto"/>
        <w:rPr>
          <w:sz w:val="20"/>
          <w:szCs w:val="20"/>
          <w:color w:val="auto"/>
        </w:rPr>
      </w:pPr>
      <w:r>
        <w:rPr>
          <w:rFonts w:ascii="Arial" w:cs="Arial" w:eastAsia="Arial" w:hAnsi="Arial"/>
          <w:sz w:val="16"/>
          <w:szCs w:val="16"/>
          <w:color w:val="auto"/>
        </w:rPr>
        <w:t>Segment performance is evaluated based on several factors, including income from continuing operations before amortization, product registration and recall costs, and impairment, restructuring and other charges, which are not measures under generally accepted accounting principles. Management uses this measure of operating profit to gauge segment performance because we believe this measure is the most indicative of performance trends and the overall earnings potential of each segment.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The following table sets forth net sales by segment:</w:t>
            </w: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rPr>
              <w:t>THREE MONTHS ENDED</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JANUARY 2,</w:t>
            </w:r>
          </w:p>
        </w:tc>
        <w:tc>
          <w:tcPr>
            <w:tcW w:w="13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6"/>
              </w:rPr>
              <w:t>DECEMBER 27,</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(IN</w:t>
            </w:r>
          </w:p>
        </w:tc>
        <w:tc>
          <w:tcPr>
            <w:tcW w:w="1220" w:type="dxa"/>
            <w:vAlign w:val="bottom"/>
            <w:gridSpan w:val="2"/>
          </w:tcPr>
          <w:p>
            <w:pPr>
              <w:jc w:val="right"/>
              <w:ind w:right="190"/>
              <w:spacing w:after="0" w:line="191" w:lineRule="exact"/>
              <w:rPr>
                <w:sz w:val="20"/>
                <w:szCs w:val="20"/>
                <w:color w:val="auto"/>
              </w:rPr>
            </w:pPr>
            <w:r>
              <w:rPr>
                <w:rFonts w:ascii="Arial" w:cs="Arial" w:eastAsia="Arial" w:hAnsi="Arial"/>
                <w:sz w:val="18"/>
                <w:szCs w:val="18"/>
                <w:b w:val="1"/>
                <w:bCs w:val="1"/>
                <w:color w:val="auto"/>
                <w:w w:val="99"/>
              </w:rPr>
              <w:t>MILLIONS)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rPr>
              <w:t>(UNAUDITED)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25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214.0</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188.3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Global Professional</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55.4</w:t>
            </w:r>
          </w:p>
        </w:tc>
        <w:tc>
          <w:tcPr>
            <w:tcW w:w="8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59.5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33.0</w:t>
            </w: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Segment total</w:t>
            </w:r>
          </w:p>
        </w:tc>
        <w:tc>
          <w:tcPr>
            <w:tcW w:w="2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3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286.6</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Product registrations and recall matters — returns</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286.1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60" w:type="dxa"/>
            <w:vAlign w:val="bottom"/>
            <w:vMerge w:val="restart"/>
          </w:tcPr>
          <w:p>
            <w:pPr>
              <w:jc w:val="right"/>
              <w:ind w:right="1670"/>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The following table sets forth operating income (loss) by segment:</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4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JANUARY 2,</w:t>
            </w:r>
          </w:p>
        </w:tc>
        <w:tc>
          <w:tcPr>
            <w:tcW w:w="13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6"/>
              </w:rPr>
              <w:t>DECEMBER 27,</w:t>
            </w: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(IN</w:t>
            </w:r>
          </w:p>
        </w:tc>
        <w:tc>
          <w:tcPr>
            <w:tcW w:w="1240" w:type="dxa"/>
            <w:vAlign w:val="bottom"/>
            <w:gridSpan w:val="2"/>
          </w:tcPr>
          <w:p>
            <w:pPr>
              <w:jc w:val="right"/>
              <w:ind w:right="210"/>
              <w:spacing w:after="0" w:line="191" w:lineRule="exact"/>
              <w:rPr>
                <w:sz w:val="20"/>
                <w:szCs w:val="20"/>
                <w:color w:val="auto"/>
              </w:rPr>
            </w:pPr>
            <w:r>
              <w:rPr>
                <w:rFonts w:ascii="Arial" w:cs="Arial" w:eastAsia="Arial" w:hAnsi="Arial"/>
                <w:sz w:val="18"/>
                <w:szCs w:val="18"/>
                <w:b w:val="1"/>
                <w:bCs w:val="1"/>
                <w:color w:val="auto"/>
                <w:w w:val="99"/>
              </w:rPr>
              <w:t>MILLIONS)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rPr>
              <w:t>(UNAUDITED)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(37.0)</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r>
      <w:tr>
        <w:trPr>
          <w:trHeight w:val="216"/>
        </w:trPr>
        <w:tc>
          <w:tcPr>
            <w:tcW w:w="34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Global Professional</w:t>
            </w:r>
          </w:p>
        </w:tc>
        <w:tc>
          <w:tcPr>
            <w:tcW w:w="20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0.7</w:t>
            </w:r>
          </w:p>
        </w:tc>
        <w:tc>
          <w:tcPr>
            <w:tcW w:w="9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r>
      <w:tr>
        <w:trPr>
          <w:trHeight w:val="216"/>
        </w:trPr>
        <w:tc>
          <w:tcPr>
            <w:tcW w:w="34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(6.9)</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34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Corporate &amp; Other</w:t>
            </w:r>
          </w:p>
        </w:tc>
        <w:tc>
          <w:tcPr>
            <w:tcW w:w="2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(18.9)</w:t>
            </w:r>
          </w:p>
        </w:tc>
        <w:tc>
          <w:tcPr>
            <w:tcW w:w="9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Segment total</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(62.1)</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w:t>
            </w:r>
          </w:p>
        </w:tc>
      </w:tr>
      <w:tr>
        <w:trPr>
          <w:trHeight w:val="216"/>
        </w:trPr>
        <w:tc>
          <w:tcPr>
            <w:tcW w:w="34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(0.2)</w:t>
            </w:r>
          </w:p>
        </w:tc>
        <w:tc>
          <w:tcPr>
            <w:tcW w:w="9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34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amortization</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34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Product registrations and recall matters</w:t>
            </w:r>
          </w:p>
        </w:tc>
        <w:tc>
          <w:tcPr>
            <w:tcW w:w="2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(2.6)</w:t>
            </w:r>
          </w:p>
        </w:tc>
        <w:tc>
          <w:tcPr>
            <w:tcW w:w="9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(67.6)</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Global Consumer</w:t>
      </w:r>
    </w:p>
    <w:p>
      <w:pPr>
        <w:spacing w:after="0" w:line="189"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Global Consumer segment net sales were $214 million in the first quarter of fiscal 2010, an increase of 13.6% from net sales of $188.3 million for the first quarter of fiscal 2009. Organic net sales growth for the quarter was 10.3%, which includes the impact of higher average selling prices of 1.4%. Foreign exchange movements increased sales for the quarter by 3.3%.</w:t>
      </w:r>
    </w:p>
    <w:p>
      <w:pPr>
        <w:spacing w:after="0" w:line="106"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Organic net sales in the United States increased 17.2%, including a 1.4% increase resulting from higher average selling prices. The primary driver of the first quarter organic net sales increase was pull through of growth in sales of our products to consumers at the retail shelf (point-of-sales, or “POS”). POS at our largest U.S. customers increased 14.2% for the quarter, largely due to purchases of lawn fertilizer, Ortho</w:t>
      </w:r>
      <w:r>
        <w:rPr>
          <w:rFonts w:ascii="Arial" w:cs="Arial" w:eastAsia="Arial" w:hAnsi="Arial"/>
          <w:sz w:val="15"/>
          <w:szCs w:val="15"/>
          <w:color w:val="auto"/>
        </w:rPr>
        <w:t>®</w:t>
      </w:r>
      <w:r>
        <w:rPr>
          <w:rFonts w:ascii="Arial" w:cs="Arial" w:eastAsia="Arial" w:hAnsi="Arial"/>
          <w:sz w:val="18"/>
          <w:szCs w:val="18"/>
          <w:color w:val="auto"/>
        </w:rPr>
        <w:t xml:space="preserve"> products and growing media. We believe this growth was attributable to increased marketing efforts supporting our fall business, including support of the category by our retail partners, as well as our entrance into the rodenticide category.</w:t>
      </w:r>
    </w:p>
    <w:p>
      <w:pPr>
        <w:spacing w:after="0" w:line="16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Organic net sales in our International Consumer business decreased 6.9%, primarily due to customers delaying orders until closer to consumer seasonal demand. This behavior was partially an outcome of a French government-legislated change in cash payment terms to 30 days, a period shorter than historic practice. From a geographical perspective, net sales increased in the United Kingdom, offset by decreases in net sales in France and Germany.</w:t>
      </w:r>
    </w:p>
    <w:p>
      <w:pPr>
        <w:spacing w:after="0" w:line="146"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color w:val="auto"/>
        </w:rPr>
        <w:t>While we are encouraged by the consumer activity in this quarter, it is important to note that our first fiscal quarter typically represents 7% to 8% of annual net sales for this segment and falls at the end of the growing season in North America and Europe.</w:t>
      </w:r>
    </w:p>
    <w:p>
      <w:pPr>
        <w:spacing w:after="0" w:line="83"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Global Consumer segment operating loss increased by $1.5 million in the first quarter of fiscal 2010 as compared to the first quarter of fiscal 2009. Excluding the impact of foreign exchange movements, operating loss increased by $0.9 million as compared to the first quarter of fiscal 2009. The increase in net sales in the first quarter of fiscal 2010 was offset by higher input costs, resulting in a slight decline in gross profit. In addition, overall SG&amp;A spending for the segment slightly increased in the first quarter of fiscal 2010.</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Global Professional</w:t>
      </w:r>
    </w:p>
    <w:p>
      <w:pPr>
        <w:spacing w:after="0" w:line="189"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Net sales for the Global Professional segment in the first quarter of fiscal 2010 were $55.4 million, a decrease of $4.1 million, or 6.9%, versus the first quarter of fiscal 2009. Foreign exchange movements increased net sales by 5.3% for the quarter. Organic net sales declined for the quarter by $7.3 million, or 12.2%, which includes the impact of lower average selling prices of 6.4%. Organic net sales for the European, Asia Pacific and Latin America Professional markets decreased in the quarter by 15.6%, 37.8% and 20.5%, respectively. Decreased sales in these markets were driven by declines in volumes, principally due to customers ordering closer to season, and pricing, which peaked for the Global Professional market in the first quarter of fiscal 2009 and steadily declined throughout calendar 2009. Organic net sales for the North America Professional business increased in the quarter by 7.6%.</w:t>
      </w:r>
    </w:p>
    <w:p>
      <w:pPr>
        <w:spacing w:after="0" w:line="15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Global Professional operating income decreased from $13.8 million for the first quarter of fiscal 2009 to $0.7 million for the first quarter of fiscal 2010. Excluding the impact of foreign exchange movements, operating income decreased by $12.8 million in the quarter due to the reduction in net sales and higher input costs.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Scotts LawnService</w:t>
      </w:r>
      <w:r>
        <w:rPr>
          <w:rFonts w:ascii="Arial" w:cs="Arial" w:eastAsia="Arial" w:hAnsi="Arial"/>
          <w:sz w:val="15"/>
          <w:szCs w:val="15"/>
          <w:b w:val="1"/>
          <w:bCs w:val="1"/>
          <w:color w:val="auto"/>
        </w:rPr>
        <w:t>®</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revenues decreased 14.9% from $38.8 million in the first quarter of fiscal 2009 to $33.0 million in the first quarter of fiscal 2010, primarily due to reduced customer count as well as a decline in customer purchases of extra services, such as over-seeding, due to favorable agronomic conditions.</w:t>
      </w:r>
    </w:p>
    <w:p>
      <w:pPr>
        <w:spacing w:after="0" w:line="141"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The operating loss for Scotts LawnService</w:t>
      </w:r>
      <w:r>
        <w:rPr>
          <w:rFonts w:ascii="Arial" w:cs="Arial" w:eastAsia="Arial" w:hAnsi="Arial"/>
          <w:sz w:val="14"/>
          <w:szCs w:val="14"/>
          <w:color w:val="auto"/>
        </w:rPr>
        <w:t>®</w:t>
      </w:r>
      <w:r>
        <w:rPr>
          <w:rFonts w:ascii="Arial" w:cs="Arial" w:eastAsia="Arial" w:hAnsi="Arial"/>
          <w:sz w:val="17"/>
          <w:szCs w:val="17"/>
          <w:color w:val="auto"/>
        </w:rPr>
        <w:t xml:space="preserve"> decreased by $0.9 million in the first quarter of fiscal 2010 compared to the first quarter of fiscal 2009, driven by improved labor productivity and lower SG&amp;A spending that offset the decline in revenues.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&amp; Other</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net operating loss for Corporate &amp; Other decreased by $6.4 million in the first quarter of fiscal 2010 as compared to the first quarter of fiscal 2009, primarily related to gains recorded for the sale of property, plant and equipment in the first quarter of fiscal 2010, as well as decreases in compensation-related costs and third party legal fees.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LIQUIDITY AND CAPITAL RESOURCES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Activities</w:t>
      </w:r>
    </w:p>
    <w:p>
      <w:pPr>
        <w:spacing w:after="0" w:line="202"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Cash used in operating activities amounted to $176.7 million and $172.3 million for the three months ended January 2, 2010 and December 27, 2008, respectively. The use of cash in the first fiscal quarter is primarily due to the seasonal nature of our operations. The first quarter is historically our lowest net sales period during our fiscal year, while at the same time we are building inventories in preparation for the spring selling season that begins in our second fiscal quarter. Cash outflows in the first quarter of fiscal 2010 related to the payment of variable compensation earned in the prior fiscal year increased significantly compared to the first quarter of fiscal 2009. This increase in cash outflows was offset by improved working capital management.</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Activities</w:t>
      </w:r>
    </w:p>
    <w:p>
      <w:pPr>
        <w:spacing w:after="0" w:line="189"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Cash provided by investing activities was $4.2 million for the three months ended January 2, 2010, compared to cash used in investing activities of $17.6 million for the three months ended December 27, 2008. During the first quarter of fiscal 2010, we received $23.6 million related to the sale of long-lived assets, including the sale of the intellectual property of Smith &amp; Hawken to an unrelated third party, in addition to the sale of certain property, plant and equipment. Capital spending increased from $8.9 million in the first quarter of fiscal 2009 to $19.4 million in the first quarter of fiscal 2010. A large portion of the growth relates to additional production capacity being added for a key input to our consumer grass seed business. We had acquisition activity in the first quarter of fiscal 2009 totaling $8.7 million. There was no acquisition activity in the first quarter of fiscal 2010.</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Activities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Financing activities provided cash of $154.6 million and $154.3 million for the three months ended January 2, 2010 and December 27, 2008, respectively. The increase in cash received in the first quarter of fiscal 2010 from the exercise of stock options was offset by a decline in net borrowings.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Borrowing Agreements</w:t>
      </w:r>
    </w:p>
    <w:p>
      <w:pPr>
        <w:spacing w:after="0" w:line="202"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Our primary sources of liquidity are cash generated by operations and borrowings under our credit agreements. In February 2007, Scotts Miracle-Gro and certain of its subsidiaries entered into the following senior secured credit facilities totaling up to $2.15 billion in the aggregate: (a) a senior secured five-year term loan facility in the principal amount of $560 million and (b) a senior secured five-year revolving loan facility in the aggregate principal amount of up to $1.59 billion. Under our current structure, we may request an additional $200 million in revolving credit and/or term credit commitments, subject to approval from our lenders. Borrowings may be made in various currencies including U.S. dollars, Euros, British pounds, Australian dollars and Canadian dollars. Amortization payments on the term loan portion of the credit facilities began on September 30, 2007 and are due quarterly through 2012. As of January 2, 2010, the cumulative total amortization payments on the term loan were $138.6 million, reducing the balance of our term loan and effectively reducing the amount outstanding under the credit facilities.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As of January 2, 2010, there was $1.03 billion of availability under the senior secured credit facilities, including letters of credit. Under the revolving loan facility, we have the ability to issue letter of credit commitments up to $65 million. At January 2, 2010, we had letters of credit in the aggregate face amount of $38.6 million outstanding.</w:t>
      </w:r>
    </w:p>
    <w:p>
      <w:pPr>
        <w:spacing w:after="0" w:line="154" w:lineRule="exact"/>
        <w:rPr>
          <w:sz w:val="20"/>
          <w:szCs w:val="20"/>
          <w:color w:val="auto"/>
        </w:rPr>
      </w:pPr>
    </w:p>
    <w:p>
      <w:pPr>
        <w:jc w:val="both"/>
        <w:ind w:left="340" w:right="559"/>
        <w:spacing w:after="0" w:line="268" w:lineRule="auto"/>
        <w:rPr>
          <w:sz w:val="20"/>
          <w:szCs w:val="20"/>
          <w:color w:val="auto"/>
        </w:rPr>
      </w:pPr>
      <w:r>
        <w:rPr>
          <w:rFonts w:ascii="Arial" w:cs="Arial" w:eastAsia="Arial" w:hAnsi="Arial"/>
          <w:sz w:val="17"/>
          <w:szCs w:val="17"/>
          <w:color w:val="auto"/>
        </w:rPr>
        <w:t>On January 14, 2010 (subsequent to the end of our first quarter of fiscal 2010), Scotts Miracle-Gro issued $200 million aggregate principal amount of 7.25% Senior Notes, the proceeds of which were used to reduce outstanding borrowings under our senior secured revolving credit facility. The Senior Notes represent general unsecured senior obligations of Scotts Miracle-Gro, and were sold to the public at 99.254% of the principal amount thereof, to yield 7.375% to maturity. The Senior Notes have interest payment dates of January 15 and July 15, commencing July 15, 2010, and may be redeemed prior to maturity at applicable redemption premiums. The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for or redemptions of Company stock and prepayments of subordinated debt, limitations on asset sales and restrictions on transactions with affiliates. The Senior Notes mature on January 15, 2018. Certain of Scotts Miracle-Gro’s domestic subsidiaries serve as guarantors of the Senior Notes. Refer to “NOTE 16. FINANCIAL INFORMATION FOR SUBSIDIARY GUARANTORS AND NON-GUARANTORS” of the Notes to Condensed, Consolidated Financial Statements for more information regarding the guarantor entities.</w:t>
      </w:r>
    </w:p>
    <w:p>
      <w:pPr>
        <w:spacing w:after="0" w:line="14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At January 2, 2010, we had outstanding interest rate swap agreements with major financial institutions that effectively converted a portion of our variable-rate debt denominated in U.S. dollars to a fixed rate. Interest payments made between the effective date and expiration date are hedged by the swap agreements, except as noted below. The effective dates, expiration dates and rates of these swap agreements are shown in the table below.</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NOTIONAL AMOUNT</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EFFECTIVE</w:t>
            </w:r>
          </w:p>
        </w:tc>
        <w:tc>
          <w:tcPr>
            <w:tcW w:w="8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EXPIRATION</w:t>
            </w:r>
          </w:p>
        </w:tc>
        <w:tc>
          <w:tcPr>
            <w:tcW w:w="8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FIXED</w:t>
            </w:r>
          </w:p>
        </w:tc>
      </w:tr>
      <w:tr>
        <w:trPr>
          <w:trHeight w:val="234"/>
        </w:trPr>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 MILLIONS)</w:t>
            </w:r>
          </w:p>
        </w:tc>
        <w:tc>
          <w:tcPr>
            <w:tcW w:w="11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 (a)</w:t>
            </w:r>
          </w:p>
        </w:tc>
        <w:tc>
          <w:tcPr>
            <w:tcW w:w="88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8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w:t>
            </w:r>
          </w:p>
        </w:tc>
      </w:tr>
      <w:tr>
        <w:trPr>
          <w:trHeight w:val="210"/>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w:t>
            </w:r>
          </w:p>
        </w:tc>
        <w:tc>
          <w:tcPr>
            <w:tcW w:w="11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3/30/2007</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3/30/2010</w:t>
            </w:r>
          </w:p>
        </w:tc>
        <w:tc>
          <w:tcPr>
            <w:tcW w:w="1860" w:type="dxa"/>
            <w:vAlign w:val="bottom"/>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3"/>
              </w:rPr>
              <w:t>4.87%</w:t>
            </w:r>
          </w:p>
        </w:tc>
      </w:tr>
      <w:tr>
        <w:trPr>
          <w:trHeight w:val="216"/>
        </w:trPr>
        <w:tc>
          <w:tcPr>
            <w:tcW w:w="1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200</w:t>
            </w:r>
          </w:p>
        </w:tc>
        <w:tc>
          <w:tcPr>
            <w:tcW w:w="1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2/14/2007</w:t>
            </w:r>
          </w:p>
        </w:tc>
        <w:tc>
          <w:tcPr>
            <w:tcW w:w="2680" w:type="dxa"/>
            <w:vAlign w:val="bottom"/>
            <w:gridSpan w:val="2"/>
          </w:tcPr>
          <w:p>
            <w:pPr>
              <w:jc w:val="center"/>
              <w:ind w:left="790"/>
              <w:spacing w:after="0"/>
              <w:rPr>
                <w:sz w:val="20"/>
                <w:szCs w:val="20"/>
                <w:color w:val="auto"/>
              </w:rPr>
            </w:pPr>
            <w:r>
              <w:rPr>
                <w:rFonts w:ascii="Arial" w:cs="Arial" w:eastAsia="Arial" w:hAnsi="Arial"/>
                <w:sz w:val="18"/>
                <w:szCs w:val="18"/>
                <w:color w:val="auto"/>
                <w:w w:val="89"/>
              </w:rPr>
              <w:t>2/14/2012</w:t>
            </w:r>
          </w:p>
        </w:tc>
        <w:tc>
          <w:tcPr>
            <w:tcW w:w="1860" w:type="dxa"/>
            <w:vAlign w:val="bottom"/>
            <w:gridSpan w:val="2"/>
          </w:tcPr>
          <w:p>
            <w:pPr>
              <w:jc w:val="center"/>
              <w:ind w:left="770"/>
              <w:spacing w:after="0"/>
              <w:rPr>
                <w:sz w:val="20"/>
                <w:szCs w:val="20"/>
                <w:color w:val="auto"/>
              </w:rPr>
            </w:pPr>
            <w:r>
              <w:rPr>
                <w:rFonts w:ascii="Arial" w:cs="Arial" w:eastAsia="Arial" w:hAnsi="Arial"/>
                <w:sz w:val="18"/>
                <w:szCs w:val="18"/>
                <w:color w:val="auto"/>
                <w:w w:val="93"/>
              </w:rPr>
              <w:t>5.20%</w:t>
            </w:r>
          </w:p>
        </w:tc>
      </w:tr>
      <w:tr>
        <w:trPr>
          <w:trHeight w:val="216"/>
        </w:trPr>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1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2/14/2012</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2/14/2016</w:t>
            </w:r>
          </w:p>
        </w:tc>
        <w:tc>
          <w:tcPr>
            <w:tcW w:w="1860" w:type="dxa"/>
            <w:vAlign w:val="bottom"/>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3"/>
              </w:rPr>
              <w:t>3.78%</w:t>
            </w:r>
          </w:p>
        </w:tc>
      </w:tr>
      <w:tr>
        <w:trPr>
          <w:trHeight w:val="216"/>
        </w:trPr>
        <w:tc>
          <w:tcPr>
            <w:tcW w:w="180" w:type="dxa"/>
            <w:vAlign w:val="bottom"/>
          </w:tcPr>
          <w:p>
            <w:pPr>
              <w:spacing w:after="0"/>
              <w:rPr>
                <w:sz w:val="18"/>
                <w:szCs w:val="18"/>
                <w:color w:val="auto"/>
              </w:rPr>
            </w:pPr>
          </w:p>
        </w:tc>
        <w:tc>
          <w:tcPr>
            <w:tcW w:w="2760" w:type="dxa"/>
            <w:vAlign w:val="bottom"/>
            <w:gridSpan w:val="2"/>
          </w:tcPr>
          <w:p>
            <w:pPr>
              <w:jc w:val="center"/>
              <w:ind w:right="1200"/>
              <w:spacing w:after="0"/>
              <w:rPr>
                <w:sz w:val="20"/>
                <w:szCs w:val="20"/>
                <w:color w:val="auto"/>
              </w:rPr>
            </w:pPr>
            <w:r>
              <w:rPr>
                <w:rFonts w:ascii="Arial" w:cs="Arial" w:eastAsia="Arial" w:hAnsi="Arial"/>
                <w:sz w:val="18"/>
                <w:szCs w:val="18"/>
                <w:color w:val="auto"/>
                <w:w w:val="91"/>
              </w:rPr>
              <w:t>150 (b)</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11/16/2009</w:t>
            </w:r>
          </w:p>
        </w:tc>
        <w:tc>
          <w:tcPr>
            <w:tcW w:w="2680" w:type="dxa"/>
            <w:vAlign w:val="bottom"/>
            <w:gridSpan w:val="2"/>
          </w:tcPr>
          <w:p>
            <w:pPr>
              <w:jc w:val="center"/>
              <w:ind w:left="790"/>
              <w:spacing w:after="0"/>
              <w:rPr>
                <w:sz w:val="20"/>
                <w:szCs w:val="20"/>
                <w:color w:val="auto"/>
              </w:rPr>
            </w:pPr>
            <w:r>
              <w:rPr>
                <w:rFonts w:ascii="Arial" w:cs="Arial" w:eastAsia="Arial" w:hAnsi="Arial"/>
                <w:sz w:val="18"/>
                <w:szCs w:val="18"/>
                <w:color w:val="auto"/>
                <w:w w:val="89"/>
              </w:rPr>
              <w:t>5/16/2016</w:t>
            </w:r>
          </w:p>
        </w:tc>
        <w:tc>
          <w:tcPr>
            <w:tcW w:w="1860" w:type="dxa"/>
            <w:vAlign w:val="bottom"/>
            <w:gridSpan w:val="2"/>
          </w:tcPr>
          <w:p>
            <w:pPr>
              <w:jc w:val="center"/>
              <w:ind w:left="770"/>
              <w:spacing w:after="0"/>
              <w:rPr>
                <w:sz w:val="20"/>
                <w:szCs w:val="20"/>
                <w:color w:val="auto"/>
              </w:rPr>
            </w:pPr>
            <w:r>
              <w:rPr>
                <w:rFonts w:ascii="Arial" w:cs="Arial" w:eastAsia="Arial" w:hAnsi="Arial"/>
                <w:sz w:val="18"/>
                <w:szCs w:val="18"/>
                <w:color w:val="auto"/>
                <w:w w:val="93"/>
              </w:rPr>
              <w:t>3.26%</w:t>
            </w:r>
          </w:p>
        </w:tc>
      </w:tr>
      <w:tr>
        <w:trPr>
          <w:trHeight w:val="216"/>
        </w:trPr>
        <w:tc>
          <w:tcPr>
            <w:tcW w:w="18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180"/>
              <w:spacing w:after="0"/>
              <w:rPr>
                <w:sz w:val="20"/>
                <w:szCs w:val="20"/>
                <w:color w:val="auto"/>
              </w:rPr>
            </w:pPr>
            <w:r>
              <w:rPr>
                <w:rFonts w:ascii="Arial" w:cs="Arial" w:eastAsia="Arial" w:hAnsi="Arial"/>
                <w:sz w:val="18"/>
                <w:szCs w:val="18"/>
                <w:color w:val="auto"/>
                <w:w w:val="91"/>
              </w:rPr>
              <w:t>50 (c)</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2/16/2010</w:t>
            </w:r>
          </w:p>
        </w:tc>
        <w:tc>
          <w:tcPr>
            <w:tcW w:w="26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5/16/2016</w:t>
            </w:r>
          </w:p>
        </w:tc>
        <w:tc>
          <w:tcPr>
            <w:tcW w:w="1860" w:type="dxa"/>
            <w:vAlign w:val="bottom"/>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3"/>
              </w:rPr>
              <w:t>3.05%</w:t>
            </w:r>
          </w:p>
        </w:tc>
      </w:tr>
    </w:tbl>
    <w:p>
      <w:pPr>
        <w:spacing w:after="0" w:line="161"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effective date refers to the date on which interest payments are first hedged by the applicable swap contract.</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beginning November 14 of each year between the effective date and expiration date are hedged by the swap contract.</w:t>
      </w:r>
    </w:p>
    <w:p>
      <w:pPr>
        <w:spacing w:after="0" w:line="21"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beginning February 14 of each year between the effective date and expiration date are hedged by the swap contract.</w:t>
      </w:r>
    </w:p>
    <w:p>
      <w:pPr>
        <w:spacing w:after="0" w:line="143"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On April 9, 2008, we entered into a Master Accounts Receivable Purchase Agreement (the “2008 MARP Agreement”). The 2008 MARP Agreement provided for the discounted sale, on a revolving basis, of accounts receivable generated by specified account debtors, with seasonally adjusted monthly aggregate limits ranging from $10 million to $300 million. The 2008 MARP Agreement also provided for specified account debtor sublimit amounts, which provided limits on the amount of receivables owed by individual account debtors that could be sold to the banks. The 2008 MARP Agreement provided an interest rate that approximated the 7-day LIBOR rate plus 85 basis points. The 2008 MARP Agreement expired by its terms on April 8, 2009.</w:t>
      </w:r>
    </w:p>
    <w:p>
      <w:pPr>
        <w:spacing w:after="0" w:line="124"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On May 1, 2009, we entered into a Master Accounts Receivable Purchase Agreement (the “2009 MARP Agreement”), with a stated termination date of May 1, 2010, or such later date as may be mutually agreed by us and our lender. The 2009 MARP Agreement provides for the discounted sale, on an uncommitted, revolving basis, of accounts receivable generated by a specified account debtor, with aggregate limits not to exceed $80 million. The 2009 MARP Agreement provides an interest rate that approximates the 7-day LIBOR rate plus 225 basis points. Borrowings under the 2009 MARP Agreement at January 2, 2010 were $3.0 million.</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8" w:lineRule="auto"/>
        <w:rPr>
          <w:sz w:val="20"/>
          <w:szCs w:val="20"/>
          <w:color w:val="auto"/>
        </w:rPr>
      </w:pPr>
      <w:r>
        <w:rPr>
          <w:rFonts w:ascii="Arial" w:cs="Arial" w:eastAsia="Arial" w:hAnsi="Arial"/>
          <w:sz w:val="17"/>
          <w:szCs w:val="17"/>
          <w:color w:val="auto"/>
        </w:rPr>
        <w:t>As of January 2, 2010, we were in compliance with all debt covenants. Our senior secured credit facilities contain, among other obligations, an affirmative covenant regarding our leverage ratio, calculated as indebtedness relative to our earnings before interest, taxes, depreciation and amortization. Under the terms of the senior secured credit facilities, the maximum leverage ratio was 3.75 as of January 2, 2010 and is scheduled to decrease to 3.50 on September 30, 2010. Our senior secured credit facilities also include an affirmative covenant regarding our interest coverage. Under the terms of the senior secured credit facilities, the minimum interest coverage ratio was 3.50 for the twelve months ended January 2, 2010. We continue to monitor our compliance with the leverage ratio, interest coverage ratio and other covenants contained in the senior secured credit facilities and, based upon our current operating assumptions, we expect to remain in compliance with the permissible leverage ratio and interest coverage ratio throughout fiscal 2010. However, an unanticipated charge to earnings, an increase in debt or other factors could materially adversely affect our ability to remain in compliance with the financial or other covenants of our senior secured credit facilities, potentially causing us to have to seek an amendment or waiver from our lending group which would be likely to result in repricing of our senior secured credit facilities to then current market rates. While we believe we have good relationships with our banking group, we can provide no assurance that such a request would be likely to result in a modified or replacement credit facility on reasonable terms, if at all.</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Judicial and Administrative Proceedings</w:t>
      </w:r>
    </w:p>
    <w:p>
      <w:pPr>
        <w:spacing w:after="0" w:line="189"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Apart from the proceedings surrounding the FIFRA compliance matters, which are discussed separately, 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adverse effect on our financial condition, results of operations or cash flows; however, there can be no assurance that future quarterly or annual operating results will not be materially affected by final resolution of these matters.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w:t>
      </w:r>
    </w:p>
    <w:p>
      <w:pPr>
        <w:spacing w:after="0" w:line="20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2010,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REGULATORY MATTERS</w:t>
      </w:r>
    </w:p>
    <w:p>
      <w:pPr>
        <w:spacing w:after="0" w:line="185"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Apart from the proceedings surrounding the FIFRA compliance matters, which are discussed separately,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 Gro’s Annual Report on Form 10-K for the fiscal year ended September 30, 2009, under “ITEM 1. BUSINESS — Regulatory Considerations,” “ITEM 1. BUSINESS — FIFRA Compliance, the Corresponding Governmental Investigations and Similar Matters,” “ITEM 1. BUSINESS — Other Regulatory Matters” and “ITEM 3. LEGAL PROCEEDINGS.”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CRITICAL ACCOUNTING POLICIES AND ESTIMATES</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Miracle-Gro’s Annual Report on Form 10-K for the fiscal year ended September 30, 2009 includes additional information about us, our operations, our financial condition, our critical accounting policies and accounting estimates, and should be read in conjunction with this Quarterly Report on Form 10-Q.</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9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Market risks have not changed significantly from those disclosed in Scotts Miracle-Gro’s Annual Report on Form 10-K for the fiscal year ended September 30,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CONTROLS AND PROCEDURES</w:t>
      </w:r>
    </w:p>
    <w:p>
      <w:pPr>
        <w:spacing w:after="0" w:line="198"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With the participation of the principal executive officer and principal financial officer of The Scotts Miracle-Gro Company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w:t>
      </w:r>
    </w:p>
    <w:p>
      <w:pPr>
        <w:spacing w:after="0" w:line="132" w:lineRule="exact"/>
        <w:rPr>
          <w:sz w:val="20"/>
          <w:szCs w:val="20"/>
          <w:color w:val="auto"/>
        </w:rPr>
      </w:pPr>
    </w:p>
    <w:p>
      <w:pPr>
        <w:jc w:val="both"/>
        <w:ind w:left="340" w:right="559" w:hanging="8"/>
        <w:spacing w:after="0" w:line="259" w:lineRule="auto"/>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Quarterly Report on Form 10-Q and the other reports that the Registrant files or submits under the Exchange Act has been accumulated and communicated to the Registrant’s management, including its principal executive officer and principal financial officer, as appropriate to allow timely decisions regarding required disclosure;</w:t>
      </w:r>
    </w:p>
    <w:p>
      <w:pPr>
        <w:spacing w:after="0" w:line="146" w:lineRule="exact"/>
        <w:rPr>
          <w:rFonts w:ascii="Arial" w:cs="Arial" w:eastAsia="Arial" w:hAnsi="Arial"/>
          <w:sz w:val="18"/>
          <w:szCs w:val="18"/>
          <w:color w:val="auto"/>
        </w:rPr>
      </w:pPr>
    </w:p>
    <w:p>
      <w:pPr>
        <w:jc w:val="both"/>
        <w:ind w:left="340" w:right="559" w:hanging="8"/>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Quarterly Report on Form 10-Q and the other reports that the Registrant files or submits under the Exchange Act has been recorded, processed, summarized and reported within the time periods specified in the SEC’s rules and forms; and</w:t>
      </w:r>
    </w:p>
    <w:p>
      <w:pPr>
        <w:spacing w:after="0" w:line="154" w:lineRule="exact"/>
        <w:rPr>
          <w:rFonts w:ascii="Arial" w:cs="Arial" w:eastAsia="Arial" w:hAnsi="Arial"/>
          <w:sz w:val="18"/>
          <w:szCs w:val="18"/>
          <w:color w:val="auto"/>
        </w:rPr>
      </w:pPr>
    </w:p>
    <w:p>
      <w:pPr>
        <w:ind w:left="340" w:right="559" w:hanging="8"/>
        <w:spacing w:after="0" w:line="277" w:lineRule="auto"/>
        <w:tabs>
          <w:tab w:leader="none" w:pos="6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disclosure controls and procedures were effective as of the end of the fiscal quarter covered by this Quarterly Report on Form 10-Q.</w:t>
      </w:r>
    </w:p>
    <w:p>
      <w:pPr>
        <w:spacing w:after="0" w:line="130"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In addition, there were no changes in the Registrant’s internal control over financial reporting (as defined in Rule 13a-15(f) under the Exchange Act) that occurred during the Registrant’s fiscal quarter ended January 2, 2010 that have materially affected, or are reasonably likely to materially affect, the Registrant’s internal control over financial reporting.</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 —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Other than as discussed in “NOTE 3. PRODUCT REGISTRATION AND RECALL MATTERS” and “NOTE 11. CONTINGENCIES” of the Notes to Condensed, Consolidated Financial Statements, pending material legal proceedings have not changed significantly since those disclosed in Scotts Miracle-Gro’s Annual Report on Form 10-K for the fiscal year ended September 30, 2009.</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1A. RISK FACTORS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89"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have made and will make “forward-looking statements” within the meaning of Section 27A of the Securities Act of 1933, as amended, and Section 21E of the Securities Exchange Act of 1934, as amended, in this Quarterly Report on Form 10-Q and in other contexts relating to matters including future growth and profitability targets and strategies designed to increase total shareholder value. Forward-looking statements also include, but are not limited to, information regarding our future economic and financial condition and results of operations, the plans and objectives of our management and our assumptions regarding our performance and these plans and objectives.</w:t>
      </w:r>
    </w:p>
    <w:p>
      <w:pPr>
        <w:spacing w:after="0" w:line="153"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6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Forward-looking statements that we make in this Quarterly Report on Form 10-Q and in other contexts are subject to a variety of risks and assumptions and numerous factors beyond our control. Important factors that could cause actual results to differ materially from the forward-looking statements we make include those described below. All forward-looking statements attributable to us or persons working on our behalf are expressly qualified in their entirety by the following cautionary statements.</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b w:val="1"/>
          <w:bCs w:val="1"/>
          <w:i w:val="1"/>
          <w:iCs w:val="1"/>
          <w:color w:val="auto"/>
        </w:rPr>
        <w:t>The ongoing governmental investigations regarding our compliance with FIFRA could adversely affect our financial condition, results of operations or cash flows.</w:t>
      </w:r>
    </w:p>
    <w:p>
      <w:pPr>
        <w:spacing w:after="0" w:line="143" w:lineRule="exact"/>
        <w:rPr>
          <w:sz w:val="20"/>
          <w:szCs w:val="20"/>
          <w:color w:val="auto"/>
        </w:rPr>
      </w:pPr>
    </w:p>
    <w:p>
      <w:pPr>
        <w:jc w:val="both"/>
        <w:ind w:left="340" w:right="559" w:firstLine="747"/>
        <w:spacing w:after="0" w:line="272" w:lineRule="auto"/>
        <w:rPr>
          <w:sz w:val="20"/>
          <w:szCs w:val="20"/>
          <w:color w:val="auto"/>
        </w:rPr>
      </w:pPr>
      <w:r>
        <w:rPr>
          <w:rFonts w:ascii="Arial" w:cs="Arial" w:eastAsia="Arial" w:hAnsi="Arial"/>
          <w:sz w:val="17"/>
          <w:szCs w:val="17"/>
          <w:color w:val="auto"/>
        </w:rPr>
        <w:t>Our products that contain pesticides must comply with FIFRA and be registered with the U.S. EPA (and similar state agencies) before they can be sold or distributed. In April 2008, we became aware that a former associate apparently deliberately circumvented Company policies and U.S. EPA regulations under FIFRA by failing to obtain valid registrations for products and/or causing invalid product registration forms to be submitted to regulators. Since that time, internal and third-party reviews have identified additional potential pesticide product registration issues (some of which appear unrelated to the actions of the former associate) and we have been cooperating with both the U.S. EPA and the U.S. DOJ in related civil and criminal investigations into the pesticide product registration issues.</w:t>
      </w:r>
    </w:p>
    <w:p>
      <w:pPr>
        <w:spacing w:after="0" w:line="137" w:lineRule="exact"/>
        <w:rPr>
          <w:sz w:val="20"/>
          <w:szCs w:val="20"/>
          <w:color w:val="auto"/>
        </w:rPr>
      </w:pPr>
    </w:p>
    <w:p>
      <w:pPr>
        <w:jc w:val="both"/>
        <w:ind w:left="340" w:right="559" w:firstLine="747"/>
        <w:spacing w:after="0" w:line="290" w:lineRule="auto"/>
        <w:rPr>
          <w:sz w:val="20"/>
          <w:szCs w:val="20"/>
          <w:color w:val="auto"/>
        </w:rPr>
      </w:pPr>
      <w:r>
        <w:rPr>
          <w:rFonts w:ascii="Arial" w:cs="Arial" w:eastAsia="Arial" w:hAnsi="Arial"/>
          <w:sz w:val="16"/>
          <w:szCs w:val="16"/>
          <w:color w:val="auto"/>
        </w:rPr>
        <w:t>In connection with the registration investigations and FIFRA compliance review process, we have recorded, and in the future expect to record, charges and costs for estimated retailer inventory returns, consumer returns and replacement costs, costs to rework existing products, inventory write-downs and legal and professional fees and costs associated with administration of the registration investigations and compliance review process. Because these expected future charges are based on estimates, they may increase as a result of numerous factors, many of which are beyond our control, including the number and type of legal or regulatory proceedings relating to the registration investigations and FIFRA compliance review process and regulatory or judicial orders or decrees that may require us to take certain actions in connection with the registration investigations and FIFRA compliance review process or to pay civil or criminal fines and/or penalties at the state and/or federal level.</w:t>
      </w:r>
    </w:p>
    <w:p>
      <w:pPr>
        <w:spacing w:after="0" w:line="126" w:lineRule="exact"/>
        <w:rPr>
          <w:sz w:val="20"/>
          <w:szCs w:val="20"/>
          <w:color w:val="auto"/>
        </w:rPr>
      </w:pPr>
    </w:p>
    <w:p>
      <w:pPr>
        <w:jc w:val="both"/>
        <w:ind w:left="340" w:right="559" w:firstLine="747"/>
        <w:spacing w:after="0" w:line="273" w:lineRule="auto"/>
        <w:rPr>
          <w:sz w:val="20"/>
          <w:szCs w:val="20"/>
          <w:color w:val="auto"/>
        </w:rPr>
      </w:pPr>
      <w:r>
        <w:rPr>
          <w:rFonts w:ascii="Arial" w:cs="Arial" w:eastAsia="Arial" w:hAnsi="Arial"/>
          <w:sz w:val="17"/>
          <w:szCs w:val="17"/>
          <w:color w:val="auto"/>
        </w:rPr>
        <w:t>The U.S. EPA and U.S. DOJ investigations continue and may result in future state, federal or private actions including fines and/or penalties with respect to known or potential additional product registration issues. Until the U.S. EPA and U.S. DOJ investigations are complete, we cannot reasonably determine the scope or magnitude of possible liabilities that could result from known or potential product registration issues, and no reserves for these potential liabilities have been established as of January 2, 2010. However, it is possible that such liabilities, including fines, penalties, judgments and/or litigation costs could be material and have an adverse effect on our financial condition, results of operations or cash flows.</w:t>
      </w:r>
    </w:p>
    <w:p>
      <w:pPr>
        <w:spacing w:after="0" w:line="151" w:lineRule="exact"/>
        <w:rPr>
          <w:sz w:val="20"/>
          <w:szCs w:val="20"/>
          <w:color w:val="auto"/>
        </w:rPr>
      </w:pPr>
    </w:p>
    <w:p>
      <w:pPr>
        <w:jc w:val="both"/>
        <w:ind w:left="340" w:right="559" w:firstLine="747"/>
        <w:spacing w:after="0" w:line="272" w:lineRule="auto"/>
        <w:rPr>
          <w:sz w:val="20"/>
          <w:szCs w:val="20"/>
          <w:color w:val="auto"/>
        </w:rPr>
      </w:pPr>
      <w:r>
        <w:rPr>
          <w:rFonts w:ascii="Arial" w:cs="Arial" w:eastAsia="Arial" w:hAnsi="Arial"/>
          <w:sz w:val="17"/>
          <w:szCs w:val="17"/>
          <w:color w:val="auto"/>
        </w:rPr>
        <w:t>There can be no assurance that the ultimate outcome of the investigations will not result in further action against us, whether administrative, civil or criminal, by the U.S. EPA, the U.S. DOJ, state regulatory agencies or private litigants, and any such action, in addition to the costs we have incurred and would continue to incur in connection therewith, could materially and adversely affect our financial condition, results of operations or cash flows. For example, the realization of a significant fine, penalty or judgment against us could materially affect our ability to remain in compliance with the leverage ratio or other covenants of our senior secured credit facilities, potentially causing us to have to seek an amendment or waiver from our lending group, which may increase our costs of borrowing.</w:t>
      </w:r>
    </w:p>
    <w:p>
      <w:pPr>
        <w:spacing w:after="0" w:line="137"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Product recalls, our inability to ship, sell or transport affected products and the on-going governmental investigations may harm our reputation and acceptance of our products by our retail customers and consumers, which may materially and adversely affect our business operations, decrease sales and increase costs.</w:t>
      </w:r>
    </w:p>
    <w:p>
      <w:pPr>
        <w:spacing w:after="0" w:line="141"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could increase our costs of doing business or limit our ability to market all of our products.</w:t>
      </w:r>
    </w:p>
    <w:p>
      <w:pPr>
        <w:spacing w:after="0" w:line="143" w:lineRule="exact"/>
        <w:rPr>
          <w:sz w:val="20"/>
          <w:szCs w:val="20"/>
          <w:color w:val="auto"/>
        </w:rPr>
      </w:pPr>
    </w:p>
    <w:p>
      <w:pPr>
        <w:jc w:val="both"/>
        <w:ind w:left="340" w:right="559" w:firstLine="747"/>
        <w:spacing w:after="0" w:line="288" w:lineRule="auto"/>
        <w:rPr>
          <w:sz w:val="20"/>
          <w:szCs w:val="20"/>
          <w:color w:val="auto"/>
        </w:rPr>
      </w:pPr>
      <w:r>
        <w:rPr>
          <w:rFonts w:ascii="Arial" w:cs="Arial" w:eastAsia="Arial" w:hAnsi="Arial"/>
          <w:sz w:val="16"/>
          <w:szCs w:val="16"/>
          <w:color w:val="auto"/>
        </w:rPr>
        <w:t>Local, state, federal and foreign laws and regulations relating to environmental matters affect us in several ways. In the United States, all products containing pesticides must comply with FIFRA and be registered with the U.S. EPA (and similar state agencies) before they can be sold or distributed. The inability to obtain or maintain such compliance, or the cancellation of any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the European Union (the “EU”), the European Parliament has adopted various forms of regulation which may substantially restrict or eliminate our ability to market and sell certain of our consumer and professional pesticide products in their current form in the EU. In addition, in Canada, regulations have been adopted by several provinces that substantially restrict our ability to market and sell certain of our consumer pesticide products.</w:t>
      </w: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third-party registrant may decide that a pesticide we use in our products will be limited or made unavailable to us. For example, in December 2000, the U.S. EPA reached agreement with various parties, including manufacturers of the active ingredient diazinon, regarding a phased withdrawal from retailers by December 2004 of residential uses of products containing diazinon, which was also used in our lawn and garden products. We cannot predict the outcome or the severity of the effect of continuing evaluations.</w:t>
      </w:r>
    </w:p>
    <w:p>
      <w:pPr>
        <w:spacing w:after="0" w:line="151" w:lineRule="exact"/>
        <w:rPr>
          <w:sz w:val="20"/>
          <w:szCs w:val="20"/>
          <w:color w:val="auto"/>
        </w:rPr>
      </w:pPr>
    </w:p>
    <w:p>
      <w:pPr>
        <w:jc w:val="both"/>
        <w:ind w:left="340" w:right="559" w:firstLine="747"/>
        <w:spacing w:after="0" w:line="290" w:lineRule="auto"/>
        <w:rPr>
          <w:sz w:val="20"/>
          <w:szCs w:val="20"/>
          <w:color w:val="auto"/>
        </w:rPr>
      </w:pPr>
      <w:r>
        <w:rPr>
          <w:rFonts w:ascii="Arial" w:cs="Arial" w:eastAsia="Arial" w:hAnsi="Arial"/>
          <w:sz w:val="16"/>
          <w:szCs w:val="16"/>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require users to post notices on properties to which products have been or will be applied, or require notification to individuals in the vicinity that products will be applied in the future or ban the use of certain ingredients. Even if we are able to comply with all such regulations and obtain all necessary registrations,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126" w:lineRule="exact"/>
        <w:rPr>
          <w:sz w:val="20"/>
          <w:szCs w:val="20"/>
          <w:color w:val="auto"/>
        </w:rPr>
      </w:pPr>
    </w:p>
    <w:p>
      <w:pPr>
        <w:jc w:val="both"/>
        <w:ind w:left="340" w:right="559" w:firstLine="747"/>
        <w:spacing w:after="0" w:line="291" w:lineRule="auto"/>
        <w:rPr>
          <w:sz w:val="20"/>
          <w:szCs w:val="20"/>
          <w:color w:val="auto"/>
        </w:rPr>
      </w:pPr>
      <w:r>
        <w:rPr>
          <w:rFonts w:ascii="Arial" w:cs="Arial" w:eastAsia="Arial" w:hAnsi="Arial"/>
          <w:sz w:val="16"/>
          <w:szCs w:val="16"/>
          <w:color w:val="auto"/>
        </w:rPr>
        <w:t>Perceptions that the products we produce and market are not safe could adversely affect us and contribute to the risk we will be subjected to legal action. We manufacture and market a number of complex chemical products, such as fertilizers, certain growing media, herbicides and pesticides. On occasion, allegations are made that some of our products have failed to perform up to expectations or have caused damage or injury to individuals or property. Based on reports of contamination at a third-party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effect on our business.</w:t>
      </w:r>
    </w:p>
    <w:p>
      <w:pPr>
        <w:spacing w:after="0" w:line="127" w:lineRule="exact"/>
        <w:rPr>
          <w:sz w:val="20"/>
          <w:szCs w:val="20"/>
          <w:color w:val="auto"/>
        </w:rPr>
      </w:pPr>
    </w:p>
    <w:p>
      <w:pPr>
        <w:jc w:val="both"/>
        <w:ind w:left="340" w:right="559" w:firstLine="747"/>
        <w:spacing w:after="0" w:line="279" w:lineRule="auto"/>
        <w:rPr>
          <w:sz w:val="20"/>
          <w:szCs w:val="20"/>
          <w:color w:val="auto"/>
        </w:rPr>
      </w:pPr>
      <w:r>
        <w:rPr>
          <w:rFonts w:ascii="Arial" w:cs="Arial" w:eastAsia="Arial" w:hAnsi="Arial"/>
          <w:sz w:val="17"/>
          <w:szCs w:val="17"/>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regulation.</w:t>
      </w:r>
    </w:p>
    <w:p>
      <w:pPr>
        <w:spacing w:after="0" w:line="144"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141"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Under certain environmental laws, we may be liable for the costs of investigation, and remediation of certain regulated materials, as well as related costs of investigation and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any such locations, or locations that we may acquire in the future, will not result in liability to us under such laws or expose us to third-party actions such as tort suits based on alleged conduct or environmental conditions.</w:t>
      </w:r>
    </w:p>
    <w:p>
      <w:pPr>
        <w:spacing w:after="0" w:line="149"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The adequacy of our current non-FIFRA compliance related environmental reserves and future provisions is based 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w:t>
      </w:r>
    </w:p>
    <w:p>
      <w:pPr>
        <w:spacing w:after="0" w:line="160" w:lineRule="exact"/>
        <w:rPr>
          <w:sz w:val="20"/>
          <w:szCs w:val="20"/>
          <w:color w:val="auto"/>
        </w:rPr>
      </w:pPr>
    </w:p>
    <w:p>
      <w:pPr>
        <w:jc w:val="both"/>
        <w:ind w:left="340" w:right="559" w:firstLine="747"/>
        <w:spacing w:after="0" w:line="279" w:lineRule="auto"/>
        <w:rPr>
          <w:sz w:val="20"/>
          <w:szCs w:val="20"/>
          <w:color w:val="auto"/>
        </w:rPr>
      </w:pPr>
      <w:r>
        <w:rPr>
          <w:rFonts w:ascii="Arial" w:cs="Arial" w:eastAsia="Arial" w:hAnsi="Arial"/>
          <w:sz w:val="17"/>
          <w:szCs w:val="17"/>
          <w:color w:val="auto"/>
        </w:rPr>
        <w:t>If there is a significant change in the facts and circumstances surrounding these assumptions, or in current enforcement policies or requirements, or if we are found not to be in substantial compliance with applicable environmental and public health laws and regulations, there could be a material adverse impact on future environmental capital expenditures and other environmental expenses and our financial condition, results of operations or cash flows.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Increases in the prices of certain raw materials could adversely affect our results of operations.</w:t>
      </w:r>
    </w:p>
    <w:p>
      <w:pPr>
        <w:spacing w:after="0" w:line="185"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Our ability to manage our cost structure can be adversely affected by movements in commodity and other raw material prices. Market conditions may limit our ability to raise selling prices to offset increases in our raw material costs. The uniqueness of our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face risks related to the current economic crisis.</w:t>
      </w:r>
    </w:p>
    <w:p>
      <w:pPr>
        <w:spacing w:after="0" w:line="198" w:lineRule="exact"/>
        <w:rPr>
          <w:sz w:val="20"/>
          <w:szCs w:val="20"/>
          <w:color w:val="auto"/>
        </w:rPr>
      </w:pPr>
    </w:p>
    <w:p>
      <w:pPr>
        <w:jc w:val="both"/>
        <w:ind w:left="340" w:right="559" w:firstLine="747"/>
        <w:spacing w:after="0" w:line="290" w:lineRule="auto"/>
        <w:rPr>
          <w:sz w:val="20"/>
          <w:szCs w:val="20"/>
          <w:color w:val="auto"/>
        </w:rPr>
      </w:pPr>
      <w:r>
        <w:rPr>
          <w:rFonts w:ascii="Arial" w:cs="Arial" w:eastAsia="Arial" w:hAnsi="Arial"/>
          <w:sz w:val="16"/>
          <w:szCs w:val="16"/>
          <w:color w:val="auto"/>
        </w:rPr>
        <w:t>The continued credit crisis and related turmoil in the global financial system may have an impact on our business and our financial condition. Global economic conditions have significantly impacted economic markets generally with certain sectors, including financial industries and retail business, being particularly impacted. Our ability to generate revenue depends significantly on discretionary consumer spending. It is difficult to predict new general economic conditions that could impact consumer and customer demand for our products or our ability to manage normal commercial relationships with our customers, suppliers and creditors. If the current situation deteriorates significantly, our business could be negatively impacted, including as a result of reduced demand for our products or supplier or customer disruptions. Any significant decrease in discretionary consumer spending could have a material adverse effect on our revenues, results of operations and financial condition.</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The highly competitive nature of our markets could adversely affect our ability to grow or maintain revenues.</w:t>
      </w:r>
    </w:p>
    <w:p>
      <w:pPr>
        <w:spacing w:after="0" w:line="196"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Each of our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be more likely to trade down to lower price point products in a more challenging economic environment. We compete primarily on the basis of product innovation, product quality, product performance, value, brand strength, supply chain competency, field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or cash flows. Our inability to continue to develop and grow brands with leading market positions, maintain our relationships with key retailers and deliver products on a reliable basis at competitive prices could have a material adverse effect on us.</w:t>
      </w:r>
    </w:p>
    <w:p>
      <w:pPr>
        <w:spacing w:after="0" w:line="151" w:lineRule="exact"/>
        <w:rPr>
          <w:sz w:val="20"/>
          <w:szCs w:val="20"/>
          <w:color w:val="auto"/>
        </w:rPr>
      </w:pPr>
    </w:p>
    <w:p>
      <w:pPr>
        <w:jc w:val="both"/>
        <w:ind w:left="340" w:right="559" w:firstLine="747"/>
        <w:spacing w:after="0" w:line="272" w:lineRule="auto"/>
        <w:rPr>
          <w:sz w:val="20"/>
          <w:szCs w:val="20"/>
          <w:color w:val="auto"/>
        </w:rPr>
      </w:pPr>
      <w:r>
        <w:rPr>
          <w:rFonts w:ascii="Arial" w:cs="Arial" w:eastAsia="Arial" w:hAnsi="Arial"/>
          <w:sz w:val="17"/>
          <w:szCs w:val="17"/>
          <w:color w:val="auto"/>
        </w:rPr>
        <w:t>In addition, our future success will depend, in part, upon our ability to improve our existing products and to develop, manufacture and market new, innovative products to meet evolving consumer needs. We cannot assure you that we will be successful in the development, manufacturing and marketing of any new products or product innovations, or that we will develop and market in a timely manner innovations to our existing products which satisfy customer needs or achieve market acceptance. If we fail to successfully develop, manufacture and market new or enhanced products or develop product innovations, our ability to maintain or grow our market share may be adversely affected, which in turn could materially adversely affect our business, financial condition and results of operations.</w:t>
      </w:r>
    </w:p>
    <w:p>
      <w:pPr>
        <w:spacing w:after="0" w:line="137" w:lineRule="exact"/>
        <w:rPr>
          <w:sz w:val="20"/>
          <w:szCs w:val="20"/>
          <w:color w:val="auto"/>
        </w:rPr>
      </w:pPr>
    </w:p>
    <w:p>
      <w:pPr>
        <w:ind w:left="700" w:right="559"/>
        <w:spacing w:after="0" w:line="308" w:lineRule="auto"/>
        <w:rPr>
          <w:sz w:val="20"/>
          <w:szCs w:val="20"/>
          <w:color w:val="auto"/>
        </w:rPr>
      </w:pPr>
      <w:r>
        <w:rPr>
          <w:rFonts w:ascii="Arial" w:cs="Arial" w:eastAsia="Arial" w:hAnsi="Arial"/>
          <w:sz w:val="17"/>
          <w:szCs w:val="17"/>
          <w:b w:val="1"/>
          <w:bCs w:val="1"/>
          <w:i w:val="1"/>
          <w:iCs w:val="1"/>
          <w:color w:val="auto"/>
        </w:rPr>
        <w:t>Because of the concentration of our sales to a small number of retail customers, the loss of one or more of, or significant reduction in orders from, our top customers could adversely affect our financial results.</w:t>
      </w:r>
    </w:p>
    <w:p>
      <w:pPr>
        <w:spacing w:after="0" w:line="106"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Global Consumer net sales represented approximately 78% of our worldwide net sales in fiscal 2009. Our top three North American retail customers together accounted for 70% of our Global Consumer segment fiscal 2009 net sales and 42% of our outstanding accounts receivable as of September 30, 2009. Home Depot, Lowe’s and Walmart represented approximately 33%, 19% and 18%, respectively, of our fiscal 2009 Global Consumer net sales. The loss of, or reduction in orders from, Home Depot, Lowe’s, Walmart or any other significant customer could have a material adverse effect on our business, financial condition, results of operations or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or cash flows.</w:t>
      </w:r>
    </w:p>
    <w:p>
      <w:pPr>
        <w:spacing w:after="0" w:line="155" w:lineRule="exact"/>
        <w:rPr>
          <w:sz w:val="20"/>
          <w:szCs w:val="20"/>
          <w:color w:val="auto"/>
        </w:rPr>
      </w:pPr>
    </w:p>
    <w:p>
      <w:pPr>
        <w:jc w:val="both"/>
        <w:ind w:left="340" w:right="559" w:firstLine="747"/>
        <w:spacing w:after="0" w:line="272" w:lineRule="auto"/>
        <w:rPr>
          <w:sz w:val="20"/>
          <w:szCs w:val="20"/>
          <w:color w:val="auto"/>
        </w:rPr>
      </w:pPr>
      <w:r>
        <w:rPr>
          <w:rFonts w:ascii="Arial" w:cs="Arial" w:eastAsia="Arial" w:hAnsi="Arial"/>
          <w:sz w:val="17"/>
          <w:szCs w:val="17"/>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key retailers whose bargaining strength is strong. To the extent such concentration continues to occur, our net sales and income from operations may be increasingly sensitive to deterioration in the financial condition of, or other adverse developments involving our relationship with, one or more of our customers. In addition, our business may be negatively affected by changes in the policies of our retailers, such as inventory destocking, limitations on access to shelf space, price demands and other conditions.</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Adverse weather conditions could adversely impact financial results.</w:t>
      </w:r>
    </w:p>
    <w:p>
      <w:pPr>
        <w:spacing w:after="0" w:line="185"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Weather conditions in North America and Europe can have a significant impact on the timing of sales in the spring selling season and overall annual sales. An abnormally wet and/or cold spring throughout North America or Europe could adversely affect both fertilizer and pesticide sales and, therefore, our financial results.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b w:val="1"/>
          <w:bCs w:val="1"/>
          <w:i w:val="1"/>
          <w:iCs w:val="1"/>
          <w:color w:val="auto"/>
        </w:rPr>
        <w:t>Our historical seasonality could impair our ability to pay obligations as they come due, including our operating expenses.</w:t>
      </w:r>
    </w:p>
    <w:p>
      <w:pPr>
        <w:spacing w:after="0" w:line="143" w:lineRule="exact"/>
        <w:rPr>
          <w:sz w:val="20"/>
          <w:szCs w:val="20"/>
          <w:color w:val="auto"/>
        </w:rPr>
      </w:pPr>
    </w:p>
    <w:p>
      <w:pPr>
        <w:jc w:val="both"/>
        <w:ind w:left="340" w:right="559" w:firstLine="747"/>
        <w:spacing w:after="0" w:line="291" w:lineRule="auto"/>
        <w:rPr>
          <w:sz w:val="20"/>
          <w:szCs w:val="20"/>
          <w:color w:val="auto"/>
        </w:rPr>
      </w:pPr>
      <w:r>
        <w:rPr>
          <w:rFonts w:ascii="Arial" w:cs="Arial" w:eastAsia="Arial" w:hAnsi="Arial"/>
          <w:sz w:val="16"/>
          <w:szCs w:val="16"/>
          <w:color w:val="auto"/>
        </w:rPr>
        <w:t>Because our products are used primarily in the spring and summer, our business is highly seasonal. For the past three fiscal years, 70% to 75% of our annual net sales have occurred in the second and third fiscal quarters combined. Our working capital needs and borrowings typically peak during the initial weeks of our third fiscal quarter because we are incurring expenditures in preparation for the spring selling season, while the majority of our revenue collections occur later in our third fiscal quarter. If cash on hand is insufficient to pay our obligations as they come due, including interest payments or operating expenses, at a time when we are unable to draw on our senior secured revolving credit facility, this seasonality could have a material adverse effect on our ability to conduct our business. Adverse weather conditions could heighten this risk.</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substantial indebtedness could limit our flexibility and adversely affect our financial condition.</w:t>
      </w:r>
    </w:p>
    <w:p>
      <w:pPr>
        <w:spacing w:after="0" w:line="185"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We have a substantial amount of debt. Our inability to meet restrictive financial and non-financial covenants associated with that debt, or to generate sufficient cash flow to repay maturing debt, could adversely affect our financial condition. For example, our debt level could:</w:t>
      </w:r>
    </w:p>
    <w:p>
      <w:pPr>
        <w:spacing w:after="0" w:line="154" w:lineRule="exact"/>
        <w:rPr>
          <w:sz w:val="20"/>
          <w:szCs w:val="20"/>
          <w:color w:val="auto"/>
        </w:rPr>
      </w:pPr>
    </w:p>
    <w:p>
      <w:pPr>
        <w:ind w:left="1420" w:hanging="345"/>
        <w:spacing w:after="0"/>
        <w:tabs>
          <w:tab w:leader="none" w:pos="14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make us more vulnerable to general adverse economic and industry conditions;</w:t>
      </w:r>
    </w:p>
    <w:p>
      <w:pPr>
        <w:spacing w:after="0" w:line="157" w:lineRule="exact"/>
        <w:rPr>
          <w:rFonts w:ascii="Arial" w:cs="Arial" w:eastAsia="Arial" w:hAnsi="Arial"/>
          <w:sz w:val="18"/>
          <w:szCs w:val="18"/>
          <w:b w:val="1"/>
          <w:bCs w:val="1"/>
          <w:color w:val="auto"/>
        </w:rPr>
      </w:pPr>
    </w:p>
    <w:p>
      <w:pPr>
        <w:jc w:val="both"/>
        <w:ind w:left="1420" w:right="559" w:hanging="345"/>
        <w:spacing w:after="0" w:line="264" w:lineRule="auto"/>
        <w:tabs>
          <w:tab w:leader="none" w:pos="14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11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limit our flexibility in planning for, or reacting to, changes in our business and the industry in which we operate;</w:t>
      </w:r>
    </w:p>
    <w:p>
      <w:pPr>
        <w:spacing w:after="0" w:line="180" w:lineRule="exact"/>
        <w:rPr>
          <w:rFonts w:ascii="Arial" w:cs="Arial" w:eastAsia="Arial" w:hAnsi="Arial"/>
          <w:sz w:val="16"/>
          <w:szCs w:val="16"/>
          <w:b w:val="1"/>
          <w:bCs w:val="1"/>
          <w:color w:val="auto"/>
        </w:rPr>
      </w:pPr>
    </w:p>
    <w:p>
      <w:pPr>
        <w:ind w:left="1420" w:hanging="345"/>
        <w:spacing w:after="0"/>
        <w:tabs>
          <w:tab w:leader="none" w:pos="14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limit our ability to borrow additional funds;</w:t>
      </w:r>
    </w:p>
    <w:p>
      <w:pPr>
        <w:spacing w:after="0" w:line="157" w:lineRule="exact"/>
        <w:rPr>
          <w:rFonts w:ascii="Arial" w:cs="Arial" w:eastAsia="Arial" w:hAnsi="Arial"/>
          <w:sz w:val="18"/>
          <w:szCs w:val="18"/>
          <w:b w:val="1"/>
          <w:bCs w:val="1"/>
          <w:color w:val="auto"/>
        </w:rPr>
      </w:pPr>
    </w:p>
    <w:p>
      <w:pPr>
        <w:ind w:left="1420" w:right="559" w:hanging="345"/>
        <w:spacing w:after="0" w:line="308" w:lineRule="auto"/>
        <w:tabs>
          <w:tab w:leader="none" w:pos="142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expose us to risks inherent in interest rate fluctuations because some of our borrowings are at variable rates of interest, which could result in higher interest expense in the event of increases in interest rates; and</w:t>
      </w:r>
    </w:p>
    <w:p>
      <w:pPr>
        <w:spacing w:after="0" w:line="79" w:lineRule="exact"/>
        <w:rPr>
          <w:rFonts w:ascii="Arial" w:cs="Arial" w:eastAsia="Arial" w:hAnsi="Arial"/>
          <w:sz w:val="17"/>
          <w:szCs w:val="17"/>
          <w:b w:val="1"/>
          <w:bCs w:val="1"/>
          <w:color w:val="auto"/>
        </w:rPr>
      </w:pPr>
    </w:p>
    <w:p>
      <w:pPr>
        <w:ind w:left="1420" w:hanging="345"/>
        <w:spacing w:after="0"/>
        <w:tabs>
          <w:tab w:leader="none" w:pos="14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place us at a competitive disadvantage compared to our competitors that have less debt.</w:t>
      </w:r>
    </w:p>
    <w:p>
      <w:pPr>
        <w:spacing w:after="0" w:line="185" w:lineRule="exact"/>
        <w:rPr>
          <w:sz w:val="20"/>
          <w:szCs w:val="20"/>
          <w:color w:val="auto"/>
        </w:rPr>
      </w:pPr>
    </w:p>
    <w:p>
      <w:pPr>
        <w:jc w:val="both"/>
        <w:ind w:left="340" w:right="559" w:firstLine="747"/>
        <w:spacing w:after="0" w:line="286" w:lineRule="auto"/>
        <w:rPr>
          <w:sz w:val="20"/>
          <w:szCs w:val="20"/>
          <w:color w:val="auto"/>
        </w:rPr>
      </w:pPr>
      <w:r>
        <w:rPr>
          <w:rFonts w:ascii="Arial" w:cs="Arial" w:eastAsia="Arial" w:hAnsi="Arial"/>
          <w:sz w:val="17"/>
          <w:szCs w:val="17"/>
          <w:color w:val="auto"/>
        </w:rPr>
        <w:t>Our ability to make payments and to refinance our indebtedness, fund planned capital expenditures and acquisitions and pay dividends will depend on our ability to generate cash in the future. This, to some extent, is subject to general economic, financial, competitive, legislative, regulatory and other factors that are beyond our control.</w:t>
      </w:r>
    </w:p>
    <w:p>
      <w:pPr>
        <w:spacing w:after="0" w:line="125" w:lineRule="exact"/>
        <w:rPr>
          <w:sz w:val="20"/>
          <w:szCs w:val="20"/>
          <w:color w:val="auto"/>
        </w:rPr>
      </w:pPr>
    </w:p>
    <w:p>
      <w:pPr>
        <w:jc w:val="both"/>
        <w:ind w:left="340" w:right="559" w:firstLine="747"/>
        <w:spacing w:after="0" w:line="291" w:lineRule="auto"/>
        <w:rPr>
          <w:sz w:val="20"/>
          <w:szCs w:val="20"/>
          <w:color w:val="auto"/>
        </w:rPr>
      </w:pPr>
      <w:r>
        <w:rPr>
          <w:rFonts w:ascii="Arial" w:cs="Arial" w:eastAsia="Arial" w:hAnsi="Arial"/>
          <w:sz w:val="16"/>
          <w:szCs w:val="16"/>
          <w:color w:val="auto"/>
        </w:rPr>
        <w:t>We cannot assure you that our business will generate sufficient cash flow from operating activities or that future borrowings will be available to us under our senior secured credit facilities in amounts sufficient to enable us to pay our indebtedness or to fund our other liquidity needs. Our senior secured credit facilities mature in 2012. We will need to refinance all or a portion of our indebtedness under our senior secured credit facilities on or before maturity. We also cannot assure you that we will be able to refinance our indebtedness or that we will be able to refinance it on commercially reasonable terms or terms consistent with the terms currently in place. Any refinancing of our indebtedness could be at higher interest rates and may require us to comply with more onerous covenants, which could restrict our business operations.</w:t>
      </w:r>
    </w:p>
    <w:p>
      <w:pPr>
        <w:spacing w:after="0" w:line="140"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Our senior secured credit facilities and the indenture governing our Senior Notes contain restrictive covenants and cross-default provisions. In addition, our senior secured credit facilities require us to maintain specified financial ratios. Our ability to comply with those covenants and satisfy those financial ratios can be affected by events beyond our control. A breach of any of those financial ratio covenants or other covenants could result in a default. Upon the occurrence of such an event of default, the lenders could elect to declare all of the outstanding indebtedness immediately due and payable and terminate all commitments to extend further credit. We cannot assure you that our lenders would waive a default or that we could pay the indebtedness in full if it were accelerated.</w:t>
      </w:r>
    </w:p>
    <w:p>
      <w:pPr>
        <w:spacing w:after="0" w:line="149" w:lineRule="exact"/>
        <w:rPr>
          <w:sz w:val="20"/>
          <w:szCs w:val="20"/>
          <w:color w:val="auto"/>
        </w:rPr>
      </w:pPr>
    </w:p>
    <w:p>
      <w:pPr>
        <w:jc w:val="both"/>
        <w:ind w:left="340" w:right="559" w:firstLine="747"/>
        <w:spacing w:after="0" w:line="342" w:lineRule="auto"/>
        <w:rPr>
          <w:sz w:val="20"/>
          <w:szCs w:val="20"/>
          <w:color w:val="auto"/>
        </w:rPr>
      </w:pPr>
      <w:r>
        <w:rPr>
          <w:rFonts w:ascii="Arial" w:cs="Arial" w:eastAsia="Arial" w:hAnsi="Arial"/>
          <w:sz w:val="16"/>
          <w:szCs w:val="16"/>
          <w:color w:val="auto"/>
        </w:rPr>
        <w:t>Subject to compliance with certain covenants under our senior secured credit facilities and the indenture governing our Senior Notes, we may incur additional debt in the future. If we incur additional debt, the risks described above could intensify.</w:t>
      </w: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b w:val="1"/>
          <w:bCs w:val="1"/>
          <w:i w:val="1"/>
          <w:iCs w:val="1"/>
          <w:color w:val="auto"/>
        </w:rPr>
        <w:t>Our significant international operations make us susceptible to fluctuations in currency exchange rates and to other costs and risks associated with international regulation.</w:t>
      </w:r>
    </w:p>
    <w:p>
      <w:pPr>
        <w:spacing w:after="0" w:line="143"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We currently operate manufacturing, sales and service facilities outside of the United States, particularly in Canada, France, the United Kingdom, Germany and the Netherlands. In fiscal 2009, international net sales, including Canada, accounted for approximately 19% of our total net sales. Accordingly, we are subject to risks associated with operating in foreign countries, including:</w:t>
      </w:r>
    </w:p>
    <w:p>
      <w:pPr>
        <w:spacing w:after="0" w:line="146" w:lineRule="exact"/>
        <w:rPr>
          <w:sz w:val="20"/>
          <w:szCs w:val="20"/>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fluctuations in currency exchange rates;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limitations on the remittance of dividends and other payments by foreign subsidiaries;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additional costs of compliance with local regulations;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historically, in certain countries, higher rates of inflation than in the United States;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changes in the economic conditions or consumer preferences or demand for our products in these markets;</w:t>
      </w:r>
    </w:p>
    <w:p>
      <w:pPr>
        <w:spacing w:after="0" w:line="169" w:lineRule="exact"/>
        <w:rPr>
          <w:rFonts w:ascii="Arial" w:cs="Arial" w:eastAsia="Arial" w:hAnsi="Arial"/>
          <w:sz w:val="17"/>
          <w:szCs w:val="17"/>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restrictive actions by multi-national governing bodies, foreign governments or subdivisions thereof;</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changes in foreign labor laws and regulations affecting our ability to hire and retain employees;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changes in U.S. and foreign laws regarding trade and investment;</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less robust protection of our intellectual property under foreign laws; and</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difficulty in obtaining distribution and support for our products.</w:t>
      </w:r>
    </w:p>
    <w:p>
      <w:pPr>
        <w:spacing w:after="0" w:line="185"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and Canadian operations could adversely affect our results of operations, financial condition or cash flows in the future.</w:t>
      </w:r>
    </w:p>
    <w:p>
      <w:pPr>
        <w:spacing w:after="0" w:line="160"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130" w:lineRule="exact"/>
        <w:rPr>
          <w:sz w:val="20"/>
          <w:szCs w:val="20"/>
          <w:color w:val="auto"/>
        </w:rPr>
      </w:pPr>
    </w:p>
    <w:p>
      <w:pPr>
        <w:jc w:val="both"/>
        <w:ind w:left="340" w:right="559" w:firstLine="747"/>
        <w:spacing w:after="0" w:line="291" w:lineRule="auto"/>
        <w:rPr>
          <w:sz w:val="20"/>
          <w:szCs w:val="20"/>
          <w:color w:val="auto"/>
        </w:rPr>
      </w:pPr>
      <w:r>
        <w:rPr>
          <w:rFonts w:ascii="Arial" w:cs="Arial" w:eastAsia="Arial" w:hAnsi="Arial"/>
          <w:sz w:val="16"/>
          <w:szCs w:val="16"/>
          <w:color w:val="auto"/>
        </w:rPr>
        <w:t>Our ability to compete effectively depends in part on our rights to service marks, trademarks, trade names and other intellectual property rights we own or license, particularly our registered brand names and issued patents. We have not sought to register every one of our marks either in the United States or in every country in which they are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or results of operations.</w:t>
      </w:r>
    </w:p>
    <w:p>
      <w:pPr>
        <w:spacing w:after="0" w:line="127" w:lineRule="exact"/>
        <w:rPr>
          <w:sz w:val="20"/>
          <w:szCs w:val="20"/>
          <w:color w:val="auto"/>
        </w:rPr>
      </w:pPr>
    </w:p>
    <w:p>
      <w:pPr>
        <w:jc w:val="both"/>
        <w:ind w:left="340" w:right="559" w:firstLine="747"/>
        <w:spacing w:after="0" w:line="293" w:lineRule="auto"/>
        <w:rPr>
          <w:sz w:val="20"/>
          <w:szCs w:val="20"/>
          <w:color w:val="auto"/>
        </w:rPr>
      </w:pPr>
      <w:r>
        <w:rPr>
          <w:rFonts w:ascii="Arial" w:cs="Arial" w:eastAsia="Arial" w:hAnsi="Arial"/>
          <w:sz w:val="16"/>
          <w:szCs w:val="16"/>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under our recognized brand names, which could have a material adverse effect on our business, financial condition or results of operations.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We depend on key personnel and may not be able to retain those employees or recruit additional qualified personnel.</w:t>
      </w:r>
    </w:p>
    <w:p>
      <w:pPr>
        <w:spacing w:after="0" w:line="221" w:lineRule="exact"/>
        <w:rPr>
          <w:sz w:val="20"/>
          <w:szCs w:val="20"/>
          <w:color w:val="auto"/>
        </w:rPr>
      </w:pPr>
    </w:p>
    <w:p>
      <w:pPr>
        <w:jc w:val="both"/>
        <w:ind w:left="340" w:right="559" w:firstLine="747"/>
        <w:spacing w:after="0" w:line="286" w:lineRule="auto"/>
        <w:rPr>
          <w:sz w:val="20"/>
          <w:szCs w:val="20"/>
          <w:color w:val="auto"/>
        </w:rPr>
      </w:pPr>
      <w:r>
        <w:rPr>
          <w:rFonts w:ascii="Arial" w:cs="Arial" w:eastAsia="Arial" w:hAnsi="Arial"/>
          <w:sz w:val="17"/>
          <w:szCs w:val="17"/>
          <w:color w:val="auto"/>
        </w:rPr>
        <w:t>We are highly dependent on the continuing efforts of our senior management team and other key personnel. Our businesses, financial condition and results of operations could be materially adversely affected if we lose the services of more than one of these persons in a short period of time and are unable to attract and retain qualified replacements.</w:t>
      </w:r>
    </w:p>
    <w:p>
      <w:pPr>
        <w:spacing w:after="0" w:line="125" w:lineRule="exact"/>
        <w:rPr>
          <w:sz w:val="20"/>
          <w:szCs w:val="20"/>
          <w:color w:val="auto"/>
        </w:rPr>
      </w:pPr>
    </w:p>
    <w:p>
      <w:pPr>
        <w:ind w:left="700" w:right="559"/>
        <w:spacing w:after="0" w:line="342" w:lineRule="auto"/>
        <w:rPr>
          <w:sz w:val="20"/>
          <w:szCs w:val="20"/>
          <w:color w:val="auto"/>
        </w:rPr>
      </w:pPr>
      <w:r>
        <w:rPr>
          <w:rFonts w:ascii="Arial" w:cs="Arial" w:eastAsia="Arial" w:hAnsi="Arial"/>
          <w:sz w:val="16"/>
          <w:szCs w:val="16"/>
          <w:b w:val="1"/>
          <w:bCs w:val="1"/>
          <w:i w:val="1"/>
          <w:iCs w:val="1"/>
          <w:color w:val="auto"/>
        </w:rPr>
        <w:t>If Monsanto were to terminate the Marketing Agreement for consumer Roundup</w:t>
      </w:r>
      <w:r>
        <w:rPr>
          <w:rFonts w:ascii="Arial" w:cs="Arial" w:eastAsia="Arial" w:hAnsi="Arial"/>
          <w:sz w:val="13"/>
          <w:szCs w:val="13"/>
          <w:color w:val="auto"/>
        </w:rPr>
        <w:t>®</w:t>
      </w:r>
      <w:r>
        <w:rPr>
          <w:rFonts w:ascii="Arial" w:cs="Arial" w:eastAsia="Arial" w:hAnsi="Arial"/>
          <w:sz w:val="16"/>
          <w:szCs w:val="16"/>
          <w:b w:val="1"/>
          <w:bCs w:val="1"/>
          <w:i w:val="1"/>
          <w:iCs w:val="1"/>
          <w:color w:val="auto"/>
        </w:rPr>
        <w:t xml:space="preserve"> products without being required to pay any termination fee, we would lose a substantial source of future earnings and overhead expense absorption.</w:t>
      </w:r>
    </w:p>
    <w:p>
      <w:pPr>
        <w:spacing w:after="0" w:line="83"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If we were to commit a serious default under the Marketing Agreement with Monsanto for consumer Roundup</w:t>
      </w:r>
      <w:r>
        <w:rPr>
          <w:rFonts w:ascii="Arial" w:cs="Arial" w:eastAsia="Arial" w:hAnsi="Arial"/>
          <w:sz w:val="15"/>
          <w:szCs w:val="15"/>
          <w:color w:val="auto"/>
        </w:rPr>
        <w:t>®</w:t>
      </w:r>
      <w:r>
        <w:rPr>
          <w:rFonts w:ascii="Arial" w:cs="Arial" w:eastAsia="Arial" w:hAnsi="Arial"/>
          <w:sz w:val="18"/>
          <w:szCs w:val="18"/>
          <w:color w:val="auto"/>
        </w:rPr>
        <w:t xml:space="preserve"> products, Monsanto may have the right to terminate the Marketing Agreement. If Monsanto were to terminate the Marketing Agreement for cause, we would not be entitled to any termination fee, and we would lose all, or a substantial portion, of the significant source of earnings and overhead expense absorption the Marketing Agreement provides. Monsanto may also be able to terminate the Marketing Agreement within a given region, including North America, without paying us a termination fee if unit volume sales to consumers in that region decline: (i) over a cumulative three-fiscal-year period; or (ii) by more than 5% for each of two consecutive years.</w:t>
      </w:r>
    </w:p>
    <w:p>
      <w:pPr>
        <w:spacing w:after="0" w:line="162"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b w:val="1"/>
          <w:bCs w:val="1"/>
          <w:i w:val="1"/>
          <w:iCs w:val="1"/>
          <w:color w:val="auto"/>
        </w:rPr>
        <w:t>Hagedorn Partnership, L.P. beneficially owns approximately 31% of our outstanding common shares on a fully diluted basis and can significantly influence decisions that require the approval of shareholders, whether or not such decisions are in the best interests of other shareholders.</w:t>
      </w:r>
    </w:p>
    <w:p>
      <w:pPr>
        <w:spacing w:after="0" w:line="141" w:lineRule="exact"/>
        <w:rPr>
          <w:sz w:val="20"/>
          <w:szCs w:val="20"/>
          <w:color w:val="auto"/>
        </w:rPr>
      </w:pPr>
    </w:p>
    <w:p>
      <w:pPr>
        <w:jc w:val="both"/>
        <w:ind w:left="340" w:right="559" w:firstLine="747"/>
        <w:spacing w:after="0" w:line="276" w:lineRule="auto"/>
        <w:rPr>
          <w:sz w:val="20"/>
          <w:szCs w:val="20"/>
          <w:color w:val="auto"/>
        </w:rPr>
      </w:pPr>
      <w:r>
        <w:rPr>
          <w:rFonts w:ascii="Arial" w:cs="Arial" w:eastAsia="Arial" w:hAnsi="Arial"/>
          <w:sz w:val="17"/>
          <w:szCs w:val="17"/>
          <w:color w:val="auto"/>
        </w:rPr>
        <w:t>Hagedorn Partnership, L.P. beneficially owned approximately 31% of our outstanding common shares on a fully diluted basis as of February 8, 2010. As a result, it has sufficient voting power to significantly influence the election of directors and the approval of other actions requiring the approval of our shareholders, including the entering into of certain corporate transactions. Hagedorn Partnership, L.P. may have an interest in our pursuing transactions that it believes may enhance the value of its equity investment in us, even though such transactions may involve increased risks to us.</w:t>
      </w:r>
    </w:p>
    <w:p>
      <w:pPr>
        <w:spacing w:after="0" w:line="132" w:lineRule="exact"/>
        <w:rPr>
          <w:sz w:val="20"/>
          <w:szCs w:val="20"/>
          <w:color w:val="auto"/>
        </w:rPr>
      </w:pPr>
    </w:p>
    <w:p>
      <w:pPr>
        <w:ind w:left="700" w:right="559"/>
        <w:spacing w:after="0" w:line="308" w:lineRule="auto"/>
        <w:rPr>
          <w:sz w:val="20"/>
          <w:szCs w:val="20"/>
          <w:color w:val="auto"/>
        </w:rPr>
      </w:pPr>
      <w:r>
        <w:rPr>
          <w:rFonts w:ascii="Arial" w:cs="Arial" w:eastAsia="Arial" w:hAnsi="Arial"/>
          <w:sz w:val="17"/>
          <w:szCs w:val="17"/>
          <w:b w:val="1"/>
          <w:bCs w:val="1"/>
          <w:i w:val="1"/>
          <w:iCs w:val="1"/>
          <w:color w:val="auto"/>
        </w:rPr>
        <w:t>We may pursue acquisitions, dispositions, investments, dividends, share repurchases and/or other corporate transactions that we believe will maximize equity returns of our shareholders but may involve risks.</w:t>
      </w:r>
    </w:p>
    <w:p>
      <w:pPr>
        <w:spacing w:after="0" w:line="120" w:lineRule="exact"/>
        <w:rPr>
          <w:sz w:val="20"/>
          <w:szCs w:val="20"/>
          <w:color w:val="auto"/>
        </w:rPr>
      </w:pPr>
    </w:p>
    <w:p>
      <w:pPr>
        <w:jc w:val="both"/>
        <w:ind w:left="340" w:right="559" w:firstLine="747"/>
        <w:spacing w:after="0" w:line="254" w:lineRule="auto"/>
        <w:rPr>
          <w:sz w:val="20"/>
          <w:szCs w:val="20"/>
          <w:color w:val="auto"/>
        </w:rPr>
      </w:pPr>
      <w:r>
        <w:rPr>
          <w:rFonts w:ascii="Arial" w:cs="Arial" w:eastAsia="Arial" w:hAnsi="Arial"/>
          <w:sz w:val="18"/>
          <w:szCs w:val="18"/>
          <w:color w:val="auto"/>
        </w:rPr>
        <w:t>From time to time, we consider opportunities for acquisitions of businesses, product lines or other assets, dispositions of all or part of one or more of our businesses other than our core Global Consumer business (including our Global Professional business and/or Scotts LawnService</w:t>
      </w:r>
      <w:r>
        <w:rPr>
          <w:rFonts w:ascii="Arial" w:cs="Arial" w:eastAsia="Arial" w:hAnsi="Arial"/>
          <w:sz w:val="15"/>
          <w:szCs w:val="15"/>
          <w:color w:val="auto"/>
        </w:rPr>
        <w:t>®</w:t>
      </w:r>
      <w:r>
        <w:rPr>
          <w:rFonts w:ascii="Arial" w:cs="Arial" w:eastAsia="Arial" w:hAnsi="Arial"/>
          <w:sz w:val="18"/>
          <w:szCs w:val="18"/>
          <w:color w:val="auto"/>
        </w:rPr>
        <w:t>) and other strategic transactions. These transactions may involve risks, such as risks of integration of acquired businesses and loss of cash flows and market positions of disposed businesses. In addition, if our business performs according to our financial plan, subject to the discretion of our Board of Directors and to market and other conditions we may, over time, significantly increase the rate of dividends on, and the amount of repurchases of, our common shares. There can be no assurance that we will effect any of these transactions, but, if we do, certain risks may be increased, possibly materially.</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 Issuer Purchases of Equity Securities</w:t>
      </w:r>
    </w:p>
    <w:p>
      <w:pPr>
        <w:spacing w:after="0" w:line="185"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following table shows the purchases of common shares of Scotts Miracle-Gro (“Common Shares”) made by or on behalf of Scotts Miracle-Gro or any “affiliated purchaser” (as defined in Rule 10b-18(a)(3) under the Securities Exchange Act of 1934, as amended) of Scotts Miracle-Gro for each fiscal month in the three months ended January 2, 2010: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 Number of</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Common Shares</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Price</w:t>
            </w: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Purchased as</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w w:val="90"/>
              </w:rPr>
              <w:t>Common Shares That</w:t>
            </w:r>
          </w:p>
        </w:tc>
      </w:t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Total Number of</w:t>
            </w:r>
          </w:p>
        </w:tc>
        <w:tc>
          <w:tcPr>
            <w:tcW w:w="220" w:type="dxa"/>
            <w:vAlign w:val="bottom"/>
          </w:tcPr>
          <w:p>
            <w:pPr>
              <w:spacing w:after="0"/>
              <w:rPr>
                <w:sz w:val="18"/>
                <w:szCs w:val="18"/>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Paid</w:t>
            </w: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Part of Publicly</w:t>
            </w:r>
          </w:p>
        </w:tc>
        <w:tc>
          <w:tcPr>
            <w:tcW w:w="1700" w:type="dxa"/>
            <w:vAlign w:val="bottom"/>
            <w:gridSpan w:val="2"/>
          </w:tcPr>
          <w:p>
            <w:pPr>
              <w:ind w:left="400"/>
              <w:spacing w:after="0"/>
              <w:rPr>
                <w:sz w:val="20"/>
                <w:szCs w:val="20"/>
                <w:color w:val="auto"/>
              </w:rPr>
            </w:pPr>
            <w:r>
              <w:rPr>
                <w:rFonts w:ascii="Arial" w:cs="Arial" w:eastAsia="Arial" w:hAnsi="Arial"/>
                <w:sz w:val="18"/>
                <w:szCs w:val="18"/>
                <w:b w:val="1"/>
                <w:bCs w:val="1"/>
                <w:color w:val="auto"/>
              </w:rPr>
              <w:t>May Yet Be</w:t>
            </w:r>
          </w:p>
        </w:tc>
      </w:t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Common Shares</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per Common</w:t>
            </w: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Announced Plans or</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Purchased Under the</w:t>
            </w:r>
          </w:p>
        </w:tc>
      </w:tr>
      <w:tr>
        <w:trPr>
          <w:trHeight w:val="234"/>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Purchased(1)</w:t>
            </w:r>
          </w:p>
        </w:tc>
        <w:tc>
          <w:tcPr>
            <w:tcW w:w="24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2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260" w:type="dxa"/>
            <w:vAlign w:val="bottom"/>
          </w:tcPr>
          <w:p>
            <w:pPr>
              <w:spacing w:after="0"/>
              <w:rPr>
                <w:sz w:val="20"/>
                <w:szCs w:val="20"/>
                <w:color w:val="auto"/>
              </w:rPr>
            </w:pPr>
          </w:p>
        </w:tc>
        <w:tc>
          <w:tcPr>
            <w:tcW w:w="16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6"/>
              </w:rPr>
              <w:t>Plans or Programs</w:t>
            </w:r>
          </w:p>
        </w:tc>
        <w:tc>
          <w:tcPr>
            <w:tcW w:w="20" w:type="dxa"/>
            <w:vAlign w:val="bottom"/>
          </w:tcPr>
          <w:p>
            <w:pPr>
              <w:spacing w:after="0"/>
              <w:rPr>
                <w:sz w:val="20"/>
                <w:szCs w:val="20"/>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5"/>
              </w:rPr>
              <w:t>October 1 through October 31, 2009</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42.05</w:t>
            </w: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w w:val="97"/>
              </w:rPr>
              <w:t>November 1 through November 28,</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7"/>
                <w:szCs w:val="17"/>
                <w:color w:val="auto"/>
              </w:rPr>
            </w:pPr>
          </w:p>
        </w:tc>
      </w:tr>
      <w:tr>
        <w:trPr>
          <w:trHeight w:val="230"/>
        </w:trPr>
        <w:tc>
          <w:tcPr>
            <w:tcW w:w="2780" w:type="dxa"/>
            <w:vAlign w:val="bottom"/>
          </w:tcPr>
          <w:p>
            <w:pPr>
              <w:ind w:left="200"/>
              <w:spacing w:after="0"/>
              <w:rPr>
                <w:sz w:val="20"/>
                <w:szCs w:val="20"/>
                <w:color w:val="auto"/>
              </w:rPr>
            </w:pPr>
            <w:r>
              <w:rPr>
                <w:rFonts w:ascii="Arial" w:cs="Arial" w:eastAsia="Arial" w:hAnsi="Arial"/>
                <w:sz w:val="18"/>
                <w:szCs w:val="18"/>
                <w:color w:val="auto"/>
              </w:rPr>
              <w:t>2009</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3,202</w:t>
            </w:r>
          </w:p>
        </w:tc>
        <w:tc>
          <w:tcPr>
            <w:tcW w:w="2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41.42</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November 29, 2009 through</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7"/>
                <w:szCs w:val="17"/>
                <w:color w:val="auto"/>
              </w:rPr>
            </w:pPr>
          </w:p>
        </w:tc>
      </w:tr>
      <w:tr>
        <w:trPr>
          <w:trHeight w:val="230"/>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2, 2010</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1,537</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39.40</w:t>
            </w: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40.52</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Not applicable</w:t>
            </w:r>
          </w:p>
        </w:tc>
      </w:tr>
      <w:tr>
        <w:trPr>
          <w:trHeight w:val="20"/>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680" w:right="559" w:hanging="348"/>
        <w:spacing w:after="0" w:line="285" w:lineRule="auto"/>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Performance Award (each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accounts under the ERP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accounts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42" w:lineRule="exact"/>
        <w:rPr>
          <w:rFonts w:ascii="Arial" w:cs="Arial" w:eastAsia="Arial" w:hAnsi="Arial"/>
          <w:sz w:val="16"/>
          <w:szCs w:val="16"/>
          <w:color w:val="auto"/>
        </w:rPr>
      </w:pPr>
    </w:p>
    <w:p>
      <w:pPr>
        <w:ind w:left="680" w:right="559"/>
        <w:spacing w:after="0" w:line="277" w:lineRule="auto"/>
        <w:rPr>
          <w:rFonts w:ascii="Arial" w:cs="Arial" w:eastAsia="Arial" w:hAnsi="Arial"/>
          <w:sz w:val="16"/>
          <w:szCs w:val="16"/>
          <w:color w:val="auto"/>
        </w:rPr>
      </w:pPr>
      <w:r>
        <w:rPr>
          <w:rFonts w:ascii="Arial" w:cs="Arial" w:eastAsia="Arial" w:hAnsi="Arial"/>
          <w:sz w:val="18"/>
          <w:szCs w:val="18"/>
          <w:color w:val="auto"/>
        </w:rPr>
        <w:t>None of the Common Shares purchased during the three months ended January 2, 2010 were purchased pursuant to a publicly announced plan or program.</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9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2010 Annual Meeting of Shareholders of Scotts Miracle-Gro (the “Annual Meeting”) was held in Marysville, Ohio on January 21, 2010.</w:t>
      </w:r>
    </w:p>
    <w:p>
      <w:pPr>
        <w:spacing w:after="0" w:line="13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results of the vote of the shareholders in the election of four directors, each for a term to expire at the 2013 Annual Meeting of Shareholders, were as follows: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VOTES</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NOMINEE</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VOTES FOR</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WITHHELD</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BROKER NON-VOTES</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ABSTENTIONS</w:t>
            </w: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Mark R. Baker</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8"/>
              </w:rPr>
              <w:t>54,133,073</w:t>
            </w:r>
          </w:p>
        </w:tc>
        <w:tc>
          <w:tcPr>
            <w:tcW w:w="12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3,264,288</w:t>
            </w:r>
          </w:p>
        </w:tc>
        <w:tc>
          <w:tcPr>
            <w:tcW w:w="20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3,947,776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Joseph P. Flannery</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43,364,712</w:t>
            </w:r>
          </w:p>
        </w:tc>
        <w:tc>
          <w:tcPr>
            <w:tcW w:w="12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14,032,649</w:t>
            </w:r>
          </w:p>
        </w:tc>
        <w:tc>
          <w:tcPr>
            <w:tcW w:w="2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3,947,776</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Katherine Hagedorn Littlefield</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8"/>
              </w:rPr>
              <w:t>54,129,559</w:t>
            </w:r>
          </w:p>
        </w:tc>
        <w:tc>
          <w:tcPr>
            <w:tcW w:w="12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3,267,801</w:t>
            </w:r>
          </w:p>
        </w:tc>
        <w:tc>
          <w:tcPr>
            <w:tcW w:w="20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3,947,776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Adam Hanft</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52,820,181</w:t>
            </w:r>
          </w:p>
        </w:tc>
        <w:tc>
          <w:tcPr>
            <w:tcW w:w="12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4,577,179</w:t>
            </w:r>
          </w:p>
        </w:tc>
        <w:tc>
          <w:tcPr>
            <w:tcW w:w="20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3,947,776</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bl>
    <w:p>
      <w:pPr>
        <w:spacing w:after="0" w:line="14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Each of the nominees designated by the Scotts Miracle-Gro Board of Directors was elected. The other directors whose terms of office continue after the Annual Meeting are Alan H. Barry, James Hagedorn, William G. Jurgensen, Thomas N. Kelly Jr., Carl F. Kohrt, Ph.D., Nancy G. Mistretta, Stephanie M. Shern and John S. Shiely. Patrick J. Norton’s term as a member of the Board of Directors expired on January 21, 2010.</w:t>
      </w:r>
    </w:p>
    <w:p>
      <w:pPr>
        <w:spacing w:after="0" w:line="16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result of the vote of the shareholders regarding the ratification of the selection by the Audit Committee of the Scotts Miracle-Gro Board of Directors (the “Audit Committee”) of Deloitte &amp; Touche LLP as Scotts Miracle-Gro’s independent registered public accounting firm for the fiscal year ending September 30, 2010 was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Votes For</w:t>
            </w:r>
          </w:p>
        </w:tc>
        <w:tc>
          <w:tcPr>
            <w:tcW w:w="46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Votes Against</w:t>
            </w:r>
          </w:p>
        </w:tc>
        <w:tc>
          <w:tcPr>
            <w:tcW w:w="46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Abstentions</w:t>
            </w:r>
          </w:p>
        </w:tc>
        <w:tc>
          <w:tcPr>
            <w:tcW w:w="46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10"/>
        </w:trPr>
        <w:tc>
          <w:tcPr>
            <w:tcW w:w="19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61,025,168</w:t>
            </w:r>
          </w:p>
        </w:tc>
        <w:tc>
          <w:tcPr>
            <w:tcW w:w="24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299,840</w:t>
            </w:r>
          </w:p>
        </w:tc>
        <w:tc>
          <w:tcPr>
            <w:tcW w:w="24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20,129</w:t>
            </w:r>
          </w:p>
        </w:tc>
        <w:tc>
          <w:tcPr>
            <w:tcW w:w="46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bl>
    <w:p>
      <w:pPr>
        <w:spacing w:after="0" w:line="16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Audit Committee’s selection of Deloitte &amp; Touche LLP as Scotts Miracle-Gro’s independent registered public accounting firm for the fiscal year ending September 30, 2010 was ratified.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EXHIBITS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Index to Exhibits at page 49 for a list of the exhibits included herewith.</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left="340" w:right="1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4460" w:type="dxa"/>
            <w:vAlign w:val="bottom"/>
          </w:tcPr>
          <w:p>
            <w:pPr>
              <w:ind w:left="340"/>
              <w:spacing w:after="0"/>
              <w:rPr>
                <w:sz w:val="20"/>
                <w:szCs w:val="20"/>
                <w:color w:val="auto"/>
              </w:rPr>
            </w:pPr>
            <w:r>
              <w:rPr>
                <w:rFonts w:ascii="Arial" w:cs="Arial" w:eastAsia="Arial" w:hAnsi="Arial"/>
                <w:sz w:val="18"/>
                <w:szCs w:val="18"/>
                <w:color w:val="auto"/>
              </w:rPr>
              <w:t>Date: February 11, 2010</w:t>
            </w:r>
          </w:p>
        </w:tc>
        <w:tc>
          <w:tcPr>
            <w:tcW w:w="6960" w:type="dxa"/>
            <w:vAlign w:val="bottom"/>
            <w:gridSpan w:val="2"/>
          </w:tcPr>
          <w:p>
            <w:pPr>
              <w:spacing w:after="0"/>
              <w:rPr>
                <w:sz w:val="20"/>
                <w:szCs w:val="20"/>
                <w:color w:val="auto"/>
              </w:rPr>
            </w:pPr>
            <w:r>
              <w:rPr>
                <w:rFonts w:ascii="Arial" w:cs="Arial" w:eastAsia="Arial" w:hAnsi="Arial"/>
                <w:sz w:val="18"/>
                <w:szCs w:val="18"/>
                <w:color w:val="auto"/>
              </w:rPr>
              <w:t>/s/ DAVID C. EVANS</w:t>
            </w:r>
          </w:p>
        </w:tc>
      </w:tr>
      <w:tr>
        <w:trPr>
          <w:trHeight w:val="195"/>
        </w:trPr>
        <w:tc>
          <w:tcPr>
            <w:tcW w:w="44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C. Evans</w:t>
            </w:r>
          </w:p>
        </w:tc>
        <w:tc>
          <w:tcPr>
            <w:tcW w:w="3040" w:type="dxa"/>
            <w:vAlign w:val="bottom"/>
          </w:tcPr>
          <w:p>
            <w:pPr>
              <w:spacing w:after="0"/>
              <w:rPr>
                <w:sz w:val="16"/>
                <w:szCs w:val="16"/>
                <w:color w:val="auto"/>
              </w:rPr>
            </w:pPr>
          </w:p>
        </w:tc>
      </w:tr>
      <w:tr>
        <w:trPr>
          <w:trHeight w:val="216"/>
        </w:trPr>
        <w:tc>
          <w:tcPr>
            <w:tcW w:w="4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4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(Principal Financial and Principal Accounting Officer)</w:t>
            </w:r>
          </w:p>
        </w:tc>
      </w:tr>
      <w:tr>
        <w:trPr>
          <w:trHeight w:val="230"/>
        </w:trPr>
        <w:tc>
          <w:tcPr>
            <w:tcW w:w="446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(Duly Authorized Officer)</w:t>
            </w:r>
          </w:p>
        </w:tc>
      </w:tr>
      <w:tr>
        <w:trPr>
          <w:trHeight w:val="783"/>
        </w:trPr>
        <w:tc>
          <w:tcPr>
            <w:tcW w:w="4460" w:type="dxa"/>
            <w:vAlign w:val="bottom"/>
          </w:tcPr>
          <w:p>
            <w:pPr>
              <w:spacing w:after="0"/>
              <w:rPr>
                <w:sz w:val="24"/>
                <w:szCs w:val="24"/>
                <w:color w:val="auto"/>
              </w:rPr>
            </w:pPr>
          </w:p>
        </w:tc>
        <w:tc>
          <w:tcPr>
            <w:tcW w:w="3920" w:type="dxa"/>
            <w:vAlign w:val="bottom"/>
          </w:tcPr>
          <w:p>
            <w:pPr>
              <w:ind w:left="440"/>
              <w:spacing w:after="0"/>
              <w:rPr>
                <w:sz w:val="20"/>
                <w:szCs w:val="20"/>
                <w:color w:val="auto"/>
              </w:rPr>
            </w:pPr>
            <w:r>
              <w:rPr>
                <w:rFonts w:ascii="Arial" w:cs="Arial" w:eastAsia="Arial" w:hAnsi="Arial"/>
                <w:sz w:val="18"/>
                <w:szCs w:val="18"/>
                <w:color w:val="auto"/>
              </w:rPr>
              <w:t>48</w:t>
            </w:r>
          </w:p>
        </w:tc>
        <w:tc>
          <w:tcPr>
            <w:tcW w:w="3040" w:type="dxa"/>
            <w:vAlign w:val="bottom"/>
          </w:tcPr>
          <w:p>
            <w:pPr>
              <w:spacing w:after="0"/>
              <w:rPr>
                <w:sz w:val="24"/>
                <w:szCs w:val="24"/>
                <w:color w:val="auto"/>
              </w:rPr>
            </w:pPr>
          </w:p>
        </w:tc>
      </w:tr>
      <w:tr>
        <w:trPr>
          <w:trHeight w:val="226"/>
        </w:trPr>
        <w:tc>
          <w:tcPr>
            <w:tcW w:w="446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FOR THE QUARTERLY PERIOD ENDED JANUARY 2, 2010</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INDEX TO EXHIBITS</w:t>
      </w:r>
    </w:p>
    <w:p>
      <w:pPr>
        <w:sectPr>
          <w:pgSz w:w="11900" w:h="16838" w:orient="portrait"/>
          <w:cols w:equalWidth="0" w:num="1">
            <w:col w:w="10219"/>
          </w:cols>
          <w:pgMar w:left="240" w:top="419" w:right="1440" w:bottom="865" w:gutter="0" w:footer="0" w:header="0"/>
        </w:sectPr>
      </w:pP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NO.</w:t>
            </w:r>
          </w:p>
        </w:tc>
        <w:tc>
          <w:tcPr>
            <w:tcW w:w="8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Indenture, dated as of January 14, 2010, among The Scotts</w:t>
            </w:r>
          </w:p>
        </w:tc>
        <w:tc>
          <w:tcPr>
            <w:tcW w:w="20" w:type="dxa"/>
            <w:vAlign w:val="bottom"/>
          </w:tcPr>
          <w:p>
            <w:pPr>
              <w:spacing w:after="0"/>
              <w:rPr>
                <w:sz w:val="16"/>
                <w:szCs w:val="16"/>
                <w:color w:val="auto"/>
              </w:rPr>
            </w:pP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w w:val="97"/>
              </w:rPr>
              <w:t>Miracle-Gro Company, the guarantors from time to time</w:t>
            </w: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w w:val="90"/>
              </w:rPr>
              <w:t>party thereto and U.S. Bank National Association, as trustee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w:t>
      </w:r>
    </w:p>
    <w:p>
      <w:pPr>
        <w:spacing w:after="0" w:line="27" w:lineRule="exact"/>
        <w:rPr>
          <w:sz w:val="20"/>
          <w:szCs w:val="20"/>
          <w:color w:val="auto"/>
        </w:rPr>
      </w:pPr>
    </w:p>
    <w:p>
      <w:pPr>
        <w:ind w:right="739"/>
        <w:spacing w:after="0" w:line="279" w:lineRule="auto"/>
        <w:rPr>
          <w:sz w:val="20"/>
          <w:szCs w:val="20"/>
          <w:color w:val="auto"/>
        </w:rPr>
      </w:pPr>
      <w:r>
        <w:rPr>
          <w:rFonts w:ascii="Arial" w:cs="Arial" w:eastAsia="Arial" w:hAnsi="Arial"/>
          <w:sz w:val="17"/>
          <w:szCs w:val="17"/>
          <w:color w:val="auto"/>
        </w:rPr>
        <w:t>Incorporated herein by reference to the Current Report on Form 8-K of The Scotts Miracle-Gro Company (the “Registrant”) filed January 14, 2010 (File No. 1-11593) [Exhibit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24612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700" w:space="80"/>
            <w:col w:w="4439"/>
          </w:cols>
          <w:pgMar w:left="240" w:top="419" w:right="1440" w:bottom="865" w:gutter="0" w:footer="0" w:header="0"/>
          <w:type w:val="continuous"/>
        </w:sectPr>
      </w:pPr>
    </w:p>
    <w:tbl>
      <w:tblPr>
        <w:tblLayout w:type="fixed"/>
        <w:tblInd w:w="340" w:type="dxa"/>
        <w:tblCellMar>
          <w:top w:w="0" w:type="dxa"/>
          <w:left w:w="0" w:type="dxa"/>
          <w:bottom w:w="0" w:type="dxa"/>
          <w:right w:w="0" w:type="dxa"/>
        </w:tblCellMar>
      </w:tblPr>
      <w:tr>
        <w:trPr>
          <w:trHeight w:val="216"/>
        </w:trPr>
        <w:tc>
          <w:tcPr>
            <w:tcW w:w="620" w:type="dxa"/>
            <w:vAlign w:val="bottom"/>
          </w:tcPr>
          <w:p>
            <w:pPr>
              <w:jc w:val="right"/>
              <w:ind w:right="310"/>
              <w:spacing w:after="0"/>
              <w:rPr>
                <w:sz w:val="20"/>
                <w:szCs w:val="20"/>
                <w:color w:val="auto"/>
              </w:rPr>
            </w:pPr>
            <w:r>
              <w:rPr>
                <w:rFonts w:ascii="Arial" w:cs="Arial" w:eastAsia="Arial" w:hAnsi="Arial"/>
                <w:sz w:val="18"/>
                <w:szCs w:val="18"/>
                <w:color w:val="auto"/>
                <w:w w:val="79"/>
              </w:rPr>
              <w:t>4.2</w:t>
            </w:r>
          </w:p>
        </w:tc>
        <w:tc>
          <w:tcPr>
            <w:tcW w:w="4700" w:type="dxa"/>
            <w:vAlign w:val="bottom"/>
          </w:tcPr>
          <w:p>
            <w:pPr>
              <w:ind w:left="420"/>
              <w:spacing w:after="0"/>
              <w:rPr>
                <w:sz w:val="20"/>
                <w:szCs w:val="20"/>
                <w:color w:val="auto"/>
              </w:rPr>
            </w:pPr>
            <w:r>
              <w:rPr>
                <w:rFonts w:ascii="Arial" w:cs="Arial" w:eastAsia="Arial" w:hAnsi="Arial"/>
                <w:sz w:val="18"/>
                <w:szCs w:val="18"/>
                <w:color w:val="auto"/>
                <w:w w:val="88"/>
              </w:rPr>
              <w:t>First Supplemental Indenture, dated as of January 14, 2010,</w:t>
            </w:r>
          </w:p>
        </w:tc>
      </w:tr>
      <w:tr>
        <w:trPr>
          <w:trHeight w:val="216"/>
        </w:trPr>
        <w:tc>
          <w:tcPr>
            <w:tcW w:w="6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w w:val="93"/>
              </w:rPr>
              <w:t>among The Scotts Miracle-Gro Company, the guarantors</w:t>
            </w:r>
          </w:p>
        </w:tc>
      </w:tr>
      <w:tr>
        <w:trPr>
          <w:trHeight w:val="216"/>
        </w:trPr>
        <w:tc>
          <w:tcPr>
            <w:tcW w:w="6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w w:val="98"/>
              </w:rPr>
              <w:t>named therein and U.S. Bank National Association, as</w:t>
            </w:r>
          </w:p>
        </w:tc>
      </w:tr>
      <w:tr>
        <w:trPr>
          <w:trHeight w:val="230"/>
        </w:trPr>
        <w:tc>
          <w:tcPr>
            <w:tcW w:w="620" w:type="dxa"/>
            <w:vAlign w:val="bottom"/>
          </w:tcPr>
          <w:p>
            <w:pPr>
              <w:spacing w:after="0"/>
              <w:rPr>
                <w:sz w:val="20"/>
                <w:szCs w:val="20"/>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trustee</w:t>
            </w:r>
          </w:p>
        </w:tc>
      </w:tr>
    </w:tbl>
    <w:p>
      <w:pPr>
        <w:spacing w:after="0" w:line="20" w:lineRule="exact"/>
        <w:rPr>
          <w:sz w:val="20"/>
          <w:szCs w:val="20"/>
          <w:color w:val="auto"/>
        </w:rPr>
      </w:pPr>
      <w:r>
        <w:rPr>
          <w:sz w:val="20"/>
          <w:szCs w:val="20"/>
          <w:color w:val="auto"/>
        </w:rPr>
        <w:br w:type="column"/>
      </w:r>
    </w:p>
    <w:p>
      <w:pPr>
        <w:jc w:val="both"/>
        <w:ind w:right="699"/>
        <w:spacing w:after="0" w:line="286" w:lineRule="auto"/>
        <w:rPr>
          <w:sz w:val="20"/>
          <w:szCs w:val="20"/>
          <w:color w:val="auto"/>
        </w:rPr>
      </w:pPr>
      <w:r>
        <w:rPr>
          <w:rFonts w:ascii="Arial" w:cs="Arial" w:eastAsia="Arial" w:hAnsi="Arial"/>
          <w:sz w:val="17"/>
          <w:szCs w:val="17"/>
          <w:color w:val="auto"/>
        </w:rPr>
        <w:t>Incorporated herein by reference to the Registrant’s Current Report on Form 8-K filed January 14, 2010 (File No. 1-11593) [Exhibit 4.2]</w:t>
      </w:r>
    </w:p>
    <w:p>
      <w:pPr>
        <w:spacing w:after="0" w:line="379" w:lineRule="exact"/>
        <w:rPr>
          <w:sz w:val="20"/>
          <w:szCs w:val="20"/>
          <w:color w:val="auto"/>
        </w:rPr>
      </w:pPr>
    </w:p>
    <w:p>
      <w:pPr>
        <w:sectPr>
          <w:pgSz w:w="11900" w:h="16838" w:orient="portrait"/>
          <w:cols w:equalWidth="0" w:num="2">
            <w:col w:w="5660" w:space="120"/>
            <w:col w:w="4439"/>
          </w:cols>
          <w:pgMar w:left="240" w:top="419" w:right="1440" w:bottom="865" w:gutter="0" w:footer="0" w:header="0"/>
          <w:type w:val="continuous"/>
        </w:sectPr>
      </w:pPr>
    </w:p>
    <w:p>
      <w:pPr>
        <w:spacing w:after="0" w:line="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20" w:type="dxa"/>
            <w:vAlign w:val="bottom"/>
          </w:tcPr>
          <w:p>
            <w:pPr>
              <w:jc w:val="right"/>
              <w:ind w:right="310"/>
              <w:spacing w:after="0"/>
              <w:rPr>
                <w:sz w:val="20"/>
                <w:szCs w:val="20"/>
                <w:color w:val="auto"/>
              </w:rPr>
            </w:pPr>
            <w:r>
              <w:rPr>
                <w:rFonts w:ascii="Arial" w:cs="Arial" w:eastAsia="Arial" w:hAnsi="Arial"/>
                <w:sz w:val="18"/>
                <w:szCs w:val="18"/>
                <w:color w:val="auto"/>
                <w:w w:val="79"/>
              </w:rPr>
              <w:t>4.3</w:t>
            </w:r>
          </w:p>
        </w:tc>
        <w:tc>
          <w:tcPr>
            <w:tcW w:w="4100" w:type="dxa"/>
            <w:vAlign w:val="bottom"/>
          </w:tcPr>
          <w:p>
            <w:pPr>
              <w:ind w:left="420"/>
              <w:spacing w:after="0"/>
              <w:rPr>
                <w:sz w:val="20"/>
                <w:szCs w:val="20"/>
                <w:color w:val="auto"/>
              </w:rPr>
            </w:pPr>
            <w:r>
              <w:rPr>
                <w:rFonts w:ascii="Arial" w:cs="Arial" w:eastAsia="Arial" w:hAnsi="Arial"/>
                <w:sz w:val="18"/>
                <w:szCs w:val="18"/>
                <w:color w:val="auto"/>
                <w:w w:val="90"/>
              </w:rPr>
              <w:t>Form of 7.25% Senior Notes due 2018 (included in</w:t>
            </w:r>
          </w:p>
        </w:tc>
      </w:tr>
      <w:tr>
        <w:trPr>
          <w:trHeight w:val="230"/>
        </w:trPr>
        <w:tc>
          <w:tcPr>
            <w:tcW w:w="620" w:type="dxa"/>
            <w:vAlign w:val="bottom"/>
          </w:tcPr>
          <w:p>
            <w:pPr>
              <w:spacing w:after="0"/>
              <w:rPr>
                <w:sz w:val="20"/>
                <w:szCs w:val="20"/>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Exhibit 4.2)</w:t>
            </w:r>
          </w:p>
        </w:tc>
      </w:tr>
    </w:tbl>
    <w:p>
      <w:pPr>
        <w:spacing w:after="0" w:line="20" w:lineRule="exact"/>
        <w:rPr>
          <w:sz w:val="20"/>
          <w:szCs w:val="20"/>
          <w:color w:val="auto"/>
        </w:rPr>
      </w:pPr>
      <w:r>
        <w:rPr>
          <w:sz w:val="20"/>
          <w:szCs w:val="20"/>
          <w:color w:val="auto"/>
        </w:rPr>
        <w:br w:type="column"/>
      </w:r>
    </w:p>
    <w:p>
      <w:pPr>
        <w:jc w:val="both"/>
        <w:ind w:right="699"/>
        <w:spacing w:after="0" w:line="312" w:lineRule="auto"/>
        <w:rPr>
          <w:sz w:val="20"/>
          <w:szCs w:val="20"/>
          <w:color w:val="auto"/>
        </w:rPr>
      </w:pPr>
      <w:r>
        <w:rPr>
          <w:rFonts w:ascii="Arial" w:cs="Arial" w:eastAsia="Arial" w:hAnsi="Arial"/>
          <w:sz w:val="16"/>
          <w:szCs w:val="16"/>
          <w:color w:val="auto"/>
        </w:rPr>
        <w:t>Incorporated herein by reference to the Registrant’s Current Report on Form 8-K filed January 14, 2010 (File No. 1-11593) [Included in Exhibit 4.2]</w:t>
      </w:r>
    </w:p>
    <w:p>
      <w:pPr>
        <w:spacing w:after="0" w:line="147" w:lineRule="exact"/>
        <w:rPr>
          <w:sz w:val="20"/>
          <w:szCs w:val="20"/>
          <w:color w:val="auto"/>
        </w:rPr>
      </w:pPr>
    </w:p>
    <w:p>
      <w:pPr>
        <w:sectPr>
          <w:pgSz w:w="11900" w:h="16838" w:orient="portrait"/>
          <w:cols w:equalWidth="0" w:num="2">
            <w:col w:w="5060" w:space="720"/>
            <w:col w:w="4439"/>
          </w:cols>
          <w:pgMar w:left="240" w:top="419" w:right="1440" w:bottom="865" w:gutter="0" w:footer="0" w:header="0"/>
          <w:type w:val="continuous"/>
        </w:sectPr>
      </w:pPr>
    </w:p>
    <w:tbl>
      <w:tblPr>
        <w:tblLayout w:type="fixed"/>
        <w:tblInd w:w="3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4720" w:type="dxa"/>
            <w:vAlign w:val="bottom"/>
          </w:tcPr>
          <w:p>
            <w:pPr>
              <w:ind w:left="360"/>
              <w:spacing w:after="0"/>
              <w:rPr>
                <w:sz w:val="20"/>
                <w:szCs w:val="20"/>
                <w:color w:val="auto"/>
              </w:rPr>
            </w:pPr>
            <w:r>
              <w:rPr>
                <w:rFonts w:ascii="Arial" w:cs="Arial" w:eastAsia="Arial" w:hAnsi="Arial"/>
                <w:sz w:val="18"/>
                <w:szCs w:val="18"/>
                <w:color w:val="auto"/>
                <w:w w:val="95"/>
              </w:rPr>
              <w:t>Specimen form of Deferred Stock Unit Award Agreement</w:t>
            </w:r>
          </w:p>
        </w:tc>
        <w:tc>
          <w:tcPr>
            <w:tcW w:w="37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for Nonemployee Directors (with Related Dividend</w:t>
            </w:r>
          </w:p>
        </w:tc>
        <w:tc>
          <w:tcPr>
            <w:tcW w:w="37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w w:val="98"/>
              </w:rPr>
              <w:t>Equivalents) used to evidence grants of Deferred Stock</w:t>
            </w:r>
          </w:p>
        </w:tc>
        <w:tc>
          <w:tcPr>
            <w:tcW w:w="37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w w:val="97"/>
              </w:rPr>
              <w:t>Units which may be made under The Scotts Miracle-Gro</w:t>
            </w:r>
          </w:p>
        </w:tc>
        <w:tc>
          <w:tcPr>
            <w:tcW w:w="37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Company Amended and Restated 2006 Long-Term</w:t>
            </w:r>
          </w:p>
        </w:tc>
        <w:tc>
          <w:tcPr>
            <w:tcW w:w="37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Incentive Plan (Deferral of Cash Retainer — post-</w:t>
            </w:r>
          </w:p>
        </w:tc>
        <w:tc>
          <w:tcPr>
            <w:tcW w:w="376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January 21, 2010 version)</w:t>
            </w:r>
          </w:p>
        </w:tc>
        <w:tc>
          <w:tcPr>
            <w:tcW w:w="3760" w:type="dxa"/>
            <w:vAlign w:val="bottom"/>
          </w:tcPr>
          <w:p>
            <w:pPr>
              <w:spacing w:after="0"/>
              <w:rPr>
                <w:sz w:val="20"/>
                <w:szCs w:val="20"/>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4720" w:type="dxa"/>
            <w:vAlign w:val="bottom"/>
          </w:tcPr>
          <w:p>
            <w:pPr>
              <w:ind w:left="360"/>
              <w:spacing w:after="0"/>
              <w:rPr>
                <w:sz w:val="20"/>
                <w:szCs w:val="20"/>
                <w:color w:val="auto"/>
              </w:rPr>
            </w:pPr>
            <w:r>
              <w:rPr>
                <w:rFonts w:ascii="Arial" w:cs="Arial" w:eastAsia="Arial" w:hAnsi="Arial"/>
                <w:sz w:val="18"/>
                <w:szCs w:val="18"/>
                <w:color w:val="auto"/>
                <w:w w:val="93"/>
              </w:rPr>
              <w:t>Specimen form of Restricted Stock Unit Award Agreement</w:t>
            </w:r>
          </w:p>
        </w:tc>
        <w:tc>
          <w:tcPr>
            <w:tcW w:w="37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w w:val="92"/>
              </w:rPr>
              <w:t>for Employees (with Related Dividend Equivalents) used to</w:t>
            </w:r>
          </w:p>
        </w:tc>
        <w:tc>
          <w:tcPr>
            <w:tcW w:w="37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w w:val="97"/>
              </w:rPr>
              <w:t>evidence grants of Restricted Stock Units which may be</w:t>
            </w:r>
          </w:p>
        </w:tc>
        <w:tc>
          <w:tcPr>
            <w:tcW w:w="37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w w:val="96"/>
              </w:rPr>
              <w:t>made under The Scotts Miracle-Gro Company Amended</w:t>
            </w:r>
          </w:p>
        </w:tc>
        <w:tc>
          <w:tcPr>
            <w:tcW w:w="37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and Restated 2006 Long-Term Incentive Plan (post-</w:t>
            </w:r>
          </w:p>
        </w:tc>
        <w:tc>
          <w:tcPr>
            <w:tcW w:w="376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January 19, 2010 version)</w:t>
            </w:r>
          </w:p>
        </w:tc>
        <w:tc>
          <w:tcPr>
            <w:tcW w:w="3760" w:type="dxa"/>
            <w:vAlign w:val="bottom"/>
          </w:tcPr>
          <w:p>
            <w:pPr>
              <w:spacing w:after="0"/>
              <w:rPr>
                <w:sz w:val="20"/>
                <w:szCs w:val="20"/>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4720" w:type="dxa"/>
            <w:vAlign w:val="bottom"/>
          </w:tcPr>
          <w:p>
            <w:pPr>
              <w:ind w:left="360"/>
              <w:spacing w:after="0"/>
              <w:rPr>
                <w:sz w:val="20"/>
                <w:szCs w:val="20"/>
                <w:color w:val="auto"/>
              </w:rPr>
            </w:pPr>
            <w:r>
              <w:rPr>
                <w:rFonts w:ascii="Arial" w:cs="Arial" w:eastAsia="Arial" w:hAnsi="Arial"/>
                <w:sz w:val="18"/>
                <w:szCs w:val="18"/>
                <w:color w:val="auto"/>
                <w:w w:val="93"/>
              </w:rPr>
              <w:t>Specimen form of Restricted Stock Unit Award Agreement</w:t>
            </w:r>
          </w:p>
        </w:tc>
        <w:tc>
          <w:tcPr>
            <w:tcW w:w="37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w w:val="92"/>
              </w:rPr>
              <w:t>for Employees (with Related Dividend Equivalents) used to</w:t>
            </w:r>
          </w:p>
        </w:tc>
        <w:tc>
          <w:tcPr>
            <w:tcW w:w="37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w w:val="97"/>
              </w:rPr>
              <w:t>evidence grants of Restricted Stock Units which may be</w:t>
            </w:r>
          </w:p>
        </w:tc>
        <w:tc>
          <w:tcPr>
            <w:tcW w:w="37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w w:val="96"/>
              </w:rPr>
              <w:t>made under The Scotts Miracle-Gro Company Amended</w:t>
            </w:r>
          </w:p>
        </w:tc>
        <w:tc>
          <w:tcPr>
            <w:tcW w:w="37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and Restated 2006 Long-Term Incentive Plan (French</w:t>
            </w:r>
          </w:p>
        </w:tc>
        <w:tc>
          <w:tcPr>
            <w:tcW w:w="376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Specimen) [post-January 19, 2010 version]</w:t>
            </w:r>
          </w:p>
        </w:tc>
        <w:tc>
          <w:tcPr>
            <w:tcW w:w="3760" w:type="dxa"/>
            <w:vAlign w:val="bottom"/>
          </w:tcPr>
          <w:p>
            <w:pPr>
              <w:spacing w:after="0"/>
              <w:rPr>
                <w:sz w:val="20"/>
                <w:szCs w:val="20"/>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4720" w:type="dxa"/>
            <w:vAlign w:val="bottom"/>
          </w:tcPr>
          <w:p>
            <w:pPr>
              <w:ind w:left="360"/>
              <w:spacing w:after="0"/>
              <w:rPr>
                <w:sz w:val="20"/>
                <w:szCs w:val="20"/>
                <w:color w:val="auto"/>
              </w:rPr>
            </w:pPr>
            <w:r>
              <w:rPr>
                <w:rFonts w:ascii="Arial" w:cs="Arial" w:eastAsia="Arial" w:hAnsi="Arial"/>
                <w:sz w:val="18"/>
                <w:szCs w:val="18"/>
                <w:color w:val="auto"/>
              </w:rPr>
              <w:t>Specimen form of Nonqualified Stock Option Award</w:t>
            </w:r>
          </w:p>
        </w:tc>
        <w:tc>
          <w:tcPr>
            <w:tcW w:w="37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Agreement for Employees used to evidence grants of</w:t>
            </w:r>
          </w:p>
        </w:tc>
        <w:tc>
          <w:tcPr>
            <w:tcW w:w="37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w w:val="92"/>
              </w:rPr>
              <w:t>Nonqualified Stock Options which may be made under The</w:t>
            </w:r>
          </w:p>
        </w:tc>
        <w:tc>
          <w:tcPr>
            <w:tcW w:w="37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w w:val="92"/>
              </w:rPr>
              <w:t>Scotts Miracle-Gro Company Amended and Restated 2006</w:t>
            </w:r>
          </w:p>
        </w:tc>
        <w:tc>
          <w:tcPr>
            <w:tcW w:w="376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w w:val="93"/>
              </w:rPr>
              <w:t>Long-Term Incentive Plan (post-January 19, 2010 version)</w:t>
            </w:r>
          </w:p>
        </w:tc>
        <w:tc>
          <w:tcPr>
            <w:tcW w:w="3760" w:type="dxa"/>
            <w:vAlign w:val="bottom"/>
          </w:tcPr>
          <w:p>
            <w:pPr>
              <w:spacing w:after="0"/>
              <w:rPr>
                <w:sz w:val="20"/>
                <w:szCs w:val="20"/>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4720" w:type="dxa"/>
            <w:vAlign w:val="bottom"/>
          </w:tcPr>
          <w:p>
            <w:pPr>
              <w:ind w:left="360"/>
              <w:spacing w:after="0"/>
              <w:rPr>
                <w:sz w:val="20"/>
                <w:szCs w:val="20"/>
                <w:color w:val="auto"/>
              </w:rPr>
            </w:pPr>
            <w:r>
              <w:rPr>
                <w:rFonts w:ascii="Arial" w:cs="Arial" w:eastAsia="Arial" w:hAnsi="Arial"/>
                <w:sz w:val="18"/>
                <w:szCs w:val="18"/>
                <w:color w:val="auto"/>
                <w:w w:val="97"/>
              </w:rPr>
              <w:t>First Amendment to Employment Agreement of Mark R.</w:t>
            </w:r>
          </w:p>
        </w:tc>
        <w:tc>
          <w:tcPr>
            <w:tcW w:w="3760" w:type="dxa"/>
            <w:vAlign w:val="bottom"/>
          </w:tcPr>
          <w:p>
            <w:pPr>
              <w:ind w:left="40"/>
              <w:spacing w:after="0"/>
              <w:rPr>
                <w:sz w:val="20"/>
                <w:szCs w:val="20"/>
                <w:color w:val="auto"/>
              </w:rPr>
            </w:pPr>
            <w:r>
              <w:rPr>
                <w:rFonts w:ascii="Arial" w:cs="Arial" w:eastAsia="Arial" w:hAnsi="Arial"/>
                <w:sz w:val="18"/>
                <w:szCs w:val="18"/>
                <w:color w:val="auto"/>
                <w:w w:val="89"/>
              </w:rPr>
              <w:t>Incorporated herein by reference to the Registrant’s</w:t>
            </w:r>
          </w:p>
        </w:tc>
      </w:tr>
      <w:tr>
        <w:trPr>
          <w:trHeight w:val="216"/>
        </w:trPr>
        <w:tc>
          <w:tcPr>
            <w:tcW w:w="6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Baker, effective as of December 10, 2009</w:t>
            </w:r>
          </w:p>
        </w:tc>
        <w:tc>
          <w:tcPr>
            <w:tcW w:w="3760" w:type="dxa"/>
            <w:vAlign w:val="bottom"/>
          </w:tcPr>
          <w:p>
            <w:pPr>
              <w:ind w:left="40"/>
              <w:spacing w:after="0"/>
              <w:rPr>
                <w:sz w:val="20"/>
                <w:szCs w:val="20"/>
                <w:color w:val="auto"/>
              </w:rPr>
            </w:pPr>
            <w:r>
              <w:rPr>
                <w:rFonts w:ascii="Arial" w:cs="Arial" w:eastAsia="Arial" w:hAnsi="Arial"/>
                <w:sz w:val="18"/>
                <w:szCs w:val="18"/>
                <w:color w:val="auto"/>
                <w:w w:val="97"/>
              </w:rPr>
              <w:t>Current Report on Form 8-K filed December 16,</w:t>
            </w:r>
          </w:p>
        </w:tc>
      </w:tr>
      <w:tr>
        <w:trPr>
          <w:trHeight w:val="230"/>
        </w:trPr>
        <w:tc>
          <w:tcPr>
            <w:tcW w:w="6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2009 (File No. 1-11593) [Exhibit 10.2]</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4720" w:type="dxa"/>
            <w:vAlign w:val="bottom"/>
          </w:tcPr>
          <w:p>
            <w:pPr>
              <w:ind w:left="360"/>
              <w:spacing w:after="0"/>
              <w:rPr>
                <w:sz w:val="20"/>
                <w:szCs w:val="20"/>
                <w:color w:val="auto"/>
              </w:rPr>
            </w:pPr>
            <w:r>
              <w:rPr>
                <w:rFonts w:ascii="Arial" w:cs="Arial" w:eastAsia="Arial" w:hAnsi="Arial"/>
                <w:sz w:val="18"/>
                <w:szCs w:val="18"/>
                <w:color w:val="auto"/>
              </w:rPr>
              <w:t>Rule 13a-14(a)/15d-14(a) Certifications (Principal</w:t>
            </w:r>
          </w:p>
        </w:tc>
        <w:tc>
          <w:tcPr>
            <w:tcW w:w="37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30"/>
        </w:trPr>
        <w:tc>
          <w:tcPr>
            <w:tcW w:w="680" w:type="dxa"/>
            <w:vAlign w:val="bottom"/>
          </w:tcPr>
          <w:p>
            <w:pPr>
              <w:spacing w:after="0"/>
              <w:rPr>
                <w:sz w:val="20"/>
                <w:szCs w:val="20"/>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Executive Officer)</w:t>
            </w:r>
          </w:p>
        </w:tc>
        <w:tc>
          <w:tcPr>
            <w:tcW w:w="3760" w:type="dxa"/>
            <w:vAlign w:val="bottom"/>
          </w:tcPr>
          <w:p>
            <w:pPr>
              <w:spacing w:after="0"/>
              <w:rPr>
                <w:sz w:val="20"/>
                <w:szCs w:val="20"/>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4720" w:type="dxa"/>
            <w:vAlign w:val="bottom"/>
          </w:tcPr>
          <w:p>
            <w:pPr>
              <w:ind w:left="360"/>
              <w:spacing w:after="0"/>
              <w:rPr>
                <w:sz w:val="20"/>
                <w:szCs w:val="20"/>
                <w:color w:val="auto"/>
              </w:rPr>
            </w:pPr>
            <w:r>
              <w:rPr>
                <w:rFonts w:ascii="Arial" w:cs="Arial" w:eastAsia="Arial" w:hAnsi="Arial"/>
                <w:sz w:val="18"/>
                <w:szCs w:val="18"/>
                <w:color w:val="auto"/>
              </w:rPr>
              <w:t>Rule 13a-14(a)/15d-14(a) Certifications (Principal</w:t>
            </w:r>
          </w:p>
        </w:tc>
        <w:tc>
          <w:tcPr>
            <w:tcW w:w="37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30"/>
        </w:trPr>
        <w:tc>
          <w:tcPr>
            <w:tcW w:w="680" w:type="dxa"/>
            <w:vAlign w:val="bottom"/>
          </w:tcPr>
          <w:p>
            <w:pPr>
              <w:spacing w:after="0"/>
              <w:rPr>
                <w:sz w:val="20"/>
                <w:szCs w:val="20"/>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Financial Officer)</w:t>
            </w:r>
          </w:p>
        </w:tc>
        <w:tc>
          <w:tcPr>
            <w:tcW w:w="3760" w:type="dxa"/>
            <w:vAlign w:val="bottom"/>
          </w:tcPr>
          <w:p>
            <w:pPr>
              <w:spacing w:after="0"/>
              <w:rPr>
                <w:sz w:val="20"/>
                <w:szCs w:val="20"/>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4720" w:type="dxa"/>
            <w:vAlign w:val="bottom"/>
          </w:tcPr>
          <w:p>
            <w:pPr>
              <w:ind w:left="360"/>
              <w:spacing w:after="0"/>
              <w:rPr>
                <w:sz w:val="20"/>
                <w:szCs w:val="20"/>
                <w:color w:val="auto"/>
              </w:rPr>
            </w:pPr>
            <w:r>
              <w:rPr>
                <w:rFonts w:ascii="Arial" w:cs="Arial" w:eastAsia="Arial" w:hAnsi="Arial"/>
                <w:sz w:val="18"/>
                <w:szCs w:val="18"/>
                <w:color w:val="auto"/>
                <w:w w:val="99"/>
              </w:rPr>
              <w:t>Section 1350 Certifications (Principal Executive Officer</w:t>
            </w:r>
          </w:p>
        </w:tc>
        <w:tc>
          <w:tcPr>
            <w:tcW w:w="37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30"/>
        </w:trPr>
        <w:tc>
          <w:tcPr>
            <w:tcW w:w="680" w:type="dxa"/>
            <w:vAlign w:val="bottom"/>
          </w:tcPr>
          <w:p>
            <w:pPr>
              <w:spacing w:after="0"/>
              <w:rPr>
                <w:sz w:val="20"/>
                <w:szCs w:val="20"/>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and Principal Financial Officer)</w:t>
            </w:r>
          </w:p>
        </w:tc>
        <w:tc>
          <w:tcPr>
            <w:tcW w:w="3760" w:type="dxa"/>
            <w:vAlign w:val="bottom"/>
          </w:tcPr>
          <w:p>
            <w:pPr>
              <w:spacing w:after="0"/>
              <w:rPr>
                <w:sz w:val="20"/>
                <w:szCs w:val="20"/>
                <w:color w:val="auto"/>
              </w:rPr>
            </w:pPr>
          </w:p>
        </w:tc>
      </w:tr>
    </w:tbl>
    <w:p>
      <w:pPr>
        <w:spacing w:after="0" w:line="107"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0219"/>
          </w:cols>
          <w:pgMar w:left="240" w:top="419" w:right="1440" w:bottom="865"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219"/>
          </w:cols>
          <w:pgMar w:left="240" w:top="419" w:right="1440" w:bottom="865" w:gutter="0" w:footer="0" w:header="0"/>
          <w:type w:val="continuous"/>
        </w:sectPr>
      </w:pPr>
    </w:p>
    <w:bookmarkStart w:id="50" w:name="page51"/>
    <w:bookmarkEnd w:id="50"/>
    <w:p>
      <w:pPr>
        <w:ind w:left="8200"/>
        <w:spacing w:after="0"/>
        <w:rPr>
          <w:sz w:val="20"/>
          <w:szCs w:val="20"/>
          <w:color w:val="auto"/>
        </w:rPr>
      </w:pPr>
      <w:r>
        <w:rPr>
          <w:rFonts w:ascii="Arial" w:cs="Arial" w:eastAsia="Arial" w:hAnsi="Arial"/>
          <w:sz w:val="18"/>
          <w:szCs w:val="18"/>
          <w:b w:val="1"/>
          <w:bCs w:val="1"/>
          <w:color w:val="auto"/>
        </w:rPr>
        <w:t>EXHIBIT 10.1</w:t>
      </w:r>
    </w:p>
    <w:p>
      <w:pPr>
        <w:spacing w:after="0" w:line="18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Form of Agreement — Deferral of Cash Retainer</w:t>
      </w:r>
    </w:p>
    <w:p>
      <w:pPr>
        <w:spacing w:after="0" w:line="194"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2006 LONG-TERM INCENTIVE PLAN</w:t>
      </w:r>
    </w:p>
    <w:p>
      <w:pPr>
        <w:spacing w:after="0" w:line="16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DEFERRED STOCK UNIT AWARD AGREEMENT</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FOR NONEMPLOYEE DIRECTORS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(WITH RELATED DIVIDEND EQUIVALENTS)</w:t>
      </w:r>
    </w:p>
    <w:p>
      <w:pPr>
        <w:spacing w:after="0" w:line="16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DEFERRED STOCK UNITS GRANTED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[Director’s Name] ON [Grant Date]</w:t>
      </w:r>
    </w:p>
    <w:p>
      <w:pPr>
        <w:spacing w:after="0" w:line="184" w:lineRule="exact"/>
        <w:rPr>
          <w:sz w:val="20"/>
          <w:szCs w:val="20"/>
          <w:color w:val="auto"/>
        </w:rPr>
      </w:pPr>
    </w:p>
    <w:p>
      <w:pPr>
        <w:jc w:val="both"/>
        <w:ind w:right="559"/>
        <w:spacing w:after="0" w:line="276"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members of its Board of Directors, like you, may acquire (or share in the appreciation of) common shares, without par value, of the Company (“Shares”). Capitalized terms that are not defined in this Award Agreement have the same meanings as in the Plan.</w:t>
      </w:r>
    </w:p>
    <w:p>
      <w:pPr>
        <w:spacing w:after="0" w:line="132"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130" w:lineRule="exact"/>
        <w:rPr>
          <w:sz w:val="20"/>
          <w:szCs w:val="20"/>
          <w:color w:val="auto"/>
        </w:rPr>
      </w:pPr>
    </w:p>
    <w:p>
      <w:pPr>
        <w:ind w:left="700" w:hanging="343"/>
        <w:spacing w:after="0"/>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Read the Plan and this Award Agreement carefully; and</w:t>
      </w:r>
    </w:p>
    <w:p>
      <w:pPr>
        <w:spacing w:after="0" w:line="198" w:lineRule="exact"/>
        <w:rPr>
          <w:rFonts w:ascii="Arial" w:cs="Arial" w:eastAsia="Arial" w:hAnsi="Arial"/>
          <w:sz w:val="18"/>
          <w:szCs w:val="18"/>
          <w:b w:val="1"/>
          <w:bCs w:val="1"/>
          <w:color w:val="auto"/>
        </w:rPr>
      </w:pPr>
    </w:p>
    <w:p>
      <w:pPr>
        <w:ind w:left="700" w:right="559" w:hanging="343"/>
        <w:spacing w:after="0" w:line="277" w:lineRule="auto"/>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Contact [Title] at [Telephone Number] if you have any questions about your Award. Or, you may send a written inquiry to the address shown below:</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Marysville, Ohio 43041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9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[TPA Contact’s Address]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[TPA Telephone Number]</w:t>
      </w:r>
    </w:p>
    <w:p>
      <w:pPr>
        <w:spacing w:after="0" w:line="185" w:lineRule="exact"/>
        <w:rPr>
          <w:sz w:val="20"/>
          <w:szCs w:val="20"/>
          <w:color w:val="auto"/>
        </w:rPr>
      </w:pPr>
    </w:p>
    <w:p>
      <w:pPr>
        <w:jc w:val="both"/>
        <w:ind w:right="559"/>
        <w:spacing w:after="0" w:line="312" w:lineRule="auto"/>
        <w:rPr>
          <w:sz w:val="20"/>
          <w:szCs w:val="20"/>
          <w:color w:val="auto"/>
        </w:rPr>
      </w:pPr>
      <w:r>
        <w:rPr>
          <w:rFonts w:ascii="Arial" w:cs="Arial" w:eastAsia="Arial" w:hAnsi="Arial"/>
          <w:sz w:val="16"/>
          <w:szCs w:val="16"/>
          <w:color w:val="auto"/>
        </w:rPr>
        <w:t>The Company intends that this Award satisfy the requirements of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606425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1" w:name="page52"/>
    <w:bookmarkEnd w:id="51"/>
    <w:p>
      <w:pPr>
        <w:ind w:left="8"/>
        <w:spacing w:after="0"/>
        <w:rPr>
          <w:sz w:val="20"/>
          <w:szCs w:val="20"/>
          <w:color w:val="auto"/>
        </w:rPr>
      </w:pPr>
      <w:r>
        <w:rPr>
          <w:rFonts w:ascii="Arial" w:cs="Arial" w:eastAsia="Arial" w:hAnsi="Arial"/>
          <w:sz w:val="18"/>
          <w:szCs w:val="18"/>
          <w:b w:val="1"/>
          <w:bCs w:val="1"/>
          <w:color w:val="auto"/>
        </w:rPr>
        <w:t>1. DESCRIPTION OF YOUR DEFERRED STOCK UNITS</w:t>
      </w:r>
    </w:p>
    <w:p>
      <w:pPr>
        <w:spacing w:after="0" w:line="202" w:lineRule="exact"/>
        <w:rPr>
          <w:sz w:val="20"/>
          <w:szCs w:val="20"/>
          <w:color w:val="auto"/>
        </w:rPr>
      </w:pPr>
    </w:p>
    <w:p>
      <w:pPr>
        <w:jc w:val="both"/>
        <w:ind w:left="8" w:right="559"/>
        <w:spacing w:after="0" w:line="293" w:lineRule="auto"/>
        <w:rPr>
          <w:sz w:val="20"/>
          <w:szCs w:val="20"/>
          <w:color w:val="auto"/>
        </w:rPr>
      </w:pPr>
      <w:r>
        <w:rPr>
          <w:rFonts w:ascii="Arial" w:cs="Arial" w:eastAsia="Arial" w:hAnsi="Arial"/>
          <w:sz w:val="16"/>
          <w:szCs w:val="16"/>
          <w:color w:val="auto"/>
        </w:rPr>
        <w:t>You have been granted [insert Number] of deferred stock units (“DSUs”) and an equal number of related dividend equivalents, subject to the terms and conditions of the Plan and this Award Agreement. The “Grant Date” of your Award is [insert Grant Date]. Each whole DSU represents the right to receive one full Share at the time and in the manner described in this Award Agreement. Each dividend equivalent represents the right to receive additional DSUs (determined in accordance with Section 3(c)) in respect of the dividends that are declared and paid during the period beginning on the Grant Date and ending on the Settlement Date (as described in Section 2(b)) with respect to the Share represented by the related DSU.</w:t>
      </w:r>
    </w:p>
    <w:p>
      <w:pPr>
        <w:spacing w:after="0" w:line="120" w:lineRule="exact"/>
        <w:rPr>
          <w:sz w:val="20"/>
          <w:szCs w:val="20"/>
          <w:color w:val="auto"/>
        </w:rPr>
      </w:pPr>
    </w:p>
    <w:p>
      <w:pPr>
        <w:ind w:left="188" w:hanging="188"/>
        <w:spacing w:after="0"/>
        <w:tabs>
          <w:tab w:leader="none" w:pos="18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w:t>
      </w:r>
    </w:p>
    <w:p>
      <w:pPr>
        <w:spacing w:after="0" w:line="184" w:lineRule="exact"/>
        <w:rPr>
          <w:rFonts w:ascii="Arial" w:cs="Arial" w:eastAsia="Arial" w:hAnsi="Arial"/>
          <w:sz w:val="18"/>
          <w:szCs w:val="18"/>
          <w:b w:val="1"/>
          <w:bCs w:val="1"/>
          <w:color w:val="auto"/>
        </w:rPr>
      </w:pPr>
    </w:p>
    <w:p>
      <w:pPr>
        <w:ind w:left="8" w:right="559" w:firstLine="365"/>
        <w:spacing w:after="0" w:line="282" w:lineRule="auto"/>
        <w:tabs>
          <w:tab w:leader="none" w:pos="626"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Your DSUs (and any related Dividend Equivalents received pursuant to Section 3(e) following the 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are 100% vested on the date they are credited to you.</w:t>
      </w:r>
    </w:p>
    <w:p>
      <w:pPr>
        <w:spacing w:after="0" w:line="134" w:lineRule="exact"/>
        <w:rPr>
          <w:rFonts w:ascii="Arial" w:cs="Arial" w:eastAsia="Arial" w:hAnsi="Arial"/>
          <w:sz w:val="18"/>
          <w:szCs w:val="18"/>
          <w:color w:val="auto"/>
        </w:rPr>
      </w:pPr>
    </w:p>
    <w:p>
      <w:pPr>
        <w:jc w:val="both"/>
        <w:ind w:left="8" w:right="559" w:firstLine="365"/>
        <w:spacing w:after="0" w:line="274" w:lineRule="auto"/>
        <w:tabs>
          <w:tab w:leader="none" w:pos="690" w:val="left"/>
        </w:tabs>
        <w:numPr>
          <w:ilvl w:val="1"/>
          <w:numId w:val="16"/>
        </w:numPr>
        <w:rPr>
          <w:rFonts w:ascii="Arial" w:cs="Arial" w:eastAsia="Arial" w:hAnsi="Arial"/>
          <w:sz w:val="17"/>
          <w:szCs w:val="17"/>
          <w:color w:val="auto"/>
        </w:rPr>
      </w:pPr>
      <w:r>
        <w:rPr>
          <w:rFonts w:ascii="Arial" w:cs="Arial" w:eastAsia="Arial" w:hAnsi="Arial"/>
          <w:sz w:val="17"/>
          <w:szCs w:val="17"/>
          <w:b w:val="1"/>
          <w:bCs w:val="1"/>
          <w:color w:val="auto"/>
        </w:rPr>
        <w:t>Settlement</w:t>
      </w:r>
      <w:r>
        <w:rPr>
          <w:rFonts w:ascii="Arial" w:cs="Arial" w:eastAsia="Arial" w:hAnsi="Arial"/>
          <w:sz w:val="17"/>
          <w:szCs w:val="17"/>
          <w:color w:val="auto"/>
        </w:rPr>
        <w:t>. Subject to the terms of the Plan, your vested DSUs shall be settled in a lump sum as soon as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administratively practicable, but no later than 90 days, following the earliest to occur of: (i) your Termination; (ii) your death; (iii) the date you become Disabled (as defined below); or (iv) the fifth anniversary of the Grant Date (the “Settlement Date”). Your whole DSUs shall be settled in full Shares, and any fractional DSU shall be settled in cash, determined based upon the Fair Market Value of a Share on the Settlement Date. For purposes of this Award Agreement, “Disabled” means that you have been determined to be totally disabled by the Social Security Administration.</w:t>
      </w:r>
    </w:p>
    <w:p>
      <w:pPr>
        <w:spacing w:after="0" w:line="133" w:lineRule="exact"/>
        <w:rPr>
          <w:rFonts w:ascii="Arial" w:cs="Arial" w:eastAsia="Arial" w:hAnsi="Arial"/>
          <w:sz w:val="17"/>
          <w:szCs w:val="17"/>
          <w:color w:val="auto"/>
        </w:rPr>
      </w:pPr>
    </w:p>
    <w:p>
      <w:pPr>
        <w:ind w:left="188" w:hanging="188"/>
        <w:spacing w:after="0"/>
        <w:tabs>
          <w:tab w:leader="none" w:pos="18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84" w:lineRule="exact"/>
        <w:rPr>
          <w:rFonts w:ascii="Arial" w:cs="Arial" w:eastAsia="Arial" w:hAnsi="Arial"/>
          <w:sz w:val="18"/>
          <w:szCs w:val="18"/>
          <w:b w:val="1"/>
          <w:bCs w:val="1"/>
          <w:color w:val="auto"/>
        </w:rPr>
      </w:pPr>
    </w:p>
    <w:p>
      <w:pPr>
        <w:ind w:left="8" w:right="559" w:firstLine="365"/>
        <w:spacing w:after="0" w:line="282" w:lineRule="auto"/>
        <w:tabs>
          <w:tab w:leader="none" w:pos="626"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or the Plan at any time.</w:t>
      </w:r>
    </w:p>
    <w:p>
      <w:pPr>
        <w:spacing w:after="0" w:line="134" w:lineRule="exact"/>
        <w:rPr>
          <w:rFonts w:ascii="Arial" w:cs="Arial" w:eastAsia="Arial" w:hAnsi="Arial"/>
          <w:sz w:val="18"/>
          <w:szCs w:val="18"/>
          <w:color w:val="auto"/>
        </w:rPr>
      </w:pPr>
    </w:p>
    <w:p>
      <w:pPr>
        <w:jc w:val="both"/>
        <w:ind w:left="8" w:right="559" w:firstLine="365"/>
        <w:spacing w:after="0" w:line="266" w:lineRule="auto"/>
        <w:tabs>
          <w:tab w:leader="none" w:pos="636"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DSUs ARE SETTLED. </w:t>
      </w:r>
      <w:r>
        <w:rPr>
          <w:rFonts w:ascii="Arial" w:cs="Arial" w:eastAsia="Arial" w:hAnsi="Arial"/>
          <w:sz w:val="18"/>
          <w:szCs w:val="18"/>
          <w:color w:val="auto"/>
        </w:rPr>
        <w:t>Except as provided in Section 3(c) below, you will have none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of a shareholder with respect to Shares underlying the DSUs unless and until you become the record holder of such Shares.</w:t>
      </w:r>
    </w:p>
    <w:p>
      <w:pPr>
        <w:spacing w:after="0" w:line="135" w:lineRule="exact"/>
        <w:rPr>
          <w:rFonts w:ascii="Arial" w:cs="Arial" w:eastAsia="Arial" w:hAnsi="Arial"/>
          <w:sz w:val="18"/>
          <w:szCs w:val="18"/>
          <w:color w:val="auto"/>
        </w:rPr>
      </w:pPr>
    </w:p>
    <w:p>
      <w:pPr>
        <w:ind w:left="628" w:hanging="255"/>
        <w:spacing w:after="0"/>
        <w:tabs>
          <w:tab w:leader="none" w:pos="628"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DIVIDEND EQUIVALENTS</w:t>
      </w:r>
      <w:r>
        <w:rPr>
          <w:rFonts w:ascii="Arial" w:cs="Arial" w:eastAsia="Arial" w:hAnsi="Arial"/>
          <w:sz w:val="18"/>
          <w:szCs w:val="18"/>
          <w:color w:val="auto"/>
        </w:rPr>
        <w:t>. With respect to each dividend equivalent:</w:t>
      </w:r>
    </w:p>
    <w:p>
      <w:pPr>
        <w:spacing w:after="0" w:line="188" w:lineRule="exact"/>
        <w:rPr>
          <w:rFonts w:ascii="Arial" w:cs="Arial" w:eastAsia="Arial" w:hAnsi="Arial"/>
          <w:sz w:val="18"/>
          <w:szCs w:val="18"/>
          <w:color w:val="auto"/>
        </w:rPr>
      </w:pPr>
    </w:p>
    <w:p>
      <w:pPr>
        <w:ind w:left="8" w:right="559" w:firstLine="739"/>
        <w:spacing w:after="0" w:line="277" w:lineRule="auto"/>
        <w:tabs>
          <w:tab w:leader="none" w:pos="969" w:val="left"/>
        </w:tabs>
        <w:numPr>
          <w:ilvl w:val="2"/>
          <w:numId w:val="16"/>
        </w:numPr>
        <w:rPr>
          <w:rFonts w:ascii="Arial" w:cs="Arial" w:eastAsia="Arial" w:hAnsi="Arial"/>
          <w:sz w:val="18"/>
          <w:szCs w:val="18"/>
          <w:color w:val="auto"/>
        </w:rPr>
      </w:pPr>
      <w:r>
        <w:rPr>
          <w:rFonts w:ascii="Arial" w:cs="Arial" w:eastAsia="Arial" w:hAnsi="Arial"/>
          <w:sz w:val="18"/>
          <w:szCs w:val="18"/>
          <w:color w:val="auto"/>
        </w:rPr>
        <w:t>If a cash dividend is declared and paid on the Shares underlying the DSUs, you will receive an additional number of DSUs equal to the quotient of:</w:t>
      </w:r>
    </w:p>
    <w:p>
      <w:pPr>
        <w:spacing w:after="0" w:line="143" w:lineRule="exact"/>
        <w:rPr>
          <w:rFonts w:ascii="Arial" w:cs="Arial" w:eastAsia="Arial" w:hAnsi="Arial"/>
          <w:sz w:val="18"/>
          <w:szCs w:val="18"/>
          <w:color w:val="auto"/>
        </w:rPr>
      </w:pPr>
    </w:p>
    <w:p>
      <w:pPr>
        <w:jc w:val="both"/>
        <w:ind w:left="748" w:right="559" w:firstLine="342"/>
        <w:spacing w:after="0" w:line="264" w:lineRule="auto"/>
        <w:tabs>
          <w:tab w:leader="none" w:pos="1414" w:val="left"/>
        </w:tabs>
        <w:numPr>
          <w:ilvl w:val="3"/>
          <w:numId w:val="16"/>
        </w:numPr>
        <w:rPr>
          <w:rFonts w:ascii="Arial" w:cs="Arial" w:eastAsia="Arial" w:hAnsi="Arial"/>
          <w:sz w:val="18"/>
          <w:szCs w:val="18"/>
          <w:color w:val="auto"/>
        </w:rPr>
      </w:pPr>
      <w:r>
        <w:rPr>
          <w:rFonts w:ascii="Arial" w:cs="Arial" w:eastAsia="Arial" w:hAnsi="Arial"/>
          <w:sz w:val="18"/>
          <w:szCs w:val="18"/>
          <w:color w:val="auto"/>
        </w:rPr>
        <w:t>the product of (I) the number of DSUs granted under this Award Agreement (including additional DSUs previously received in accordance with this Section 3(c)) that have not been settled as of the dividend payment date, multiplied by (II) the amount of the cash dividend paid per Share; divided by</w:t>
      </w:r>
    </w:p>
    <w:p>
      <w:pPr>
        <w:spacing w:after="0" w:line="140" w:lineRule="exact"/>
        <w:rPr>
          <w:rFonts w:ascii="Arial" w:cs="Arial" w:eastAsia="Arial" w:hAnsi="Arial"/>
          <w:sz w:val="18"/>
          <w:szCs w:val="18"/>
          <w:color w:val="auto"/>
        </w:rPr>
      </w:pPr>
    </w:p>
    <w:p>
      <w:pPr>
        <w:ind w:left="1388" w:hanging="298"/>
        <w:spacing w:after="0"/>
        <w:tabs>
          <w:tab w:leader="none" w:pos="1388" w:val="left"/>
        </w:tabs>
        <w:numPr>
          <w:ilvl w:val="3"/>
          <w:numId w:val="16"/>
        </w:numPr>
        <w:rPr>
          <w:rFonts w:ascii="Arial" w:cs="Arial" w:eastAsia="Arial" w:hAnsi="Arial"/>
          <w:sz w:val="16"/>
          <w:szCs w:val="16"/>
          <w:color w:val="auto"/>
        </w:rPr>
      </w:pPr>
      <w:r>
        <w:rPr>
          <w:rFonts w:ascii="Arial" w:cs="Arial" w:eastAsia="Arial" w:hAnsi="Arial"/>
          <w:sz w:val="16"/>
          <w:szCs w:val="16"/>
          <w:color w:val="auto"/>
        </w:rPr>
        <w:t>the Fair Market Value (which shall be equal to the closing price) of a Share on the date such cash dividend is</w:t>
      </w:r>
    </w:p>
    <w:p>
      <w:pPr>
        <w:spacing w:after="0" w:line="46" w:lineRule="exact"/>
        <w:rPr>
          <w:rFonts w:ascii="Arial" w:cs="Arial" w:eastAsia="Arial" w:hAnsi="Arial"/>
          <w:sz w:val="16"/>
          <w:szCs w:val="16"/>
          <w:color w:val="auto"/>
        </w:rPr>
      </w:pPr>
    </w:p>
    <w:p>
      <w:pPr>
        <w:ind w:left="748"/>
        <w:spacing w:after="0"/>
        <w:rPr>
          <w:rFonts w:ascii="Arial" w:cs="Arial" w:eastAsia="Arial" w:hAnsi="Arial"/>
          <w:sz w:val="16"/>
          <w:szCs w:val="16"/>
          <w:color w:val="auto"/>
        </w:rPr>
      </w:pPr>
      <w:r>
        <w:rPr>
          <w:rFonts w:ascii="Arial" w:cs="Arial" w:eastAsia="Arial" w:hAnsi="Arial"/>
          <w:sz w:val="18"/>
          <w:szCs w:val="18"/>
          <w:color w:val="auto"/>
        </w:rPr>
        <w:t>paid.</w:t>
      </w:r>
    </w:p>
    <w:p>
      <w:pPr>
        <w:spacing w:after="0" w:line="170" w:lineRule="exact"/>
        <w:rPr>
          <w:sz w:val="20"/>
          <w:szCs w:val="20"/>
          <w:color w:val="auto"/>
        </w:rPr>
      </w:pPr>
    </w:p>
    <w:p>
      <w:pPr>
        <w:ind w:left="8" w:right="559" w:firstLine="373"/>
        <w:spacing w:after="0" w:line="277" w:lineRule="auto"/>
        <w:rPr>
          <w:sz w:val="20"/>
          <w:szCs w:val="20"/>
          <w:color w:val="auto"/>
        </w:rPr>
      </w:pPr>
      <w:r>
        <w:rPr>
          <w:rFonts w:ascii="Arial" w:cs="Arial" w:eastAsia="Arial" w:hAnsi="Arial"/>
          <w:sz w:val="18"/>
          <w:szCs w:val="18"/>
          <w:color w:val="auto"/>
        </w:rPr>
        <w:t>Any additional DSU credited pursuant to this Section 3(e)(i) shall be subject to the same terms and conditions as the DSUs granted pursuant to Section 1 above.</w:t>
      </w:r>
    </w:p>
    <w:p>
      <w:pPr>
        <w:spacing w:after="0" w:line="200" w:lineRule="exact"/>
        <w:rPr>
          <w:sz w:val="20"/>
          <w:szCs w:val="20"/>
          <w:color w:val="auto"/>
        </w:rPr>
      </w:pPr>
    </w:p>
    <w:p>
      <w:pPr>
        <w:spacing w:after="0" w:line="335"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52" w:name="page53"/>
    <w:bookmarkEnd w:id="52"/>
    <w:p>
      <w:pPr>
        <w:jc w:val="both"/>
        <w:ind w:left="-365" w:right="559" w:firstLine="739"/>
        <w:spacing w:after="0" w:line="276" w:lineRule="auto"/>
        <w:tabs>
          <w:tab w:leader="none" w:pos="649" w:val="left"/>
        </w:tabs>
        <w:numPr>
          <w:ilvl w:val="1"/>
          <w:numId w:val="17"/>
        </w:numPr>
        <w:rPr>
          <w:rFonts w:ascii="Arial" w:cs="Arial" w:eastAsia="Arial" w:hAnsi="Arial"/>
          <w:sz w:val="17"/>
          <w:szCs w:val="17"/>
          <w:color w:val="auto"/>
        </w:rPr>
      </w:pPr>
      <w:r>
        <w:rPr>
          <w:rFonts w:ascii="Arial" w:cs="Arial" w:eastAsia="Arial" w:hAnsi="Arial"/>
          <w:sz w:val="17"/>
          <w:szCs w:val="17"/>
          <w:color w:val="auto"/>
        </w:rPr>
        <w:t>If a Share dividend is declared and paid on the Shares underlying the DSUs, you will receive an additional number of DSUs equal to the product of (A) the number of DSUs granted under this Award Agreement (including additional DSUs previously received in accordance with this Section 3(c)) that have not been settled as of the dividend payment date, multiplied by (B) the dividend paid per Share. Any additional DSUs credited pursuant to this Section 3(c)(ii) shall be subject to the same terms and conditions as the DSUs granted pursuant to Section 1 above.</w:t>
      </w:r>
    </w:p>
    <w:p>
      <w:pPr>
        <w:spacing w:after="0" w:line="145" w:lineRule="exact"/>
        <w:rPr>
          <w:rFonts w:ascii="Arial" w:cs="Arial" w:eastAsia="Arial" w:hAnsi="Arial"/>
          <w:sz w:val="17"/>
          <w:szCs w:val="17"/>
          <w:color w:val="auto"/>
        </w:rPr>
      </w:pPr>
    </w:p>
    <w:p>
      <w:pPr>
        <w:ind w:left="-365" w:right="559" w:firstLine="739"/>
        <w:spacing w:after="0" w:line="277" w:lineRule="auto"/>
        <w:tabs>
          <w:tab w:leader="none" w:pos="70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fractional number of DSUs resulting from the calculations under this Section 3(c) shall be rounded to the nearest whole Share.</w:t>
      </w:r>
    </w:p>
    <w:p>
      <w:pPr>
        <w:spacing w:after="0" w:line="125" w:lineRule="exact"/>
        <w:rPr>
          <w:rFonts w:ascii="Arial" w:cs="Arial" w:eastAsia="Arial" w:hAnsi="Arial"/>
          <w:sz w:val="18"/>
          <w:szCs w:val="18"/>
          <w:color w:val="auto"/>
        </w:rPr>
      </w:pPr>
    </w:p>
    <w:p>
      <w:pPr>
        <w:jc w:val="both"/>
        <w:ind w:left="-365" w:right="559" w:firstLine="365"/>
        <w:spacing w:after="0" w:line="256" w:lineRule="auto"/>
        <w:tabs>
          <w:tab w:leader="none" w:pos="29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any DSUs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equivalents that vest before you die but are settled after you die. This may be done only on a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47" w:lineRule="exact"/>
        <w:rPr>
          <w:rFonts w:ascii="Arial" w:cs="Arial" w:eastAsia="Arial" w:hAnsi="Arial"/>
          <w:sz w:val="18"/>
          <w:szCs w:val="18"/>
          <w:color w:val="auto"/>
        </w:rPr>
      </w:pPr>
    </w:p>
    <w:p>
      <w:pPr>
        <w:jc w:val="both"/>
        <w:ind w:left="-365" w:right="559" w:firstLine="365"/>
        <w:spacing w:after="0" w:line="256" w:lineRule="auto"/>
        <w:tabs>
          <w:tab w:leader="none" w:pos="279"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TRANSFERRING YOUR DSUs AND RELATED DIVIDEND EQUIVALENTS. </w:t>
      </w:r>
      <w:r>
        <w:rPr>
          <w:rFonts w:ascii="Arial" w:cs="Arial" w:eastAsia="Arial" w:hAnsi="Arial"/>
          <w:sz w:val="18"/>
          <w:szCs w:val="18"/>
          <w:color w:val="auto"/>
        </w:rPr>
        <w:t>Normally your DSUs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dividend equivalents may not be transferred to another person. However, as described in Section 3(d), you may complete a Beneficiary Designation Form to name the person to receive any DSUs and related dividend equivalents that vest before you die but are settled after you die. Also, the Committee may allow you to place your DSUs and dividend equivalents into a trust established for your benefit or the benefit of your family. Contact [Third Party Administrator] at [TPA Telephone Number] or at the address given above if you are interested in doing this.</w:t>
      </w:r>
    </w:p>
    <w:p>
      <w:pPr>
        <w:spacing w:after="0" w:line="160" w:lineRule="exact"/>
        <w:rPr>
          <w:rFonts w:ascii="Arial" w:cs="Arial" w:eastAsia="Arial" w:hAnsi="Arial"/>
          <w:sz w:val="18"/>
          <w:szCs w:val="18"/>
          <w:color w:val="auto"/>
        </w:rPr>
      </w:pPr>
    </w:p>
    <w:p>
      <w:pPr>
        <w:jc w:val="both"/>
        <w:ind w:left="-365" w:right="559" w:firstLine="365"/>
        <w:spacing w:after="0" w:line="266"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the Plan to the substantive law of another jurisdiction.</w:t>
      </w:r>
    </w:p>
    <w:p>
      <w:pPr>
        <w:spacing w:after="0" w:line="135" w:lineRule="exact"/>
        <w:rPr>
          <w:rFonts w:ascii="Arial" w:cs="Arial" w:eastAsia="Arial" w:hAnsi="Arial"/>
          <w:sz w:val="18"/>
          <w:szCs w:val="18"/>
          <w:color w:val="auto"/>
        </w:rPr>
      </w:pPr>
    </w:p>
    <w:p>
      <w:pPr>
        <w:jc w:val="both"/>
        <w:ind w:left="-365" w:right="559" w:firstLine="365"/>
        <w:spacing w:after="0" w:line="266" w:lineRule="auto"/>
        <w:tabs>
          <w:tab w:leader="none" w:pos="276"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Your DSUs and the related dividend equivalents will be subject to the terms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agreements between you and the Company or any Affiliate or Subsidiary to the extent that those other agreements do not directly conflict with the terms of the Plan or this Award Agreement.</w:t>
      </w:r>
    </w:p>
    <w:p>
      <w:pPr>
        <w:spacing w:after="0" w:line="135" w:lineRule="exact"/>
        <w:rPr>
          <w:rFonts w:ascii="Arial" w:cs="Arial" w:eastAsia="Arial" w:hAnsi="Arial"/>
          <w:sz w:val="18"/>
          <w:szCs w:val="18"/>
          <w:color w:val="auto"/>
        </w:rPr>
      </w:pPr>
    </w:p>
    <w:p>
      <w:pPr>
        <w:jc w:val="both"/>
        <w:ind w:left="-365" w:right="559" w:firstLine="365"/>
        <w:spacing w:after="0" w:line="266" w:lineRule="auto"/>
        <w:tabs>
          <w:tab w:leader="none" w:pos="26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ADJUSTMENTS TO YOUR DSUs. </w:t>
      </w:r>
      <w:r>
        <w:rPr>
          <w:rFonts w:ascii="Arial" w:cs="Arial" w:eastAsia="Arial" w:hAnsi="Arial"/>
          <w:sz w:val="18"/>
          <w:szCs w:val="18"/>
          <w:color w:val="auto"/>
        </w:rPr>
        <w:t>Subject to the terms of the Plan, your DSUs and the related 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adjusted, if appropriate, to reflect any change to the Company’s capital structure (</w:t>
      </w:r>
      <w:r>
        <w:rPr>
          <w:rFonts w:ascii="Arial" w:cs="Arial" w:eastAsia="Arial" w:hAnsi="Arial"/>
          <w:sz w:val="18"/>
          <w:szCs w:val="18"/>
          <w:i w:val="1"/>
          <w:iCs w:val="1"/>
          <w:color w:val="auto"/>
        </w:rPr>
        <w:t>e.g.</w:t>
      </w:r>
      <w:r>
        <w:rPr>
          <w:rFonts w:ascii="Arial" w:cs="Arial" w:eastAsia="Arial" w:hAnsi="Arial"/>
          <w:sz w:val="18"/>
          <w:szCs w:val="18"/>
          <w:color w:val="auto"/>
        </w:rPr>
        <w:t>, the number of Shares underlying your DSUs will be adjusted to reflect a stock split).</w:t>
      </w:r>
    </w:p>
    <w:p>
      <w:pPr>
        <w:spacing w:after="0" w:line="149" w:lineRule="exact"/>
        <w:rPr>
          <w:rFonts w:ascii="Arial" w:cs="Arial" w:eastAsia="Arial" w:hAnsi="Arial"/>
          <w:sz w:val="18"/>
          <w:szCs w:val="18"/>
          <w:color w:val="auto"/>
        </w:rPr>
      </w:pPr>
    </w:p>
    <w:p>
      <w:pPr>
        <w:jc w:val="both"/>
        <w:ind w:left="-365" w:right="559" w:firstLine="365"/>
        <w:spacing w:after="0" w:line="266" w:lineRule="auto"/>
        <w:tabs>
          <w:tab w:leader="none" w:pos="22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DSUs and dividend equivalents are subject to more rules described in the Plan. You should read</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carefully to ensure you fully understand all the terms and conditions of the grant of DSUs and the related dividend equivalents under this Award Agreement.</w:t>
      </w:r>
    </w:p>
    <w:p>
      <w:pPr>
        <w:spacing w:after="0" w:line="200" w:lineRule="exact"/>
        <w:rPr>
          <w:sz w:val="20"/>
          <w:szCs w:val="20"/>
          <w:color w:val="auto"/>
        </w:rPr>
      </w:pPr>
    </w:p>
    <w:p>
      <w:pPr>
        <w:spacing w:after="0" w:line="331" w:lineRule="exact"/>
        <w:rPr>
          <w:sz w:val="20"/>
          <w:szCs w:val="20"/>
          <w:color w:val="auto"/>
        </w:rPr>
      </w:pPr>
    </w:p>
    <w:p>
      <w:pPr>
        <w:ind w:left="4255"/>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6" w:right="1440"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4. YOUR ACKNOWLEDGMENT OF AWARD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85" w:lineRule="exact"/>
        <w:rPr>
          <w:sz w:val="20"/>
          <w:szCs w:val="20"/>
          <w:color w:val="auto"/>
        </w:rPr>
      </w:pPr>
    </w:p>
    <w:p>
      <w:pPr>
        <w:ind w:left="600" w:hanging="235"/>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84" w:lineRule="exact"/>
        <w:rPr>
          <w:rFonts w:ascii="Arial" w:cs="Arial" w:eastAsia="Arial" w:hAnsi="Arial"/>
          <w:sz w:val="18"/>
          <w:szCs w:val="18"/>
          <w:color w:val="auto"/>
        </w:rPr>
      </w:pPr>
    </w:p>
    <w:p>
      <w:pPr>
        <w:ind w:left="620" w:hanging="255"/>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w:t>
      </w:r>
    </w:p>
    <w:p>
      <w:pPr>
        <w:spacing w:after="0" w:line="198" w:lineRule="exact"/>
        <w:rPr>
          <w:rFonts w:ascii="Arial" w:cs="Arial" w:eastAsia="Arial" w:hAnsi="Arial"/>
          <w:sz w:val="18"/>
          <w:szCs w:val="18"/>
          <w:color w:val="auto"/>
        </w:rPr>
      </w:pPr>
    </w:p>
    <w:p>
      <w:pPr>
        <w:jc w:val="both"/>
        <w:ind w:right="559" w:firstLine="365"/>
        <w:spacing w:after="0" w:line="259" w:lineRule="auto"/>
        <w:tabs>
          <w:tab w:leader="none" w:pos="6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46" w:lineRule="exact"/>
        <w:rPr>
          <w:rFonts w:ascii="Arial" w:cs="Arial" w:eastAsia="Arial" w:hAnsi="Arial"/>
          <w:sz w:val="18"/>
          <w:szCs w:val="18"/>
          <w:color w:val="auto"/>
        </w:rPr>
      </w:pPr>
    </w:p>
    <w:p>
      <w:pPr>
        <w:ind w:left="620" w:hanging="255"/>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You must return a signed copy of this Award Agreement to the address given above before [Date 30 Days After Grant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[Director’s Name]</w:t>
            </w:r>
          </w:p>
        </w:tc>
        <w:tc>
          <w:tcPr>
            <w:tcW w:w="4940" w:type="dxa"/>
            <w:vAlign w:val="bottom"/>
            <w:gridSpan w:val="3"/>
          </w:tcPr>
          <w:p>
            <w:pPr>
              <w:ind w:left="112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3580" w:type="dxa"/>
            <w:vAlign w:val="bottom"/>
            <w:gridSpan w:val="3"/>
          </w:tcPr>
          <w:p>
            <w:pPr>
              <w:spacing w:after="0"/>
              <w:rPr>
                <w:sz w:val="20"/>
                <w:szCs w:val="20"/>
                <w:color w:val="auto"/>
              </w:rPr>
            </w:pPr>
            <w:r>
              <w:rPr>
                <w:rFonts w:ascii="Arial" w:cs="Arial" w:eastAsia="Arial" w:hAnsi="Arial"/>
                <w:sz w:val="18"/>
                <w:szCs w:val="18"/>
                <w:color w:val="auto"/>
              </w:rPr>
              <w:t>By:</w:t>
            </w:r>
          </w:p>
        </w:tc>
        <w:tc>
          <w:tcPr>
            <w:tcW w:w="4940" w:type="dxa"/>
            <w:vAlign w:val="bottom"/>
            <w:gridSpan w:val="3"/>
          </w:tcPr>
          <w:p>
            <w:pPr>
              <w:ind w:left="1120"/>
              <w:spacing w:after="0"/>
              <w:rPr>
                <w:sz w:val="20"/>
                <w:szCs w:val="20"/>
                <w:color w:val="auto"/>
              </w:rPr>
            </w:pPr>
            <w:r>
              <w:rPr>
                <w:rFonts w:ascii="Arial" w:cs="Arial" w:eastAsia="Arial" w:hAnsi="Arial"/>
                <w:sz w:val="18"/>
                <w:szCs w:val="18"/>
                <w:color w:val="auto"/>
              </w:rPr>
              <w:t>By:</w:t>
            </w:r>
          </w:p>
        </w:tc>
      </w:tr>
      <w:tr>
        <w:trPr>
          <w:trHeight w:val="223"/>
        </w:trPr>
        <w:tc>
          <w:tcPr>
            <w:tcW w:w="300" w:type="dxa"/>
            <w:vAlign w:val="bottom"/>
          </w:tcPr>
          <w:p>
            <w:pPr>
              <w:spacing w:after="0"/>
              <w:rPr>
                <w:sz w:val="20"/>
                <w:szCs w:val="20"/>
                <w:color w:val="auto"/>
              </w:rPr>
            </w:pPr>
            <w:r>
              <w:rPr>
                <w:rFonts w:ascii="Arial" w:cs="Arial" w:eastAsia="Arial" w:hAnsi="Arial"/>
                <w:sz w:val="18"/>
                <w:szCs w:val="18"/>
                <w:color w:val="auto"/>
                <w:w w:val="73"/>
              </w:rPr>
              <w:t>Date</w:t>
            </w:r>
          </w:p>
        </w:tc>
        <w:tc>
          <w:tcPr>
            <w:tcW w:w="32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signed:</w:t>
            </w:r>
          </w:p>
        </w:tc>
        <w:tc>
          <w:tcPr>
            <w:tcW w:w="1420" w:type="dxa"/>
            <w:vAlign w:val="bottom"/>
          </w:tcPr>
          <w:p>
            <w:pPr>
              <w:spacing w:after="0"/>
              <w:rPr>
                <w:sz w:val="19"/>
                <w:szCs w:val="19"/>
                <w:color w:val="auto"/>
              </w:rPr>
            </w:pPr>
          </w:p>
        </w:tc>
        <w:tc>
          <w:tcPr>
            <w:tcW w:w="3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of Company Representative]</w:t>
            </w:r>
          </w:p>
        </w:tc>
      </w:tr>
      <w:tr>
        <w:trPr>
          <w:trHeight w:val="209"/>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[Title of Company Representative]</w:t>
            </w:r>
          </w:p>
        </w:tc>
      </w:tr>
      <w:tr>
        <w:trPr>
          <w:trHeight w:val="230"/>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60" w:type="dxa"/>
            <w:vAlign w:val="bottom"/>
            <w:gridSpan w:val="2"/>
          </w:tcPr>
          <w:p>
            <w:pPr>
              <w:ind w:left="1120"/>
              <w:spacing w:after="0"/>
              <w:rPr>
                <w:sz w:val="20"/>
                <w:szCs w:val="20"/>
                <w:color w:val="auto"/>
              </w:rPr>
            </w:pPr>
            <w:r>
              <w:rPr>
                <w:rFonts w:ascii="Arial" w:cs="Arial" w:eastAsia="Arial" w:hAnsi="Arial"/>
                <w:sz w:val="18"/>
                <w:szCs w:val="18"/>
                <w:color w:val="auto"/>
              </w:rPr>
              <w:t>Date signed:</w:t>
            </w:r>
          </w:p>
        </w:tc>
        <w:tc>
          <w:tcPr>
            <w:tcW w:w="278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79"/>
          </w:cols>
          <w:pgMar w:left="580" w:top="932" w:right="1440" w:bottom="1440" w:gutter="0" w:footer="0" w:header="0"/>
        </w:sectPr>
      </w:pPr>
    </w:p>
    <w:bookmarkStart w:id="54" w:name="page55"/>
    <w:bookmarkEnd w:id="54"/>
    <w:p>
      <w:pPr>
        <w:jc w:val="right"/>
        <w:ind w:right="559"/>
        <w:spacing w:after="0"/>
        <w:rPr>
          <w:sz w:val="20"/>
          <w:szCs w:val="20"/>
          <w:color w:val="auto"/>
        </w:rPr>
      </w:pPr>
      <w:r>
        <w:rPr>
          <w:rFonts w:ascii="Arial" w:cs="Arial" w:eastAsia="Arial" w:hAnsi="Arial"/>
          <w:sz w:val="18"/>
          <w:szCs w:val="18"/>
          <w:b w:val="1"/>
          <w:bCs w:val="1"/>
          <w:color w:val="auto"/>
        </w:rPr>
        <w:t>EXHIBIT 10.2</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2006 LONG-TERM INCENTIVE PLAN</w:t>
      </w:r>
    </w:p>
    <w:p>
      <w:pPr>
        <w:spacing w:after="0" w:line="18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RESTRICTED STOCK UNIT AWARD AGREEMENT FOR EMPLOYEES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(with related dividend equivalents)</w:t>
      </w:r>
    </w:p>
    <w:p>
      <w:pPr>
        <w:spacing w:after="0" w:line="16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RESTRICTED STOCK UNITS GRANTED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[Grantee’s Name] ON [Grant Date]</w:t>
      </w:r>
    </w:p>
    <w:p>
      <w:pPr>
        <w:spacing w:after="0" w:line="170" w:lineRule="exact"/>
        <w:rPr>
          <w:sz w:val="20"/>
          <w:szCs w:val="20"/>
          <w:color w:val="auto"/>
        </w:rPr>
      </w:pPr>
    </w:p>
    <w:p>
      <w:pPr>
        <w:jc w:val="both"/>
        <w:ind w:right="559"/>
        <w:spacing w:after="0" w:line="276"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146"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130" w:lineRule="exact"/>
        <w:rPr>
          <w:sz w:val="20"/>
          <w:szCs w:val="20"/>
          <w:color w:val="auto"/>
        </w:rPr>
      </w:pPr>
    </w:p>
    <w:p>
      <w:pPr>
        <w:ind w:left="700" w:hanging="343"/>
        <w:spacing w:after="0"/>
        <w:tabs>
          <w:tab w:leader="none" w:pos="7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Read the Plan and this Award Agreement carefully; and</w:t>
      </w:r>
    </w:p>
    <w:p>
      <w:pPr>
        <w:spacing w:after="0" w:line="184" w:lineRule="exact"/>
        <w:rPr>
          <w:rFonts w:ascii="Arial" w:cs="Arial" w:eastAsia="Arial" w:hAnsi="Arial"/>
          <w:sz w:val="18"/>
          <w:szCs w:val="18"/>
          <w:b w:val="1"/>
          <w:bCs w:val="1"/>
          <w:color w:val="auto"/>
        </w:rPr>
      </w:pPr>
    </w:p>
    <w:p>
      <w:pPr>
        <w:ind w:left="700" w:right="559" w:hanging="343"/>
        <w:spacing w:after="0" w:line="277" w:lineRule="auto"/>
        <w:tabs>
          <w:tab w:leader="none" w:pos="7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Contact [Title] at [Telephone Number] if you have any questions about your Award. Or, you may send a written inquiry to the address shown below:</w:t>
      </w:r>
    </w:p>
    <w:p>
      <w:pPr>
        <w:spacing w:after="0" w:line="14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Marysville, Ohio 43041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[TPA Contact’s Address]</w:t>
      </w:r>
    </w:p>
    <w:p>
      <w:pPr>
        <w:spacing w:after="0" w:line="18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[TPA Telephone Number]</w:t>
      </w:r>
    </w:p>
    <w:p>
      <w:pPr>
        <w:spacing w:after="0" w:line="185" w:lineRule="exact"/>
        <w:rPr>
          <w:sz w:val="20"/>
          <w:szCs w:val="20"/>
          <w:color w:val="auto"/>
        </w:rPr>
      </w:pPr>
    </w:p>
    <w:p>
      <w:pPr>
        <w:jc w:val="both"/>
        <w:ind w:right="559"/>
        <w:spacing w:after="0" w:line="312" w:lineRule="auto"/>
        <w:rPr>
          <w:sz w:val="20"/>
          <w:szCs w:val="20"/>
          <w:color w:val="auto"/>
        </w:rPr>
      </w:pPr>
      <w:r>
        <w:rPr>
          <w:rFonts w:ascii="Arial" w:cs="Arial" w:eastAsia="Arial" w:hAnsi="Arial"/>
          <w:sz w:val="16"/>
          <w:szCs w:val="16"/>
          <w:color w:val="auto"/>
        </w:rPr>
        <w:t>The Company intends that this Award satisfy the requirements of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606425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5" w:name="page56"/>
    <w:bookmarkEnd w:id="55"/>
    <w:p>
      <w:pPr>
        <w:ind w:left="8"/>
        <w:spacing w:after="0"/>
        <w:rPr>
          <w:sz w:val="20"/>
          <w:szCs w:val="20"/>
          <w:color w:val="auto"/>
        </w:rPr>
      </w:pPr>
      <w:r>
        <w:rPr>
          <w:rFonts w:ascii="Arial" w:cs="Arial" w:eastAsia="Arial" w:hAnsi="Arial"/>
          <w:sz w:val="18"/>
          <w:szCs w:val="18"/>
          <w:b w:val="1"/>
          <w:bCs w:val="1"/>
          <w:color w:val="auto"/>
        </w:rPr>
        <w:t>1. DESCRIPTION OF YOUR RESTRICTED STOCK UNITS</w:t>
      </w:r>
    </w:p>
    <w:p>
      <w:pPr>
        <w:spacing w:after="0" w:line="202" w:lineRule="exact"/>
        <w:rPr>
          <w:sz w:val="20"/>
          <w:szCs w:val="20"/>
          <w:color w:val="auto"/>
        </w:rPr>
      </w:pPr>
    </w:p>
    <w:p>
      <w:pPr>
        <w:jc w:val="both"/>
        <w:ind w:left="8" w:right="559"/>
        <w:spacing w:after="0" w:line="293" w:lineRule="auto"/>
        <w:rPr>
          <w:sz w:val="20"/>
          <w:szCs w:val="20"/>
          <w:color w:val="auto"/>
        </w:rPr>
      </w:pPr>
      <w:r>
        <w:rPr>
          <w:rFonts w:ascii="Arial" w:cs="Arial" w:eastAsia="Arial" w:hAnsi="Arial"/>
          <w:sz w:val="16"/>
          <w:szCs w:val="16"/>
          <w:color w:val="auto"/>
        </w:rPr>
        <w:t>You have been granted [Number] Restricted Stock Units (“RSUs”) and an equal number of related dividend equivalents, subject to the terms and conditions of the Plan and this Award Agreement. The “Grant Date” of your Award is [Grant Date]. Each whole RSU represents the right to receive one full Share at the time and in the manner described in this Award Agreement. Subject to Section 3(f) of this Award Agreement, each dividend equivalent represents the right to receive an amount equal to the dividends that are declared and paid during the period beginning on the Grant Date and ending on the Settlement Date (as described in Section 2(b) of this Award Agreement) with respect to the Share represented by the related RSU.</w:t>
      </w:r>
    </w:p>
    <w:p>
      <w:pPr>
        <w:spacing w:after="0" w:line="120" w:lineRule="exact"/>
        <w:rPr>
          <w:sz w:val="20"/>
          <w:szCs w:val="20"/>
          <w:color w:val="auto"/>
        </w:rPr>
      </w:pPr>
    </w:p>
    <w:p>
      <w:pPr>
        <w:ind w:left="188" w:hanging="188"/>
        <w:spacing w:after="0"/>
        <w:tabs>
          <w:tab w:leader="none" w:pos="18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w:t>
      </w:r>
    </w:p>
    <w:p>
      <w:pPr>
        <w:spacing w:after="0" w:line="184" w:lineRule="exact"/>
        <w:rPr>
          <w:rFonts w:ascii="Arial" w:cs="Arial" w:eastAsia="Arial" w:hAnsi="Arial"/>
          <w:sz w:val="18"/>
          <w:szCs w:val="18"/>
          <w:b w:val="1"/>
          <w:bCs w:val="1"/>
          <w:color w:val="auto"/>
        </w:rPr>
      </w:pPr>
    </w:p>
    <w:p>
      <w:pPr>
        <w:ind w:left="8" w:right="559" w:firstLine="365"/>
        <w:spacing w:after="0" w:line="282" w:lineRule="auto"/>
        <w:tabs>
          <w:tab w:leader="none" w:pos="639"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Subject to Sections 3(a), 3(b) and 3(c) of this Award Agreement, your RSUs will become 100% vested on</w:t>
      </w:r>
      <w:r>
        <w:rPr>
          <w:rFonts w:ascii="Arial" w:cs="Arial" w:eastAsia="Arial" w:hAnsi="Arial"/>
          <w:sz w:val="18"/>
          <w:szCs w:val="18"/>
          <w:b w:val="1"/>
          <w:bCs w:val="1"/>
          <w:color w:val="auto"/>
        </w:rPr>
        <w:t xml:space="preserve"> </w:t>
      </w:r>
      <w:r>
        <w:rPr>
          <w:rFonts w:ascii="Arial" w:cs="Arial" w:eastAsia="Arial" w:hAnsi="Arial"/>
          <w:sz w:val="18"/>
          <w:szCs w:val="18"/>
          <w:color w:val="auto"/>
        </w:rPr>
        <w:t>[Third Anniversary of Grant Date] (“Vesting Date”).</w:t>
      </w:r>
    </w:p>
    <w:p>
      <w:pPr>
        <w:spacing w:after="0" w:line="134" w:lineRule="exact"/>
        <w:rPr>
          <w:rFonts w:ascii="Arial" w:cs="Arial" w:eastAsia="Arial" w:hAnsi="Arial"/>
          <w:sz w:val="18"/>
          <w:szCs w:val="18"/>
          <w:color w:val="auto"/>
        </w:rPr>
      </w:pPr>
    </w:p>
    <w:p>
      <w:pPr>
        <w:jc w:val="both"/>
        <w:ind w:left="8" w:right="559" w:firstLine="365"/>
        <w:spacing w:after="0" w:line="258" w:lineRule="auto"/>
        <w:tabs>
          <w:tab w:leader="none" w:pos="649"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Settlement</w:t>
      </w:r>
      <w:r>
        <w:rPr>
          <w:rFonts w:ascii="Arial" w:cs="Arial" w:eastAsia="Arial" w:hAnsi="Arial"/>
          <w:sz w:val="18"/>
          <w:szCs w:val="18"/>
          <w:color w:val="auto"/>
        </w:rPr>
        <w:t>. Subject to the terms of the Plan and this Award Agreement, your vested RSUs shall be settled in a lump</w:t>
      </w:r>
      <w:r>
        <w:rPr>
          <w:rFonts w:ascii="Arial" w:cs="Arial" w:eastAsia="Arial" w:hAnsi="Arial"/>
          <w:sz w:val="18"/>
          <w:szCs w:val="18"/>
          <w:b w:val="1"/>
          <w:bCs w:val="1"/>
          <w:color w:val="auto"/>
        </w:rPr>
        <w:t xml:space="preserve"> </w:t>
      </w:r>
      <w:r>
        <w:rPr>
          <w:rFonts w:ascii="Arial" w:cs="Arial" w:eastAsia="Arial" w:hAnsi="Arial"/>
          <w:sz w:val="18"/>
          <w:szCs w:val="18"/>
          <w:color w:val="auto"/>
        </w:rPr>
        <w:t>sum as soon as administratively practicable, but no later than 90 days, following the earliest to occur of: (i) your death; (ii) the date you become Disabled (as defined in Section 2(c) of this Award Agreement); or (iii) [Vesting Date] (the “Settlement Date”). Your whole RSUs shall be settled in full Shares, and any fractional RSU shall be settled in cash, determined based upon the Fair Market Value of a Share on the Settlement Date.</w:t>
      </w:r>
    </w:p>
    <w:p>
      <w:pPr>
        <w:spacing w:after="0" w:line="143" w:lineRule="exact"/>
        <w:rPr>
          <w:rFonts w:ascii="Arial" w:cs="Arial" w:eastAsia="Arial" w:hAnsi="Arial"/>
          <w:sz w:val="18"/>
          <w:szCs w:val="18"/>
          <w:color w:val="auto"/>
        </w:rPr>
      </w:pPr>
    </w:p>
    <w:p>
      <w:pPr>
        <w:jc w:val="both"/>
        <w:ind w:left="8" w:right="559" w:firstLine="365"/>
        <w:spacing w:after="0" w:line="284" w:lineRule="auto"/>
        <w:tabs>
          <w:tab w:leader="none" w:pos="666" w:val="left"/>
        </w:tabs>
        <w:numPr>
          <w:ilvl w:val="1"/>
          <w:numId w:val="21"/>
        </w:numPr>
        <w:rPr>
          <w:rFonts w:ascii="Arial" w:cs="Arial" w:eastAsia="Arial" w:hAnsi="Arial"/>
          <w:sz w:val="16"/>
          <w:szCs w:val="16"/>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For purposes of this Award Agreement, (i) “Disabled” means (A) you are unable to engage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 gainful activity by reason of 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 and (ii) “Terminate” (or any form thereof) means the later of (A) the cessation of the employment relationship between you and the Company and all Affiliates and Subsidiaries for any reason; or</w:t>
      </w:r>
    </w:p>
    <w:p>
      <w:pPr>
        <w:spacing w:after="0" w:line="5" w:lineRule="exact"/>
        <w:rPr>
          <w:rFonts w:ascii="Arial" w:cs="Arial" w:eastAsia="Arial" w:hAnsi="Arial"/>
          <w:sz w:val="16"/>
          <w:szCs w:val="16"/>
          <w:color w:val="auto"/>
        </w:rPr>
      </w:pPr>
    </w:p>
    <w:p>
      <w:pPr>
        <w:ind w:left="8"/>
        <w:spacing w:after="0"/>
        <w:rPr>
          <w:rFonts w:ascii="Arial" w:cs="Arial" w:eastAsia="Arial" w:hAnsi="Arial"/>
          <w:sz w:val="16"/>
          <w:szCs w:val="16"/>
          <w:color w:val="auto"/>
        </w:rPr>
      </w:pPr>
      <w:r>
        <w:rPr>
          <w:rFonts w:ascii="Arial" w:cs="Arial" w:eastAsia="Arial" w:hAnsi="Arial"/>
          <w:sz w:val="18"/>
          <w:szCs w:val="18"/>
          <w:color w:val="auto"/>
        </w:rPr>
        <w:t>(B) the cessation of your service as a member of the Board.</w:t>
      </w:r>
    </w:p>
    <w:p>
      <w:pPr>
        <w:spacing w:after="0" w:line="166" w:lineRule="exact"/>
        <w:rPr>
          <w:rFonts w:ascii="Arial" w:cs="Arial" w:eastAsia="Arial" w:hAnsi="Arial"/>
          <w:sz w:val="16"/>
          <w:szCs w:val="16"/>
          <w:color w:val="auto"/>
        </w:rPr>
      </w:pPr>
    </w:p>
    <w:p>
      <w:pPr>
        <w:ind w:left="188" w:hanging="188"/>
        <w:spacing w:after="0"/>
        <w:tabs>
          <w:tab w:leader="none" w:pos="18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98" w:lineRule="exact"/>
        <w:rPr>
          <w:rFonts w:ascii="Arial" w:cs="Arial" w:eastAsia="Arial" w:hAnsi="Arial"/>
          <w:sz w:val="18"/>
          <w:szCs w:val="18"/>
          <w:b w:val="1"/>
          <w:bCs w:val="1"/>
          <w:color w:val="auto"/>
        </w:rPr>
      </w:pPr>
    </w:p>
    <w:p>
      <w:pPr>
        <w:ind w:left="8" w:right="559" w:firstLine="365"/>
        <w:spacing w:after="0" w:line="282" w:lineRule="auto"/>
        <w:tabs>
          <w:tab w:leader="none" w:pos="626"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YOU MAY FORFEIT YOUR RSUs IF YOU TERMINATE. </w:t>
      </w:r>
      <w:r>
        <w:rPr>
          <w:rFonts w:ascii="Arial" w:cs="Arial" w:eastAsia="Arial" w:hAnsi="Arial"/>
          <w:sz w:val="18"/>
          <w:szCs w:val="18"/>
          <w:color w:val="auto"/>
        </w:rPr>
        <w:t>Except as otherwise provided in this Section 3(a) and</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3(c) of this Award Agreement, you will forfeit your RSUs if you Terminate prior to the Vesting Date.</w:t>
      </w:r>
    </w:p>
    <w:p>
      <w:pPr>
        <w:spacing w:after="0" w:line="125" w:lineRule="exact"/>
        <w:rPr>
          <w:rFonts w:ascii="Arial" w:cs="Arial" w:eastAsia="Arial" w:hAnsi="Arial"/>
          <w:sz w:val="18"/>
          <w:szCs w:val="18"/>
          <w:color w:val="auto"/>
        </w:rPr>
      </w:pPr>
    </w:p>
    <w:p>
      <w:pPr>
        <w:jc w:val="both"/>
        <w:ind w:left="368" w:right="559" w:firstLine="364"/>
        <w:spacing w:after="0" w:line="291" w:lineRule="auto"/>
        <w:tabs>
          <w:tab w:leader="none" w:pos="947" w:val="left"/>
        </w:tabs>
        <w:numPr>
          <w:ilvl w:val="2"/>
          <w:numId w:val="21"/>
        </w:numPr>
        <w:rPr>
          <w:rFonts w:ascii="Arial" w:cs="Arial" w:eastAsia="Arial" w:hAnsi="Arial"/>
          <w:sz w:val="16"/>
          <w:szCs w:val="16"/>
          <w:color w:val="auto"/>
        </w:rPr>
      </w:pPr>
      <w:r>
        <w:rPr>
          <w:rFonts w:ascii="Arial" w:cs="Arial" w:eastAsia="Arial" w:hAnsi="Arial"/>
          <w:sz w:val="16"/>
          <w:szCs w:val="16"/>
          <w:color w:val="auto"/>
        </w:rPr>
        <w:t>If, prior to the Vesting Date, you (A) Terminate after reaching either (A) age 55 and completing at least 10 years of service with the Company, its Affiliates and/or its Subsidiaries or (B) age 62 regardless of your years of service, (B) die or</w:t>
      </w:r>
    </w:p>
    <w:p>
      <w:pPr>
        <w:ind w:left="368" w:right="559"/>
        <w:spacing w:after="0" w:line="261" w:lineRule="auto"/>
        <w:rPr>
          <w:rFonts w:ascii="Arial" w:cs="Arial" w:eastAsia="Arial" w:hAnsi="Arial"/>
          <w:sz w:val="16"/>
          <w:szCs w:val="16"/>
          <w:color w:val="auto"/>
        </w:rPr>
      </w:pPr>
      <w:r>
        <w:rPr>
          <w:rFonts w:ascii="Arial" w:cs="Arial" w:eastAsia="Arial" w:hAnsi="Arial"/>
          <w:sz w:val="18"/>
          <w:szCs w:val="18"/>
          <w:color w:val="auto"/>
        </w:rPr>
        <w:t>(C) become Disabled, your RSUs will become 100% vested as of the date of such event and will be settled in accordance with Section 2(b) of this Award Agreement.</w:t>
      </w:r>
    </w:p>
    <w:p>
      <w:pPr>
        <w:spacing w:after="0" w:line="143" w:lineRule="exact"/>
        <w:rPr>
          <w:rFonts w:ascii="Arial" w:cs="Arial" w:eastAsia="Arial" w:hAnsi="Arial"/>
          <w:sz w:val="16"/>
          <w:szCs w:val="16"/>
          <w:color w:val="auto"/>
        </w:rPr>
      </w:pPr>
    </w:p>
    <w:p>
      <w:pPr>
        <w:ind w:left="368" w:right="559" w:firstLine="364"/>
        <w:spacing w:after="0" w:line="277" w:lineRule="auto"/>
        <w:tabs>
          <w:tab w:leader="none" w:pos="1035" w:val="left"/>
        </w:tabs>
        <w:numPr>
          <w:ilvl w:val="2"/>
          <w:numId w:val="21"/>
        </w:numPr>
        <w:rPr>
          <w:rFonts w:ascii="Arial" w:cs="Arial" w:eastAsia="Arial" w:hAnsi="Arial"/>
          <w:sz w:val="18"/>
          <w:szCs w:val="18"/>
          <w:color w:val="auto"/>
        </w:rPr>
      </w:pPr>
      <w:r>
        <w:rPr>
          <w:rFonts w:ascii="Arial" w:cs="Arial" w:eastAsia="Arial" w:hAnsi="Arial"/>
          <w:sz w:val="18"/>
          <w:szCs w:val="18"/>
          <w:color w:val="auto"/>
        </w:rPr>
        <w:t>If, prior to the Vesting Date, you Terminate for any reason not described in Section 3(a)(i) of this Award Agreement, your RSUs will be forfeited immediately.</w:t>
      </w:r>
    </w:p>
    <w:p>
      <w:pPr>
        <w:spacing w:after="0" w:line="200" w:lineRule="exact"/>
        <w:rPr>
          <w:sz w:val="20"/>
          <w:szCs w:val="20"/>
          <w:color w:val="auto"/>
        </w:rPr>
      </w:pPr>
    </w:p>
    <w:p>
      <w:pPr>
        <w:spacing w:after="0" w:line="335"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56" w:name="page57"/>
    <w:bookmarkEnd w:id="56"/>
    <w:p>
      <w:pPr>
        <w:jc w:val="both"/>
        <w:ind w:left="-365" w:right="559" w:firstLine="365"/>
        <w:spacing w:after="0" w:line="281" w:lineRule="auto"/>
        <w:tabs>
          <w:tab w:leader="none" w:pos="303"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YOU WILL FORFEIT YOUR RSUs IF YOU ENGAGE IN CONDUCT THAT IS HARMFUL TO THE COMPANY (OR ANY AFFILIATE OR SUBSIDIARY). </w:t>
      </w:r>
      <w:r>
        <w:rPr>
          <w:rFonts w:ascii="Arial" w:cs="Arial" w:eastAsia="Arial" w:hAnsi="Arial"/>
          <w:sz w:val="17"/>
          <w:szCs w:val="17"/>
          <w:color w:val="auto"/>
        </w:rPr>
        <w:t>You will forfeit any outstanding RSUs and related dividend</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equivalents and must return to the Company all Shares and other amounts you have received through the Plan if, without the Company’s written consent, you do any of the following within 180 days before and 730 days after you Terminate:</w:t>
      </w:r>
    </w:p>
    <w:p>
      <w:pPr>
        <w:spacing w:after="0" w:line="141" w:lineRule="exact"/>
        <w:rPr>
          <w:rFonts w:ascii="Arial" w:cs="Arial" w:eastAsia="Arial" w:hAnsi="Arial"/>
          <w:sz w:val="17"/>
          <w:szCs w:val="17"/>
          <w:color w:val="auto"/>
        </w:rPr>
      </w:pPr>
    </w:p>
    <w:p>
      <w:pPr>
        <w:jc w:val="both"/>
        <w:ind w:left="-5" w:right="559" w:firstLine="364"/>
        <w:spacing w:after="0" w:line="293" w:lineRule="auto"/>
        <w:tabs>
          <w:tab w:leader="none" w:pos="6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You serve (or agree to serve) as an officer, director, consultant, manager or employee of any proprietorship, partnership, corporation or other entity or become the 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124" w:lineRule="exact"/>
        <w:rPr>
          <w:rFonts w:ascii="Arial" w:cs="Arial" w:eastAsia="Arial" w:hAnsi="Arial"/>
          <w:sz w:val="16"/>
          <w:szCs w:val="16"/>
          <w:color w:val="auto"/>
        </w:rPr>
      </w:pPr>
    </w:p>
    <w:p>
      <w:pPr>
        <w:ind w:left="-5" w:right="559" w:firstLine="364"/>
        <w:spacing w:after="0" w:line="277" w:lineRule="auto"/>
        <w:tabs>
          <w:tab w:leader="none" w:pos="617" w:val="left"/>
        </w:tabs>
        <w:numPr>
          <w:ilvl w:val="1"/>
          <w:numId w:val="22"/>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129" w:lineRule="exact"/>
        <w:rPr>
          <w:rFonts w:ascii="Arial" w:cs="Arial" w:eastAsia="Arial" w:hAnsi="Arial"/>
          <w:sz w:val="18"/>
          <w:szCs w:val="18"/>
          <w:color w:val="auto"/>
        </w:rPr>
      </w:pPr>
    </w:p>
    <w:p>
      <w:pPr>
        <w:ind w:left="-5" w:right="559" w:firstLine="364"/>
        <w:spacing w:after="0" w:line="277" w:lineRule="auto"/>
        <w:tabs>
          <w:tab w:leader="none" w:pos="669" w:val="left"/>
        </w:tabs>
        <w:numPr>
          <w:ilvl w:val="1"/>
          <w:numId w:val="22"/>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143" w:lineRule="exact"/>
        <w:rPr>
          <w:rFonts w:ascii="Arial" w:cs="Arial" w:eastAsia="Arial" w:hAnsi="Arial"/>
          <w:sz w:val="18"/>
          <w:szCs w:val="18"/>
          <w:color w:val="auto"/>
        </w:rPr>
      </w:pPr>
    </w:p>
    <w:p>
      <w:pPr>
        <w:jc w:val="both"/>
        <w:ind w:left="-5" w:right="559" w:firstLine="364"/>
        <w:spacing w:after="0" w:line="255" w:lineRule="auto"/>
        <w:tabs>
          <w:tab w:leader="none" w:pos="6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152" w:lineRule="exact"/>
        <w:rPr>
          <w:rFonts w:ascii="Arial" w:cs="Arial" w:eastAsia="Arial" w:hAnsi="Arial"/>
          <w:sz w:val="18"/>
          <w:szCs w:val="18"/>
          <w:color w:val="auto"/>
        </w:rPr>
      </w:pPr>
    </w:p>
    <w:p>
      <w:pPr>
        <w:jc w:val="both"/>
        <w:ind w:left="-5" w:right="559" w:firstLine="364"/>
        <w:spacing w:after="0" w:line="273" w:lineRule="auto"/>
        <w:tabs>
          <w:tab w:leader="none" w:pos="613" w:val="left"/>
        </w:tabs>
        <w:numPr>
          <w:ilvl w:val="1"/>
          <w:numId w:val="22"/>
        </w:numPr>
        <w:rPr>
          <w:rFonts w:ascii="Arial" w:cs="Arial" w:eastAsia="Arial" w:hAnsi="Arial"/>
          <w:sz w:val="17"/>
          <w:szCs w:val="17"/>
          <w:color w:val="auto"/>
        </w:rPr>
      </w:pPr>
      <w:r>
        <w:rPr>
          <w:rFonts w:ascii="Arial" w:cs="Arial" w:eastAsia="Arial" w:hAnsi="Arial"/>
          <w:sz w:val="17"/>
          <w:szCs w:val="17"/>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137" w:lineRule="exact"/>
        <w:rPr>
          <w:rFonts w:ascii="Arial" w:cs="Arial" w:eastAsia="Arial" w:hAnsi="Arial"/>
          <w:sz w:val="17"/>
          <w:szCs w:val="17"/>
          <w:color w:val="auto"/>
        </w:rPr>
      </w:pPr>
    </w:p>
    <w:p>
      <w:pPr>
        <w:jc w:val="both"/>
        <w:ind w:left="-5" w:right="559" w:firstLine="364"/>
        <w:spacing w:after="0" w:line="257" w:lineRule="auto"/>
        <w:tabs>
          <w:tab w:leader="none" w:pos="6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service to the Company or any Affiliate or Subsidiary; or</w:t>
      </w:r>
    </w:p>
    <w:p>
      <w:pPr>
        <w:spacing w:after="0" w:line="161" w:lineRule="exact"/>
        <w:rPr>
          <w:rFonts w:ascii="Arial" w:cs="Arial" w:eastAsia="Arial" w:hAnsi="Arial"/>
          <w:sz w:val="18"/>
          <w:szCs w:val="18"/>
          <w:color w:val="auto"/>
        </w:rPr>
      </w:pPr>
    </w:p>
    <w:p>
      <w:pPr>
        <w:ind w:left="-5" w:right="559" w:firstLine="364"/>
        <w:spacing w:after="0" w:line="277" w:lineRule="auto"/>
        <w:tabs>
          <w:tab w:leader="none" w:pos="723" w:val="left"/>
        </w:tabs>
        <w:numPr>
          <w:ilvl w:val="1"/>
          <w:numId w:val="22"/>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200" w:lineRule="exact"/>
        <w:rPr>
          <w:sz w:val="20"/>
          <w:szCs w:val="20"/>
          <w:color w:val="auto"/>
        </w:rPr>
      </w:pPr>
    </w:p>
    <w:p>
      <w:pPr>
        <w:spacing w:after="0" w:line="322" w:lineRule="exact"/>
        <w:rPr>
          <w:sz w:val="20"/>
          <w:szCs w:val="20"/>
          <w:color w:val="auto"/>
        </w:rPr>
      </w:pPr>
    </w:p>
    <w:p>
      <w:pPr>
        <w:ind w:left="4255"/>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1" w:right="1440" w:bottom="1440" w:gutter="0" w:footer="0" w:header="0"/>
        </w:sectPr>
      </w:pPr>
    </w:p>
    <w:bookmarkStart w:id="57" w:name="page58"/>
    <w:bookmarkEnd w:id="57"/>
    <w:p>
      <w:pPr>
        <w:jc w:val="both"/>
        <w:ind w:left="-365" w:right="559" w:firstLine="365"/>
        <w:spacing w:after="0" w:line="289" w:lineRule="auto"/>
        <w:tabs>
          <w:tab w:leader="none" w:pos="266"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Normally, your RSUs will vest and be settled only under the circumstances described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Sections 2 and 3(a)(i) of this Award Agreement. However, if there is a Change in Control, your RSUs will vest and be settled as described in the Plan. You should read the Plan carefully to ensure that you understand how this may happen.</w:t>
      </w:r>
    </w:p>
    <w:p>
      <w:pPr>
        <w:spacing w:after="0" w:line="131" w:lineRule="exact"/>
        <w:rPr>
          <w:rFonts w:ascii="Arial" w:cs="Arial" w:eastAsia="Arial" w:hAnsi="Arial"/>
          <w:sz w:val="17"/>
          <w:szCs w:val="17"/>
          <w:color w:val="auto"/>
        </w:rPr>
      </w:pPr>
    </w:p>
    <w:p>
      <w:pPr>
        <w:ind w:left="-365" w:right="559" w:firstLine="365"/>
        <w:spacing w:after="0" w:line="282" w:lineRule="auto"/>
        <w:tabs>
          <w:tab w:leader="none" w:pos="263"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or the Plan at any time.</w:t>
      </w:r>
    </w:p>
    <w:p>
      <w:pPr>
        <w:spacing w:after="0" w:line="121" w:lineRule="exact"/>
        <w:rPr>
          <w:rFonts w:ascii="Arial" w:cs="Arial" w:eastAsia="Arial" w:hAnsi="Arial"/>
          <w:sz w:val="18"/>
          <w:szCs w:val="18"/>
          <w:color w:val="auto"/>
        </w:rPr>
      </w:pPr>
    </w:p>
    <w:p>
      <w:pPr>
        <w:jc w:val="both"/>
        <w:ind w:left="-365" w:right="559" w:firstLine="365"/>
        <w:spacing w:after="0" w:line="266" w:lineRule="auto"/>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RSUs ARE SETTLED. </w:t>
      </w:r>
      <w:r>
        <w:rPr>
          <w:rFonts w:ascii="Arial" w:cs="Arial" w:eastAsia="Arial" w:hAnsi="Arial"/>
          <w:sz w:val="18"/>
          <w:szCs w:val="18"/>
          <w:color w:val="auto"/>
        </w:rPr>
        <w:t>Except as provided in Section 3(f) of this Award Agreement, you</w:t>
      </w:r>
      <w:r>
        <w:rPr>
          <w:rFonts w:ascii="Arial" w:cs="Arial" w:eastAsia="Arial" w:hAnsi="Arial"/>
          <w:sz w:val="18"/>
          <w:szCs w:val="18"/>
          <w:b w:val="1"/>
          <w:bCs w:val="1"/>
          <w:color w:val="auto"/>
        </w:rPr>
        <w:t xml:space="preserve"> </w:t>
      </w:r>
      <w:r>
        <w:rPr>
          <w:rFonts w:ascii="Arial" w:cs="Arial" w:eastAsia="Arial" w:hAnsi="Arial"/>
          <w:sz w:val="18"/>
          <w:szCs w:val="18"/>
          <w:color w:val="auto"/>
        </w:rPr>
        <w:t>will have none of the rights of a shareholder with respect to Shares underlying the RSUs unless and until you become the record holder of such Shares.</w:t>
      </w:r>
    </w:p>
    <w:p>
      <w:pPr>
        <w:spacing w:after="0" w:line="135" w:lineRule="exact"/>
        <w:rPr>
          <w:rFonts w:ascii="Arial" w:cs="Arial" w:eastAsia="Arial" w:hAnsi="Arial"/>
          <w:sz w:val="18"/>
          <w:szCs w:val="18"/>
          <w:color w:val="auto"/>
        </w:rPr>
      </w:pPr>
    </w:p>
    <w:p>
      <w:pPr>
        <w:jc w:val="both"/>
        <w:ind w:left="-365" w:right="559" w:firstLine="365"/>
        <w:spacing w:after="0" w:line="256" w:lineRule="auto"/>
        <w:tabs>
          <w:tab w:leader="none" w:pos="233"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You will be entitled to receive a dividend equivalent equal to any dividends declared and</w:t>
      </w:r>
      <w:r>
        <w:rPr>
          <w:rFonts w:ascii="Arial" w:cs="Arial" w:eastAsia="Arial" w:hAnsi="Arial"/>
          <w:sz w:val="18"/>
          <w:szCs w:val="18"/>
          <w:b w:val="1"/>
          <w:bCs w:val="1"/>
          <w:color w:val="auto"/>
        </w:rPr>
        <w:t xml:space="preserve"> </w:t>
      </w:r>
      <w:r>
        <w:rPr>
          <w:rFonts w:ascii="Arial" w:cs="Arial" w:eastAsia="Arial" w:hAnsi="Arial"/>
          <w:sz w:val="18"/>
          <w:szCs w:val="18"/>
          <w:color w:val="auto"/>
        </w:rPr>
        <w:t>paid on each Share represented by a related RSU, subject to the same terms and conditions as the related RSU. Any dividend equivalents described in this Section 3(f) will be distributed to you in accordance with Section 2(b) of this Award Agreement or forfeited, depending on whether or not you have met the conditions described in this Award Agreement and the Plan. Any such distributions will be made in (i) cash, for any dividend equivalents relating to cash dividends and (ii) Shares, for any dividend equivalents relating to Share dividends.</w:t>
      </w:r>
    </w:p>
    <w:p>
      <w:pPr>
        <w:spacing w:after="0" w:line="160" w:lineRule="exact"/>
        <w:rPr>
          <w:rFonts w:ascii="Arial" w:cs="Arial" w:eastAsia="Arial" w:hAnsi="Arial"/>
          <w:sz w:val="18"/>
          <w:szCs w:val="18"/>
          <w:color w:val="auto"/>
        </w:rPr>
      </w:pPr>
    </w:p>
    <w:p>
      <w:pPr>
        <w:jc w:val="both"/>
        <w:ind w:left="-365" w:right="559" w:firstLine="365"/>
        <w:spacing w:after="0" w:line="256" w:lineRule="auto"/>
        <w:tabs>
          <w:tab w:leader="none" w:pos="29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any RSUs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equivalents that vest before you die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47" w:lineRule="exact"/>
        <w:rPr>
          <w:rFonts w:ascii="Arial" w:cs="Arial" w:eastAsia="Arial" w:hAnsi="Arial"/>
          <w:sz w:val="18"/>
          <w:szCs w:val="18"/>
          <w:color w:val="auto"/>
        </w:rPr>
      </w:pPr>
    </w:p>
    <w:p>
      <w:pPr>
        <w:jc w:val="both"/>
        <w:ind w:left="-365" w:right="559" w:firstLine="365"/>
        <w:spacing w:after="0" w:line="295" w:lineRule="auto"/>
        <w:tabs>
          <w:tab w:leader="none" w:pos="263"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TRANSFERRING YOUR RSUs AND RELATED DIVIDEND EQUIVALENTS. </w:t>
      </w:r>
      <w:r>
        <w:rPr>
          <w:rFonts w:ascii="Arial" w:cs="Arial" w:eastAsia="Arial" w:hAnsi="Arial"/>
          <w:sz w:val="16"/>
          <w:szCs w:val="16"/>
          <w:color w:val="auto"/>
        </w:rPr>
        <w:t>Normally, your RSUs and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equivalents may not be transferred to another person. However, as described in Section 3(g) of this Award Agreement, you may complete a Beneficiary Designation Form to name the person to receive any RSUs and related dividend equivalents that are vested before you die but are settled after you die. Also, the Committee may allow you to place your RSUs and related dividend equivalents into a trust established for your benefit or the benefit of your family. Contact [Third Party Administrator] at [TPA Telephone Number] or at the address given above if you are interested in doing this.</w:t>
      </w:r>
    </w:p>
    <w:p>
      <w:pPr>
        <w:spacing w:after="0" w:line="200" w:lineRule="exact"/>
        <w:rPr>
          <w:sz w:val="20"/>
          <w:szCs w:val="20"/>
          <w:color w:val="auto"/>
        </w:rPr>
      </w:pPr>
    </w:p>
    <w:p>
      <w:pPr>
        <w:spacing w:after="0" w:line="324" w:lineRule="exact"/>
        <w:rPr>
          <w:sz w:val="20"/>
          <w:szCs w:val="20"/>
          <w:color w:val="auto"/>
        </w:rPr>
      </w:pPr>
    </w:p>
    <w:p>
      <w:pPr>
        <w:ind w:left="4255"/>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2" w:right="1440" w:bottom="1440" w:gutter="0" w:footer="0" w:header="0"/>
        </w:sectPr>
      </w:pPr>
    </w:p>
    <w:bookmarkStart w:id="58" w:name="page59"/>
    <w:bookmarkEnd w:id="58"/>
    <w:p>
      <w:pPr>
        <w:jc w:val="both"/>
        <w:ind w:right="559" w:firstLine="365"/>
        <w:spacing w:after="0" w:line="266"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the Plan to the substantive law of another jurisdiction.</w:t>
      </w:r>
    </w:p>
    <w:p>
      <w:pPr>
        <w:spacing w:after="0" w:line="149" w:lineRule="exact"/>
        <w:rPr>
          <w:rFonts w:ascii="Arial" w:cs="Arial" w:eastAsia="Arial" w:hAnsi="Arial"/>
          <w:sz w:val="18"/>
          <w:szCs w:val="18"/>
          <w:color w:val="auto"/>
        </w:rPr>
      </w:pPr>
    </w:p>
    <w:p>
      <w:pPr>
        <w:jc w:val="both"/>
        <w:ind w:right="559" w:firstLine="365"/>
        <w:spacing w:after="0" w:line="266" w:lineRule="auto"/>
        <w:tabs>
          <w:tab w:leader="none" w:pos="588"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Your RSUs and related dividend equivalents will be subject to the terms of any other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between you and the Company or any Affiliate or Subsidiary to the extent that those other agreements do not directly conflict with the terms of the Plan or this Award Agreement.</w:t>
      </w:r>
    </w:p>
    <w:p>
      <w:pPr>
        <w:spacing w:after="0" w:line="135" w:lineRule="exact"/>
        <w:rPr>
          <w:rFonts w:ascii="Arial" w:cs="Arial" w:eastAsia="Arial" w:hAnsi="Arial"/>
          <w:sz w:val="18"/>
          <w:szCs w:val="18"/>
          <w:color w:val="auto"/>
        </w:rPr>
      </w:pPr>
    </w:p>
    <w:p>
      <w:pPr>
        <w:jc w:val="both"/>
        <w:ind w:right="559" w:firstLine="365"/>
        <w:spacing w:after="0" w:line="266"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ADJUSTMENTS TO YOUR RSUs. </w:t>
      </w:r>
      <w:r>
        <w:rPr>
          <w:rFonts w:ascii="Arial" w:cs="Arial" w:eastAsia="Arial" w:hAnsi="Arial"/>
          <w:sz w:val="18"/>
          <w:szCs w:val="18"/>
          <w:color w:val="auto"/>
        </w:rPr>
        <w:t>Subject to the terms of the Plan, your RSUs and related dividend equivalents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adjusted, if appropriate, to reflect any change to the Company’s capital structure (e.g., the number of Shares underlying your RSUs will be adjusted to reflect a stock split).</w:t>
      </w:r>
    </w:p>
    <w:p>
      <w:pPr>
        <w:spacing w:after="0" w:line="135" w:lineRule="exact"/>
        <w:rPr>
          <w:rFonts w:ascii="Arial" w:cs="Arial" w:eastAsia="Arial" w:hAnsi="Arial"/>
          <w:sz w:val="18"/>
          <w:szCs w:val="18"/>
          <w:color w:val="auto"/>
        </w:rPr>
      </w:pPr>
    </w:p>
    <w:p>
      <w:pPr>
        <w:jc w:val="both"/>
        <w:ind w:right="559" w:firstLine="365"/>
        <w:spacing w:after="0" w:line="266" w:lineRule="auto"/>
        <w:tabs>
          <w:tab w:leader="none" w:pos="602"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RSUs and related dividend equivalents are subject to more rules described in the Plan. You</w:t>
      </w:r>
      <w:r>
        <w:rPr>
          <w:rFonts w:ascii="Arial" w:cs="Arial" w:eastAsia="Arial" w:hAnsi="Arial"/>
          <w:sz w:val="18"/>
          <w:szCs w:val="18"/>
          <w:b w:val="1"/>
          <w:bCs w:val="1"/>
          <w:color w:val="auto"/>
        </w:rPr>
        <w:t xml:space="preserve"> </w:t>
      </w:r>
      <w:r>
        <w:rPr>
          <w:rFonts w:ascii="Arial" w:cs="Arial" w:eastAsia="Arial" w:hAnsi="Arial"/>
          <w:sz w:val="18"/>
          <w:szCs w:val="18"/>
          <w:color w:val="auto"/>
        </w:rPr>
        <w:t>should read the Plan carefully to ensure you fully understand all the terms and conditions of the grant of RSUs and related dividend equivalents under this Award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YOUR ACKNOWLEDGMENT OF AWARD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85" w:lineRule="exact"/>
        <w:rPr>
          <w:sz w:val="20"/>
          <w:szCs w:val="20"/>
          <w:color w:val="auto"/>
        </w:rPr>
      </w:pPr>
    </w:p>
    <w:p>
      <w:pPr>
        <w:ind w:left="600" w:hanging="235"/>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98" w:lineRule="exact"/>
        <w:rPr>
          <w:rFonts w:ascii="Arial" w:cs="Arial" w:eastAsia="Arial" w:hAnsi="Arial"/>
          <w:sz w:val="18"/>
          <w:szCs w:val="18"/>
          <w:color w:val="auto"/>
        </w:rPr>
      </w:pPr>
    </w:p>
    <w:p>
      <w:pPr>
        <w:ind w:left="620" w:hanging="255"/>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w:t>
      </w:r>
    </w:p>
    <w:p>
      <w:pPr>
        <w:spacing w:after="0" w:line="184" w:lineRule="exact"/>
        <w:rPr>
          <w:rFonts w:ascii="Arial" w:cs="Arial" w:eastAsia="Arial" w:hAnsi="Arial"/>
          <w:sz w:val="18"/>
          <w:szCs w:val="18"/>
          <w:color w:val="auto"/>
        </w:rPr>
      </w:pPr>
    </w:p>
    <w:p>
      <w:pPr>
        <w:jc w:val="both"/>
        <w:ind w:right="559" w:firstLine="365"/>
        <w:spacing w:after="0" w:line="259" w:lineRule="auto"/>
        <w:tabs>
          <w:tab w:leader="none" w:pos="6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46" w:lineRule="exact"/>
        <w:rPr>
          <w:rFonts w:ascii="Arial" w:cs="Arial" w:eastAsia="Arial" w:hAnsi="Arial"/>
          <w:sz w:val="18"/>
          <w:szCs w:val="18"/>
          <w:color w:val="auto"/>
        </w:rPr>
      </w:pPr>
    </w:p>
    <w:p>
      <w:pPr>
        <w:ind w:left="620" w:hanging="255"/>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You must return a signed copy of this Award Agreement to the address given above before [Date 30 Days After Grant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4940" w:type="dxa"/>
            <w:vAlign w:val="bottom"/>
            <w:gridSpan w:val="3"/>
          </w:tcPr>
          <w:p>
            <w:pPr>
              <w:ind w:left="112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3580" w:type="dxa"/>
            <w:vAlign w:val="bottom"/>
            <w:gridSpan w:val="3"/>
          </w:tcPr>
          <w:p>
            <w:pPr>
              <w:spacing w:after="0"/>
              <w:rPr>
                <w:sz w:val="20"/>
                <w:szCs w:val="20"/>
                <w:color w:val="auto"/>
              </w:rPr>
            </w:pPr>
            <w:r>
              <w:rPr>
                <w:rFonts w:ascii="Arial" w:cs="Arial" w:eastAsia="Arial" w:hAnsi="Arial"/>
                <w:sz w:val="18"/>
                <w:szCs w:val="18"/>
                <w:color w:val="auto"/>
              </w:rPr>
              <w:t>By:</w:t>
            </w:r>
          </w:p>
        </w:tc>
        <w:tc>
          <w:tcPr>
            <w:tcW w:w="4940" w:type="dxa"/>
            <w:vAlign w:val="bottom"/>
            <w:gridSpan w:val="3"/>
          </w:tcPr>
          <w:p>
            <w:pPr>
              <w:ind w:left="1120"/>
              <w:spacing w:after="0"/>
              <w:rPr>
                <w:sz w:val="20"/>
                <w:szCs w:val="20"/>
                <w:color w:val="auto"/>
              </w:rPr>
            </w:pPr>
            <w:r>
              <w:rPr>
                <w:rFonts w:ascii="Arial" w:cs="Arial" w:eastAsia="Arial" w:hAnsi="Arial"/>
                <w:sz w:val="18"/>
                <w:szCs w:val="18"/>
                <w:color w:val="auto"/>
              </w:rPr>
              <w:t>By:</w:t>
            </w:r>
          </w:p>
        </w:tc>
      </w:tr>
      <w:tr>
        <w:trPr>
          <w:trHeight w:val="223"/>
        </w:trPr>
        <w:tc>
          <w:tcPr>
            <w:tcW w:w="300" w:type="dxa"/>
            <w:vAlign w:val="bottom"/>
          </w:tcPr>
          <w:p>
            <w:pPr>
              <w:spacing w:after="0"/>
              <w:rPr>
                <w:sz w:val="20"/>
                <w:szCs w:val="20"/>
                <w:color w:val="auto"/>
              </w:rPr>
            </w:pPr>
            <w:r>
              <w:rPr>
                <w:rFonts w:ascii="Arial" w:cs="Arial" w:eastAsia="Arial" w:hAnsi="Arial"/>
                <w:sz w:val="18"/>
                <w:szCs w:val="18"/>
                <w:color w:val="auto"/>
                <w:w w:val="73"/>
              </w:rPr>
              <w:t>Date</w:t>
            </w:r>
          </w:p>
        </w:tc>
        <w:tc>
          <w:tcPr>
            <w:tcW w:w="32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signed:</w:t>
            </w:r>
          </w:p>
        </w:tc>
        <w:tc>
          <w:tcPr>
            <w:tcW w:w="1420" w:type="dxa"/>
            <w:vAlign w:val="bottom"/>
          </w:tcPr>
          <w:p>
            <w:pPr>
              <w:spacing w:after="0"/>
              <w:rPr>
                <w:sz w:val="19"/>
                <w:szCs w:val="19"/>
                <w:color w:val="auto"/>
              </w:rPr>
            </w:pPr>
          </w:p>
        </w:tc>
        <w:tc>
          <w:tcPr>
            <w:tcW w:w="3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of Company Representative]</w:t>
            </w:r>
          </w:p>
        </w:tc>
      </w:tr>
      <w:tr>
        <w:trPr>
          <w:trHeight w:val="209"/>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[Title of Company Representative]</w:t>
            </w:r>
          </w:p>
        </w:tc>
      </w:tr>
      <w:tr>
        <w:trPr>
          <w:trHeight w:val="230"/>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60" w:type="dxa"/>
            <w:vAlign w:val="bottom"/>
            <w:gridSpan w:val="2"/>
          </w:tcPr>
          <w:p>
            <w:pPr>
              <w:ind w:left="1120"/>
              <w:spacing w:after="0"/>
              <w:rPr>
                <w:sz w:val="20"/>
                <w:szCs w:val="20"/>
                <w:color w:val="auto"/>
              </w:rPr>
            </w:pPr>
            <w:r>
              <w:rPr>
                <w:rFonts w:ascii="Arial" w:cs="Arial" w:eastAsia="Arial" w:hAnsi="Arial"/>
                <w:sz w:val="18"/>
                <w:szCs w:val="18"/>
                <w:color w:val="auto"/>
              </w:rPr>
              <w:t>Date signed:</w:t>
            </w:r>
          </w:p>
        </w:tc>
        <w:tc>
          <w:tcPr>
            <w:tcW w:w="278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879"/>
          </w:cols>
          <w:pgMar w:left="580" w:top="932" w:right="1440" w:bottom="1440" w:gutter="0" w:footer="0" w:header="0"/>
        </w:sectPr>
      </w:pPr>
    </w:p>
    <w:bookmarkStart w:id="59" w:name="page60"/>
    <w:bookmarkEnd w:id="59"/>
    <w:p>
      <w:pPr>
        <w:jc w:val="right"/>
        <w:ind w:right="559"/>
        <w:spacing w:after="0"/>
        <w:rPr>
          <w:sz w:val="20"/>
          <w:szCs w:val="20"/>
          <w:color w:val="auto"/>
        </w:rPr>
      </w:pPr>
      <w:r>
        <w:rPr>
          <w:rFonts w:ascii="Arial" w:cs="Arial" w:eastAsia="Arial" w:hAnsi="Arial"/>
          <w:sz w:val="18"/>
          <w:szCs w:val="18"/>
          <w:color w:val="auto"/>
        </w:rPr>
        <w:t>Exhibit 10.3</w:t>
      </w:r>
    </w:p>
    <w:p>
      <w:pPr>
        <w:spacing w:after="0" w:line="18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2006 LONG-TERM INCENTIVE PLAN</w:t>
      </w:r>
    </w:p>
    <w:p>
      <w:pPr>
        <w:spacing w:after="0" w:line="18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RESTRICTED STOCK UNIT AWARD AGREEMENT FOR EMPLOYEES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(with related dividend equivalents)</w:t>
      </w:r>
    </w:p>
    <w:p>
      <w:pPr>
        <w:spacing w:after="0" w:line="16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RESTRICTED STOCK UNITS GRANTED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[Grantee’s Name] ON [Grant Date]</w:t>
      </w:r>
    </w:p>
    <w:p>
      <w:pPr>
        <w:spacing w:after="0" w:line="170" w:lineRule="exact"/>
        <w:rPr>
          <w:sz w:val="20"/>
          <w:szCs w:val="20"/>
          <w:color w:val="auto"/>
        </w:rPr>
      </w:pPr>
    </w:p>
    <w:p>
      <w:pPr>
        <w:jc w:val="both"/>
        <w:ind w:right="559"/>
        <w:spacing w:after="0" w:line="276" w:lineRule="auto"/>
        <w:rPr>
          <w:sz w:val="20"/>
          <w:szCs w:val="20"/>
          <w:color w:val="auto"/>
        </w:rPr>
      </w:pPr>
      <w:r>
        <w:rPr>
          <w:rFonts w:ascii="Arial" w:cs="Arial" w:eastAsia="Arial" w:hAnsi="Arial"/>
          <w:sz w:val="17"/>
          <w:szCs w:val="17"/>
          <w:color w:val="auto"/>
        </w:rPr>
        <w:t>The Scotts Miracle-Gro Company (the “Company”) believes that its business interests are best served by ensuring that you have an opportunity to share in the Company’s business success. To this end, the Company adopted The Scotts Miracle-Gro Company Amended and Restated 2006 Long-Term Incentive Plan (the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146"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Read the Plan, this Award Agreement and the Plan Prospectus, as supplemented, carefully; and</w:t>
      </w:r>
    </w:p>
    <w:p>
      <w:pPr>
        <w:spacing w:after="0" w:line="184" w:lineRule="exact"/>
        <w:rPr>
          <w:sz w:val="20"/>
          <w:szCs w:val="20"/>
          <w:color w:val="auto"/>
        </w:rPr>
      </w:pPr>
    </w:p>
    <w:p>
      <w:pPr>
        <w:ind w:left="180" w:right="559"/>
        <w:spacing w:after="0" w:line="277" w:lineRule="auto"/>
        <w:rPr>
          <w:sz w:val="20"/>
          <w:szCs w:val="20"/>
          <w:color w:val="auto"/>
        </w:rPr>
      </w:pPr>
      <w:r>
        <w:rPr>
          <w:rFonts w:ascii="Arial" w:cs="Arial" w:eastAsia="Arial" w:hAnsi="Arial"/>
          <w:sz w:val="18"/>
          <w:szCs w:val="18"/>
          <w:color w:val="auto"/>
        </w:rPr>
        <w:t>– Contact [Title] at [Telephone Number] if you have any questions about your Award. Or, you may send a written inquiry to the address shown below:</w:t>
      </w:r>
    </w:p>
    <w:p>
      <w:pPr>
        <w:spacing w:after="0" w:line="14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Marysville, Ohio 43041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[TPA Contact’s Address]</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[TPA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60" w:name="page61"/>
    <w:bookmarkEnd w:id="60"/>
    <w:p>
      <w:pPr>
        <w:ind w:left="8"/>
        <w:spacing w:after="0"/>
        <w:rPr>
          <w:sz w:val="20"/>
          <w:szCs w:val="20"/>
          <w:color w:val="auto"/>
        </w:rPr>
      </w:pPr>
      <w:r>
        <w:rPr>
          <w:rFonts w:ascii="Arial" w:cs="Arial" w:eastAsia="Arial" w:hAnsi="Arial"/>
          <w:sz w:val="18"/>
          <w:szCs w:val="18"/>
          <w:b w:val="1"/>
          <w:bCs w:val="1"/>
          <w:color w:val="auto"/>
        </w:rPr>
        <w:t>1. DESCRIPTION OF YOUR RESTRICTED STOCK UNITS</w:t>
      </w:r>
    </w:p>
    <w:p>
      <w:pPr>
        <w:spacing w:after="0" w:line="202" w:lineRule="exact"/>
        <w:rPr>
          <w:sz w:val="20"/>
          <w:szCs w:val="20"/>
          <w:color w:val="auto"/>
        </w:rPr>
      </w:pPr>
    </w:p>
    <w:p>
      <w:pPr>
        <w:jc w:val="both"/>
        <w:ind w:left="8" w:right="559"/>
        <w:spacing w:after="0" w:line="293" w:lineRule="auto"/>
        <w:rPr>
          <w:sz w:val="20"/>
          <w:szCs w:val="20"/>
          <w:color w:val="auto"/>
        </w:rPr>
      </w:pPr>
      <w:r>
        <w:rPr>
          <w:rFonts w:ascii="Arial" w:cs="Arial" w:eastAsia="Arial" w:hAnsi="Arial"/>
          <w:sz w:val="16"/>
          <w:szCs w:val="16"/>
          <w:color w:val="auto"/>
        </w:rPr>
        <w:t>You have been granted [Number] Restricted Stock Units (“RSUs”) and an equal number of related dividend equivalent rights, subject to the terms and conditions of the Plan and this Award Agreement. The “Grant Date” of your Award is [Grant Date]. Each whole RSU represents the right to receive one full Share at the time and in the manner described in this Award Agreement. Subject to Section 3(g) of this Award Agreement, each dividend equivalent represents the right to receive an amount equal to the dividends that are declared and paid during the period beginning on the Grant Date and ending on the Settlement Date (as described in Section 2(b) of this Award Agreement) with respect to the Share represented by the related RSU.</w:t>
      </w:r>
    </w:p>
    <w:p>
      <w:pPr>
        <w:spacing w:after="0" w:line="120" w:lineRule="exact"/>
        <w:rPr>
          <w:sz w:val="20"/>
          <w:szCs w:val="20"/>
          <w:color w:val="auto"/>
        </w:rPr>
      </w:pPr>
    </w:p>
    <w:p>
      <w:pPr>
        <w:ind w:left="168" w:hanging="168"/>
        <w:spacing w:after="0"/>
        <w:tabs>
          <w:tab w:leader="none" w:pos="168"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w:t>
      </w:r>
    </w:p>
    <w:p>
      <w:pPr>
        <w:spacing w:after="0" w:line="184" w:lineRule="exact"/>
        <w:rPr>
          <w:rFonts w:ascii="Arial" w:cs="Arial" w:eastAsia="Arial" w:hAnsi="Arial"/>
          <w:sz w:val="18"/>
          <w:szCs w:val="18"/>
          <w:b w:val="1"/>
          <w:bCs w:val="1"/>
          <w:color w:val="auto"/>
        </w:rPr>
      </w:pPr>
    </w:p>
    <w:p>
      <w:pPr>
        <w:ind w:left="8" w:right="559" w:firstLine="365"/>
        <w:spacing w:after="0" w:line="282" w:lineRule="auto"/>
        <w:tabs>
          <w:tab w:leader="none" w:pos="639"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Subject to Sections 3(a) and 3(b) of this Award Agreement, your RSUs will become 100% vested on [Third</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Grant Date] (“Vesting Date”).</w:t>
      </w:r>
    </w:p>
    <w:p>
      <w:pPr>
        <w:spacing w:after="0" w:line="134" w:lineRule="exact"/>
        <w:rPr>
          <w:rFonts w:ascii="Arial" w:cs="Arial" w:eastAsia="Arial" w:hAnsi="Arial"/>
          <w:sz w:val="18"/>
          <w:szCs w:val="18"/>
          <w:color w:val="auto"/>
        </w:rPr>
      </w:pPr>
    </w:p>
    <w:p>
      <w:pPr>
        <w:jc w:val="both"/>
        <w:ind w:left="8" w:right="559" w:firstLine="365"/>
        <w:spacing w:after="0" w:line="258" w:lineRule="auto"/>
        <w:tabs>
          <w:tab w:leader="none" w:pos="649"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Settlement</w:t>
      </w:r>
      <w:r>
        <w:rPr>
          <w:rFonts w:ascii="Arial" w:cs="Arial" w:eastAsia="Arial" w:hAnsi="Arial"/>
          <w:sz w:val="18"/>
          <w:szCs w:val="18"/>
          <w:color w:val="auto"/>
        </w:rPr>
        <w:t>. Subject to the terms of the Plan and this Award Agreement, your vested RSUs shall be settled in a lump</w:t>
      </w:r>
      <w:r>
        <w:rPr>
          <w:rFonts w:ascii="Arial" w:cs="Arial" w:eastAsia="Arial" w:hAnsi="Arial"/>
          <w:sz w:val="18"/>
          <w:szCs w:val="18"/>
          <w:b w:val="1"/>
          <w:bCs w:val="1"/>
          <w:color w:val="auto"/>
        </w:rPr>
        <w:t xml:space="preserve"> </w:t>
      </w:r>
      <w:r>
        <w:rPr>
          <w:rFonts w:ascii="Arial" w:cs="Arial" w:eastAsia="Arial" w:hAnsi="Arial"/>
          <w:sz w:val="18"/>
          <w:szCs w:val="18"/>
          <w:color w:val="auto"/>
        </w:rPr>
        <w:t>sum as soon as administratively practicable, but no later than 90 days, following the earliest to occur of: (i) your death; (ii) the date you become Disabled (as defined in Section 2(c) of this Award Agreement); or (iii) [Vesting Date] (the “Settlement Date”). Your whole RSUs shall be settled in full Shares, and any fractional RSU shall be settled in cash, determined based upon the Fair Market Value of a Share on the Settlement Date.</w:t>
      </w:r>
    </w:p>
    <w:p>
      <w:pPr>
        <w:spacing w:after="0" w:line="143" w:lineRule="exact"/>
        <w:rPr>
          <w:rFonts w:ascii="Arial" w:cs="Arial" w:eastAsia="Arial" w:hAnsi="Arial"/>
          <w:sz w:val="18"/>
          <w:szCs w:val="18"/>
          <w:color w:val="auto"/>
        </w:rPr>
      </w:pPr>
    </w:p>
    <w:p>
      <w:pPr>
        <w:jc w:val="both"/>
        <w:ind w:left="8" w:right="559" w:firstLine="365"/>
        <w:spacing w:after="0" w:line="255" w:lineRule="auto"/>
        <w:tabs>
          <w:tab w:leader="none" w:pos="639"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Award Agreement, (i) “Disabled” means (A) any physical or mental condition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would qualify you for a disability benefit under any long-term disability plan maintained by the Company that is applicable to you, (B) if there is no such plan, such condition provided in any applicable governmental statute or regulation that constitutes “Disabled,” or (C) if there is no such applicable statute or regulation, such other condition as may be determined by the Company in its sole discretion to constitute “Disabled”; and (ii) “Terminate” (or any form thereof) means the date of notification of the cessation of the employee-employer relationship between you and the Company and all Affiliates and Subsidiaries for any reason.</w:t>
      </w:r>
    </w:p>
    <w:p>
      <w:pPr>
        <w:spacing w:after="0" w:line="148" w:lineRule="exact"/>
        <w:rPr>
          <w:rFonts w:ascii="Arial" w:cs="Arial" w:eastAsia="Arial" w:hAnsi="Arial"/>
          <w:sz w:val="18"/>
          <w:szCs w:val="18"/>
          <w:color w:val="auto"/>
        </w:rPr>
      </w:pPr>
    </w:p>
    <w:p>
      <w:pPr>
        <w:ind w:left="188" w:hanging="188"/>
        <w:spacing w:after="0"/>
        <w:tabs>
          <w:tab w:leader="none" w:pos="188"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98" w:lineRule="exact"/>
        <w:rPr>
          <w:rFonts w:ascii="Arial" w:cs="Arial" w:eastAsia="Arial" w:hAnsi="Arial"/>
          <w:sz w:val="18"/>
          <w:szCs w:val="18"/>
          <w:b w:val="1"/>
          <w:bCs w:val="1"/>
          <w:color w:val="auto"/>
        </w:rPr>
      </w:pPr>
    </w:p>
    <w:p>
      <w:pPr>
        <w:ind w:left="8" w:right="559" w:firstLine="365"/>
        <w:spacing w:after="0" w:line="282" w:lineRule="auto"/>
        <w:tabs>
          <w:tab w:leader="none" w:pos="639"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YOU MAY FORFEIT YOUR RSUs IF YOU TERMINATE. </w:t>
      </w:r>
      <w:r>
        <w:rPr>
          <w:rFonts w:ascii="Arial" w:cs="Arial" w:eastAsia="Arial" w:hAnsi="Arial"/>
          <w:sz w:val="18"/>
          <w:szCs w:val="18"/>
          <w:color w:val="auto"/>
        </w:rPr>
        <w:t>Except as otherwise provided in Section 3(b)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w:t>
      </w:r>
    </w:p>
    <w:p>
      <w:pPr>
        <w:spacing w:after="0" w:line="125" w:lineRule="exact"/>
        <w:rPr>
          <w:rFonts w:ascii="Arial" w:cs="Arial" w:eastAsia="Arial" w:hAnsi="Arial"/>
          <w:sz w:val="18"/>
          <w:szCs w:val="18"/>
          <w:color w:val="auto"/>
        </w:rPr>
      </w:pPr>
    </w:p>
    <w:p>
      <w:pPr>
        <w:jc w:val="both"/>
        <w:ind w:left="368" w:right="559" w:firstLine="364"/>
        <w:spacing w:after="0" w:line="274" w:lineRule="auto"/>
        <w:tabs>
          <w:tab w:leader="none" w:pos="950" w:val="left"/>
        </w:tabs>
        <w:numPr>
          <w:ilvl w:val="2"/>
          <w:numId w:val="27"/>
        </w:numPr>
        <w:rPr>
          <w:rFonts w:ascii="Arial" w:cs="Arial" w:eastAsia="Arial" w:hAnsi="Arial"/>
          <w:sz w:val="17"/>
          <w:szCs w:val="17"/>
          <w:color w:val="auto"/>
        </w:rPr>
      </w:pPr>
      <w:r>
        <w:rPr>
          <w:rFonts w:ascii="Arial" w:cs="Arial" w:eastAsia="Arial" w:hAnsi="Arial"/>
          <w:sz w:val="17"/>
          <w:szCs w:val="17"/>
          <w:color w:val="auto"/>
        </w:rPr>
        <w:t>if, prior to the Vesting Date, you (A) Terminate after reaching either (I) age 55 and completing at least 10 years of employment with the Company, its Affiliates and/or its Subsidiaries or (II) age 62 regardless of your years of service,</w:t>
      </w:r>
    </w:p>
    <w:p>
      <w:pPr>
        <w:ind w:left="368" w:right="559"/>
        <w:spacing w:after="0" w:line="261" w:lineRule="auto"/>
        <w:rPr>
          <w:rFonts w:ascii="Arial" w:cs="Arial" w:eastAsia="Arial" w:hAnsi="Arial"/>
          <w:sz w:val="17"/>
          <w:szCs w:val="17"/>
          <w:color w:val="auto"/>
        </w:rPr>
      </w:pPr>
      <w:r>
        <w:rPr>
          <w:rFonts w:ascii="Arial" w:cs="Arial" w:eastAsia="Arial" w:hAnsi="Arial"/>
          <w:sz w:val="18"/>
          <w:szCs w:val="18"/>
          <w:color w:val="auto"/>
        </w:rPr>
        <w:t>(B) die, or (C) become Disabled, your RSUs will become 100% vested as of the date of such event and will be settled in accordance with Section 2(b) of this Award Agreement; and</w:t>
      </w:r>
    </w:p>
    <w:p>
      <w:pPr>
        <w:spacing w:after="0" w:line="143" w:lineRule="exact"/>
        <w:rPr>
          <w:rFonts w:ascii="Arial" w:cs="Arial" w:eastAsia="Arial" w:hAnsi="Arial"/>
          <w:sz w:val="17"/>
          <w:szCs w:val="17"/>
          <w:color w:val="auto"/>
        </w:rPr>
      </w:pPr>
    </w:p>
    <w:p>
      <w:pPr>
        <w:ind w:left="368" w:right="559" w:firstLine="364"/>
        <w:spacing w:after="0" w:line="277" w:lineRule="auto"/>
        <w:tabs>
          <w:tab w:leader="none" w:pos="1037" w:val="left"/>
        </w:tabs>
        <w:numPr>
          <w:ilvl w:val="2"/>
          <w:numId w:val="27"/>
        </w:numPr>
        <w:rPr>
          <w:rFonts w:ascii="Arial" w:cs="Arial" w:eastAsia="Arial" w:hAnsi="Arial"/>
          <w:sz w:val="18"/>
          <w:szCs w:val="18"/>
          <w:color w:val="auto"/>
        </w:rPr>
      </w:pPr>
      <w:r>
        <w:rPr>
          <w:rFonts w:ascii="Arial" w:cs="Arial" w:eastAsia="Arial" w:hAnsi="Arial"/>
          <w:sz w:val="18"/>
          <w:szCs w:val="18"/>
          <w:color w:val="auto"/>
        </w:rPr>
        <w:t>if, prior to the Vesting Date, you Terminate for any reason not described in Section 3(a)(i) of this Award Agreement, your RSUs will be forfeited immediately.</w:t>
      </w:r>
    </w:p>
    <w:p>
      <w:pPr>
        <w:spacing w:after="0" w:line="143"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398780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61" w:name="page62"/>
    <w:bookmarkEnd w:id="61"/>
    <w:p>
      <w:pPr>
        <w:jc w:val="both"/>
        <w:ind w:left="-365" w:right="559" w:firstLine="365"/>
        <w:spacing w:after="0" w:line="289" w:lineRule="auto"/>
        <w:tabs>
          <w:tab w:leader="none" w:pos="276"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Normally, your RSUs will vest and be settled only under the circumstances described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Sections 2 and 3(a)(i) of this Award Agreement. However, if there is a Change in Control, your RSUs will vest and be settled as described in the Plan. You should read the Plan carefully to ensure that you understand how this may happen.</w:t>
      </w:r>
    </w:p>
    <w:p>
      <w:pPr>
        <w:spacing w:after="0" w:line="131" w:lineRule="exact"/>
        <w:rPr>
          <w:rFonts w:ascii="Arial" w:cs="Arial" w:eastAsia="Arial" w:hAnsi="Arial"/>
          <w:sz w:val="17"/>
          <w:szCs w:val="17"/>
          <w:color w:val="auto"/>
        </w:rPr>
      </w:pPr>
    </w:p>
    <w:p>
      <w:pPr>
        <w:jc w:val="both"/>
        <w:ind w:left="-365" w:right="559" w:firstLine="365"/>
        <w:spacing w:after="0" w:line="256" w:lineRule="auto"/>
        <w:tabs>
          <w:tab w:leader="none" w:pos="266"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NO RIGHT TO EMPLOYMENT</w:t>
      </w:r>
      <w:r>
        <w:rPr>
          <w:rFonts w:ascii="Arial" w:cs="Arial" w:eastAsia="Arial" w:hAnsi="Arial"/>
          <w:sz w:val="18"/>
          <w:szCs w:val="18"/>
          <w:color w:val="auto"/>
        </w:rPr>
        <w:t>. Your RSU award is a voluntary, discretionary bonus being made on a one-time</w:t>
      </w:r>
      <w:r>
        <w:rPr>
          <w:rFonts w:ascii="Arial" w:cs="Arial" w:eastAsia="Arial" w:hAnsi="Arial"/>
          <w:sz w:val="18"/>
          <w:szCs w:val="18"/>
          <w:b w:val="1"/>
          <w:bCs w:val="1"/>
          <w:color w:val="auto"/>
        </w:rPr>
        <w:t xml:space="preserve"> </w:t>
      </w:r>
      <w:r>
        <w:rPr>
          <w:rFonts w:ascii="Arial" w:cs="Arial" w:eastAsia="Arial" w:hAnsi="Arial"/>
          <w:sz w:val="18"/>
          <w:szCs w:val="18"/>
          <w:color w:val="auto"/>
        </w:rPr>
        <w:t>basis and it does not constitute a commitment to make any future awards. This Award and any payments made hereunder will not be considered salary or other compensation for purposes of any severance pay or similar allowance, except as otherwise required by law. Nothing in this Award Agreement will give you any right to continue employment with the Company or any Subsidiary or Affiliate, as the case may be, or interfere in any way with the right of the Company or a Subsidiary or an Affiliate to terminate your employment.</w:t>
      </w:r>
    </w:p>
    <w:p>
      <w:pPr>
        <w:spacing w:after="0" w:line="147" w:lineRule="exact"/>
        <w:rPr>
          <w:rFonts w:ascii="Arial" w:cs="Arial" w:eastAsia="Arial" w:hAnsi="Arial"/>
          <w:sz w:val="18"/>
          <w:szCs w:val="18"/>
          <w:color w:val="auto"/>
        </w:rPr>
      </w:pPr>
    </w:p>
    <w:p>
      <w:pPr>
        <w:jc w:val="both"/>
        <w:ind w:left="-365" w:right="559" w:firstLine="365"/>
        <w:spacing w:after="0" w:line="286" w:lineRule="auto"/>
        <w:tabs>
          <w:tab w:leader="none" w:pos="263"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 Information about you and your participation in the Plan, including, but not limited to, your name,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home address and telephone number, date of birth, social insurance number, salary, nationality, job title, any shares of stock or directorships held in the Company, details of your RSUs or other entitlement to shares of stock awarded, cancelled, exercised, vested, unvested or outstanding in your favor, may be collected, recorded, held, used and disclosed for any purpose related to the administration and management of the Plan and in order to satisfy legal and regulatory requirements. You understand that the Company will keep your personal data in accordance with the rules set forth by Law No. 78-17, dated January 6, 1978, related to “software, files and liberties” (the “Law”). The Company will also take reasonable measures in order to protect your personal data and to observe the requirements set forth by the </w:t>
      </w:r>
      <w:r>
        <w:rPr>
          <w:rFonts w:ascii="Arial" w:cs="Arial" w:eastAsia="Arial" w:hAnsi="Arial"/>
          <w:sz w:val="16"/>
          <w:szCs w:val="16"/>
          <w:u w:val="single" w:color="auto"/>
          <w:color w:val="auto"/>
        </w:rPr>
        <w:t>Commission Nationale de l’Informatique et des Libertés</w:t>
      </w:r>
      <w:r>
        <w:rPr>
          <w:rFonts w:ascii="Arial" w:cs="Arial" w:eastAsia="Arial" w:hAnsi="Arial"/>
          <w:sz w:val="16"/>
          <w:szCs w:val="16"/>
          <w:color w:val="auto"/>
        </w:rPr>
        <w:t>. Pursuant to the Law, you have the right to access, correct and request deletion of any of your personal data that is inaccurate, incomplete, ambiguous, obsolete or whose collection, use, communication or conservation is prohibited. You also understand that the Company and its Subsidiaries or Affiliates may transfer such information to any third party administrators, regardless of whether such persons are located within your country of residence, the European Economic Area or in countries outside of the European Economic Area, including the United States of America, where the rules protecting such data are less stringent than those applicable within the European Economic Area. You expressly consent and agree to the collection, holding, use, disclosure, transfer in electronic or other form, and processing of information relating to you and your participation in the Plan.</w:t>
      </w:r>
    </w:p>
    <w:p>
      <w:pPr>
        <w:spacing w:after="0" w:line="132" w:lineRule="exact"/>
        <w:rPr>
          <w:sz w:val="20"/>
          <w:szCs w:val="20"/>
          <w:color w:val="auto"/>
        </w:rPr>
      </w:pPr>
    </w:p>
    <w:p>
      <w:pPr>
        <w:ind w:left="4255"/>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407035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2" w:right="1440"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auto"/>
        </w:rPr>
        <w:t>French translation:</w:t>
      </w:r>
    </w:p>
    <w:p>
      <w:pPr>
        <w:spacing w:after="0" w:line="198" w:lineRule="exact"/>
        <w:rPr>
          <w:sz w:val="20"/>
          <w:szCs w:val="20"/>
          <w:color w:val="auto"/>
        </w:rPr>
      </w:pPr>
    </w:p>
    <w:p>
      <w:pPr>
        <w:jc w:val="both"/>
        <w:ind w:right="559" w:firstLine="365"/>
        <w:spacing w:after="0" w:line="285" w:lineRule="auto"/>
        <w:tabs>
          <w:tab w:leader="none" w:pos="641"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PROTECTION DES DONNES PERSONNELLES</w:t>
      </w:r>
      <w:r>
        <w:rPr>
          <w:rFonts w:ascii="Arial" w:cs="Arial" w:eastAsia="Arial" w:hAnsi="Arial"/>
          <w:sz w:val="16"/>
          <w:szCs w:val="16"/>
          <w:color w:val="auto"/>
        </w:rPr>
        <w:t>. Les informations vous concernant ainsi que votre participation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dans le Plan, y compris mais non limitativement, votre nom, votre adresse personnelle et numéro de téléphone, date de naissance, numéro de sécurité sociale, salaire, nationalité, intitulé de poste, toutes participations ou tous mandats détenus dans la Société, les renseignements sur le RSUs ou sur tout autre droit à des participations octroyées, annulées, exercées, disponibles ou non disponbiles ou en circulation en votre faveur, peuvent être rassemblées, enregistrées, détenues, utilisées et divulguées pour toute raison liée à l’administration et la gestion du Plan et afin de satisfaire aux exigences légales et réglementaires. Vous comprenez que la Société conservera vos données personnelles conformément aux règles posées par la Loi No. 78-17 du 7 janvier 1978 relative à “l’informatique, aux fichiers et aux libertés” (la “Loi”). La Société pendra également toutes les mesures raisonnables afin de protéger vos données personnelles et d’observer les exigences posées par la Commission Nationale de l’Informatique et des Libertés. En application de la Loi, vous bénéficiez d’un droit d’accès, de modification et de suppression de vos données personelles qui seraient incorrectes, incomplètes, ambigües, obsolètes ou dont la collecte, l’utilisation, la communication ou la conservation seraient prohibées. Vous comprenez également que la Société et ses Filiales ou Sociétés Affiliées peuvent transférer ces informations à des tiers administrateurs, peu importe que ces personnes soient situées dans votre pays de résidence, l’Espace Economique Européen ou dans des pays autres que l’Espace Economique Européen, y compris, les Etas-Unis d’Amérique, où les règles de protection de telles données personnelles sont moins contraingrantes que celles applicables dans l’Espace Economique Européen. Vous consentez expressément et vous acceptez la collecte, la détention, l’utilisation, la divulgation, le transfert sous forme électronique ou autre et plus généralement le traitement des informations vous concernant et concernant votre participation au Plan.</w:t>
      </w:r>
    </w:p>
    <w:p>
      <w:pPr>
        <w:spacing w:after="0" w:line="132" w:lineRule="exact"/>
        <w:rPr>
          <w:rFonts w:ascii="Arial" w:cs="Arial" w:eastAsia="Arial" w:hAnsi="Arial"/>
          <w:sz w:val="16"/>
          <w:szCs w:val="16"/>
          <w:color w:val="auto"/>
        </w:rPr>
      </w:pPr>
    </w:p>
    <w:p>
      <w:pPr>
        <w:ind w:right="559" w:firstLine="365"/>
        <w:spacing w:after="0" w:line="282" w:lineRule="auto"/>
        <w:tabs>
          <w:tab w:leader="none" w:pos="618"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or the Plan at any time.</w:t>
      </w:r>
    </w:p>
    <w:p>
      <w:pPr>
        <w:spacing w:after="0" w:line="121" w:lineRule="exact"/>
        <w:rPr>
          <w:rFonts w:ascii="Arial" w:cs="Arial" w:eastAsia="Arial" w:hAnsi="Arial"/>
          <w:sz w:val="18"/>
          <w:szCs w:val="18"/>
          <w:color w:val="auto"/>
        </w:rPr>
      </w:pPr>
    </w:p>
    <w:p>
      <w:pPr>
        <w:jc w:val="both"/>
        <w:ind w:right="559" w:firstLine="365"/>
        <w:spacing w:after="0" w:line="266" w:lineRule="auto"/>
        <w:tabs>
          <w:tab w:leader="none" w:pos="598"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RSUs ARE SETTLED. </w:t>
      </w:r>
      <w:r>
        <w:rPr>
          <w:rFonts w:ascii="Arial" w:cs="Arial" w:eastAsia="Arial" w:hAnsi="Arial"/>
          <w:sz w:val="18"/>
          <w:szCs w:val="18"/>
          <w:color w:val="auto"/>
        </w:rPr>
        <w:t>Except as provided in Section 3(g) of this Award Agreement, you</w:t>
      </w:r>
      <w:r>
        <w:rPr>
          <w:rFonts w:ascii="Arial" w:cs="Arial" w:eastAsia="Arial" w:hAnsi="Arial"/>
          <w:sz w:val="18"/>
          <w:szCs w:val="18"/>
          <w:b w:val="1"/>
          <w:bCs w:val="1"/>
          <w:color w:val="auto"/>
        </w:rPr>
        <w:t xml:space="preserve"> </w:t>
      </w:r>
      <w:r>
        <w:rPr>
          <w:rFonts w:ascii="Arial" w:cs="Arial" w:eastAsia="Arial" w:hAnsi="Arial"/>
          <w:sz w:val="18"/>
          <w:szCs w:val="18"/>
          <w:color w:val="auto"/>
        </w:rPr>
        <w:t>will have none of the rights of a shareholder with respect to Shares underlying the RSUs unless and until you become the record holder of such Shares.</w:t>
      </w:r>
    </w:p>
    <w:p>
      <w:pPr>
        <w:spacing w:after="0" w:line="149" w:lineRule="exact"/>
        <w:rPr>
          <w:rFonts w:ascii="Arial" w:cs="Arial" w:eastAsia="Arial" w:hAnsi="Arial"/>
          <w:sz w:val="18"/>
          <w:szCs w:val="18"/>
          <w:color w:val="auto"/>
        </w:rPr>
      </w:pPr>
    </w:p>
    <w:p>
      <w:pPr>
        <w:jc w:val="both"/>
        <w:ind w:right="559" w:firstLine="365"/>
        <w:spacing w:after="0" w:line="256" w:lineRule="auto"/>
        <w:tabs>
          <w:tab w:leader="none" w:pos="641"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You will be entitled to receive a dividend equivalent equal to any dividends declared</w:t>
      </w:r>
      <w:r>
        <w:rPr>
          <w:rFonts w:ascii="Arial" w:cs="Arial" w:eastAsia="Arial" w:hAnsi="Arial"/>
          <w:sz w:val="18"/>
          <w:szCs w:val="18"/>
          <w:b w:val="1"/>
          <w:bCs w:val="1"/>
          <w:color w:val="auto"/>
        </w:rPr>
        <w:t xml:space="preserve"> </w:t>
      </w:r>
      <w:r>
        <w:rPr>
          <w:rFonts w:ascii="Arial" w:cs="Arial" w:eastAsia="Arial" w:hAnsi="Arial"/>
          <w:sz w:val="18"/>
          <w:szCs w:val="18"/>
          <w:color w:val="auto"/>
        </w:rPr>
        <w:t>and paid on each Share represented by a related RSU, subject to the same terms and conditions as the related RSU. Any dividend equivalents described in this Section 3(g) will be distributed to you in accordance with Section 2(b) of this Award Agreement or forfeited, depending on whether or not you have met the conditions described in this Award Agreement and the Plan. Any such distributions will be made in (i) cash, for any dividend equivalents relating to cash dividends and (ii) Shares, for any dividend equivalents relating to Share dividends.</w:t>
      </w:r>
    </w:p>
    <w:p>
      <w:pPr>
        <w:spacing w:after="0" w:line="147" w:lineRule="exact"/>
        <w:rPr>
          <w:rFonts w:ascii="Arial" w:cs="Arial" w:eastAsia="Arial" w:hAnsi="Arial"/>
          <w:sz w:val="18"/>
          <w:szCs w:val="18"/>
          <w:color w:val="auto"/>
        </w:rPr>
      </w:pPr>
    </w:p>
    <w:p>
      <w:pPr>
        <w:jc w:val="both"/>
        <w:ind w:right="559" w:firstLine="365"/>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any RSUs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equivalents that vest before you die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47" w:lineRule="exact"/>
        <w:rPr>
          <w:rFonts w:ascii="Arial" w:cs="Arial" w:eastAsia="Arial" w:hAnsi="Arial"/>
          <w:sz w:val="18"/>
          <w:szCs w:val="18"/>
          <w:color w:val="auto"/>
        </w:rPr>
      </w:pPr>
    </w:p>
    <w:p>
      <w:pPr>
        <w:jc w:val="both"/>
        <w:ind w:right="559" w:firstLine="365"/>
        <w:spacing w:after="0" w:line="295" w:lineRule="auto"/>
        <w:tabs>
          <w:tab w:leader="none" w:pos="588"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TRANSFERRING YOUR RSUs AND RELATED DIVIDEND EQUIVALENTS. </w:t>
      </w:r>
      <w:r>
        <w:rPr>
          <w:rFonts w:ascii="Arial" w:cs="Arial" w:eastAsia="Arial" w:hAnsi="Arial"/>
          <w:sz w:val="16"/>
          <w:szCs w:val="16"/>
          <w:color w:val="auto"/>
        </w:rPr>
        <w:t>Normally, your RSUs and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equivalents may not be transferred to another person. However, as described in Section 3(h) of this Award Agreement, you may complete a Beneficiary Designation Form to name the person to receive any RSUs and related dividend equivalents that are vested before you die but are settled after you die. Also, the Committee may allow you to place your RSUs and related dividend equivalents into a trust established for your benefit or the benefit of your family. Contact [Third Party Administrator] at [TPA Telephone Number] or at the address given above if you are interested in doing this.</w:t>
      </w:r>
    </w:p>
    <w:p>
      <w:pPr>
        <w:spacing w:after="0" w:line="13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3" w:name="page64"/>
    <w:bookmarkEnd w:id="63"/>
    <w:p>
      <w:pPr>
        <w:jc w:val="both"/>
        <w:ind w:left="8" w:right="559" w:firstLine="365"/>
        <w:spacing w:after="0" w:line="258" w:lineRule="auto"/>
        <w:tabs>
          <w:tab w:leader="none" w:pos="609"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The Company may, in its sole discretion, deliver any documents related to your RSUs</w:t>
      </w:r>
      <w:r>
        <w:rPr>
          <w:rFonts w:ascii="Arial" w:cs="Arial" w:eastAsia="Arial" w:hAnsi="Arial"/>
          <w:sz w:val="18"/>
          <w:szCs w:val="18"/>
          <w:b w:val="1"/>
          <w:bCs w:val="1"/>
          <w:color w:val="auto"/>
        </w:rPr>
        <w:t xml:space="preserve"> </w:t>
      </w:r>
      <w:r>
        <w:rPr>
          <w:rFonts w:ascii="Arial" w:cs="Arial" w:eastAsia="Arial" w:hAnsi="Arial"/>
          <w:sz w:val="18"/>
          <w:szCs w:val="18"/>
          <w:color w:val="auto"/>
        </w:rPr>
        <w:t>and your participation in the Plan, or future awards that may be granted under the Plan, by electronic means or to request your consent to participate in the Plan by electronic means. You hereby consent to receive such documents by electronic delivery and, if requested, agree to participate in the Plan through an on-line or electronic system established and maintained by the Company or another third party designated by the Company.</w:t>
      </w:r>
    </w:p>
    <w:p>
      <w:pPr>
        <w:spacing w:after="0" w:line="156" w:lineRule="exact"/>
        <w:rPr>
          <w:rFonts w:ascii="Arial" w:cs="Arial" w:eastAsia="Arial" w:hAnsi="Arial"/>
          <w:sz w:val="18"/>
          <w:szCs w:val="18"/>
          <w:color w:val="auto"/>
        </w:rPr>
      </w:pPr>
    </w:p>
    <w:p>
      <w:pPr>
        <w:jc w:val="both"/>
        <w:ind w:left="8" w:right="559" w:firstLine="365"/>
        <w:spacing w:after="0" w:line="266" w:lineRule="auto"/>
        <w:tabs>
          <w:tab w:leader="none" w:pos="663"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the Plan to the substantive law of another jurisdiction.</w:t>
      </w:r>
    </w:p>
    <w:p>
      <w:pPr>
        <w:spacing w:after="0" w:line="135" w:lineRule="exact"/>
        <w:rPr>
          <w:rFonts w:ascii="Arial" w:cs="Arial" w:eastAsia="Arial" w:hAnsi="Arial"/>
          <w:sz w:val="18"/>
          <w:szCs w:val="18"/>
          <w:color w:val="auto"/>
        </w:rPr>
      </w:pPr>
    </w:p>
    <w:p>
      <w:pPr>
        <w:jc w:val="both"/>
        <w:ind w:left="8" w:right="559" w:firstLine="365"/>
        <w:spacing w:after="0" w:line="266" w:lineRule="auto"/>
        <w:tabs>
          <w:tab w:leader="none" w:pos="596"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Your RSUs and related dividend equivalents will be subject to the terms of any other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between you and the Company or any Affiliate or Subsidiary to the extent that those other agreements do not directly conflict with the terms of the Plan or this Award Agreement.</w:t>
      </w:r>
    </w:p>
    <w:p>
      <w:pPr>
        <w:spacing w:after="0" w:line="135" w:lineRule="exact"/>
        <w:rPr>
          <w:rFonts w:ascii="Arial" w:cs="Arial" w:eastAsia="Arial" w:hAnsi="Arial"/>
          <w:sz w:val="18"/>
          <w:szCs w:val="18"/>
          <w:color w:val="auto"/>
        </w:rPr>
      </w:pPr>
    </w:p>
    <w:p>
      <w:pPr>
        <w:jc w:val="both"/>
        <w:ind w:left="8" w:right="559" w:firstLine="365"/>
        <w:spacing w:after="0" w:line="266" w:lineRule="auto"/>
        <w:tabs>
          <w:tab w:leader="none" w:pos="686"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ADJUSTMENTS TO YOUR RSUs. </w:t>
      </w:r>
      <w:r>
        <w:rPr>
          <w:rFonts w:ascii="Arial" w:cs="Arial" w:eastAsia="Arial" w:hAnsi="Arial"/>
          <w:sz w:val="18"/>
          <w:szCs w:val="18"/>
          <w:color w:val="auto"/>
        </w:rPr>
        <w:t>Subject to the terms of the Plan, your RSUs and related dividend equivalents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adjusted, if appropriate, to reflect any change to the Company’s capital structure (</w:t>
      </w:r>
      <w:r>
        <w:rPr>
          <w:rFonts w:ascii="Arial" w:cs="Arial" w:eastAsia="Arial" w:hAnsi="Arial"/>
          <w:sz w:val="18"/>
          <w:szCs w:val="18"/>
          <w:i w:val="1"/>
          <w:iCs w:val="1"/>
          <w:color w:val="auto"/>
        </w:rPr>
        <w:t>e.g.</w:t>
      </w:r>
      <w:r>
        <w:rPr>
          <w:rFonts w:ascii="Arial" w:cs="Arial" w:eastAsia="Arial" w:hAnsi="Arial"/>
          <w:sz w:val="18"/>
          <w:szCs w:val="18"/>
          <w:color w:val="auto"/>
        </w:rPr>
        <w:t>, the number of Shares underlying your RSUs will be adjusted to reflect a stock split).</w:t>
      </w:r>
    </w:p>
    <w:p>
      <w:pPr>
        <w:spacing w:after="0" w:line="149" w:lineRule="exact"/>
        <w:rPr>
          <w:rFonts w:ascii="Arial" w:cs="Arial" w:eastAsia="Arial" w:hAnsi="Arial"/>
          <w:sz w:val="18"/>
          <w:szCs w:val="18"/>
          <w:color w:val="auto"/>
        </w:rPr>
      </w:pPr>
    </w:p>
    <w:p>
      <w:pPr>
        <w:jc w:val="both"/>
        <w:ind w:left="8" w:right="559" w:firstLine="365"/>
        <w:spacing w:after="0" w:line="266" w:lineRule="auto"/>
        <w:tabs>
          <w:tab w:leader="none" w:pos="649"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RSUs and related dividend equivalents are subject to more rules described in the Plan. You</w:t>
      </w:r>
      <w:r>
        <w:rPr>
          <w:rFonts w:ascii="Arial" w:cs="Arial" w:eastAsia="Arial" w:hAnsi="Arial"/>
          <w:sz w:val="18"/>
          <w:szCs w:val="18"/>
          <w:b w:val="1"/>
          <w:bCs w:val="1"/>
          <w:color w:val="auto"/>
        </w:rPr>
        <w:t xml:space="preserve"> </w:t>
      </w:r>
      <w:r>
        <w:rPr>
          <w:rFonts w:ascii="Arial" w:cs="Arial" w:eastAsia="Arial" w:hAnsi="Arial"/>
          <w:sz w:val="18"/>
          <w:szCs w:val="18"/>
          <w:color w:val="auto"/>
        </w:rPr>
        <w:t>should read the Plan carefully to ensure you fully understand all the terms and conditions of the grant of RSUs and related dividend equivalents under this Award Agreement.</w:t>
      </w:r>
    </w:p>
    <w:p>
      <w:pPr>
        <w:spacing w:after="0" w:line="135" w:lineRule="exact"/>
        <w:rPr>
          <w:rFonts w:ascii="Arial" w:cs="Arial" w:eastAsia="Arial" w:hAnsi="Arial"/>
          <w:sz w:val="18"/>
          <w:szCs w:val="18"/>
          <w:color w:val="auto"/>
        </w:rPr>
      </w:pPr>
    </w:p>
    <w:p>
      <w:pPr>
        <w:ind w:left="168" w:hanging="168"/>
        <w:spacing w:after="0"/>
        <w:tabs>
          <w:tab w:leader="none" w:pos="168"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YOUR ACKNOWLEDGMENT OF AWARD CONDITIONS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By signing below, you acknowledge and agree that:</w:t>
      </w:r>
    </w:p>
    <w:p>
      <w:pPr>
        <w:spacing w:after="0" w:line="198" w:lineRule="exact"/>
        <w:rPr>
          <w:sz w:val="20"/>
          <w:szCs w:val="20"/>
          <w:color w:val="auto"/>
        </w:rPr>
      </w:pPr>
    </w:p>
    <w:p>
      <w:pPr>
        <w:ind w:left="628" w:hanging="255"/>
        <w:spacing w:after="0"/>
        <w:tabs>
          <w:tab w:leader="none" w:pos="6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Copies of the Plan and the Plan Prospectus, as supplemented, have been made available to you;</w:t>
      </w:r>
    </w:p>
    <w:p>
      <w:pPr>
        <w:spacing w:after="0" w:line="184" w:lineRule="exact"/>
        <w:rPr>
          <w:rFonts w:ascii="Arial" w:cs="Arial" w:eastAsia="Arial" w:hAnsi="Arial"/>
          <w:sz w:val="18"/>
          <w:szCs w:val="18"/>
          <w:color w:val="auto"/>
        </w:rPr>
      </w:pPr>
    </w:p>
    <w:p>
      <w:pPr>
        <w:ind w:left="628" w:hanging="255"/>
        <w:spacing w:after="0"/>
        <w:tabs>
          <w:tab w:leader="none" w:pos="6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w:t>
      </w:r>
    </w:p>
    <w:p>
      <w:pPr>
        <w:spacing w:after="0" w:line="184" w:lineRule="exact"/>
        <w:rPr>
          <w:rFonts w:ascii="Arial" w:cs="Arial" w:eastAsia="Arial" w:hAnsi="Arial"/>
          <w:sz w:val="18"/>
          <w:szCs w:val="18"/>
          <w:color w:val="auto"/>
        </w:rPr>
      </w:pPr>
    </w:p>
    <w:p>
      <w:pPr>
        <w:ind w:left="8" w:right="559" w:firstLine="365"/>
        <w:spacing w:after="0" w:line="277" w:lineRule="auto"/>
        <w:tabs>
          <w:tab w:leader="none" w:pos="6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Award or this Award Agreement to comply with any law; and</w:t>
      </w:r>
    </w:p>
    <w:p>
      <w:pPr>
        <w:spacing w:after="0" w:line="143" w:lineRule="exact"/>
        <w:rPr>
          <w:rFonts w:ascii="Arial" w:cs="Arial" w:eastAsia="Arial" w:hAnsi="Arial"/>
          <w:sz w:val="18"/>
          <w:szCs w:val="18"/>
          <w:color w:val="auto"/>
        </w:rPr>
      </w:pPr>
    </w:p>
    <w:p>
      <w:pPr>
        <w:ind w:left="628" w:hanging="255"/>
        <w:spacing w:after="0"/>
        <w:tabs>
          <w:tab w:leader="none" w:pos="628" w:val="left"/>
        </w:tabs>
        <w:numPr>
          <w:ilvl w:val="0"/>
          <w:numId w:val="32"/>
        </w:numPr>
        <w:rPr>
          <w:rFonts w:ascii="Arial" w:cs="Arial" w:eastAsia="Arial" w:hAnsi="Arial"/>
          <w:sz w:val="16"/>
          <w:szCs w:val="16"/>
          <w:color w:val="auto"/>
        </w:rPr>
      </w:pPr>
      <w:r>
        <w:rPr>
          <w:rFonts w:ascii="Arial" w:cs="Arial" w:eastAsia="Arial" w:hAnsi="Arial"/>
          <w:sz w:val="16"/>
          <w:szCs w:val="16"/>
          <w:color w:val="auto"/>
        </w:rPr>
        <w:t>You must return a signed copy of this Award Agreement to the address given above before [Date 30 Days After Grant</w:t>
      </w:r>
    </w:p>
    <w:p>
      <w:pPr>
        <w:spacing w:after="0" w:line="46" w:lineRule="exact"/>
        <w:rPr>
          <w:rFonts w:ascii="Arial" w:cs="Arial" w:eastAsia="Arial" w:hAnsi="Arial"/>
          <w:sz w:val="16"/>
          <w:szCs w:val="16"/>
          <w:color w:val="auto"/>
        </w:rPr>
      </w:pPr>
    </w:p>
    <w:p>
      <w:pPr>
        <w:ind w:left="8"/>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70"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398780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326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380" w:type="dxa"/>
            <w:vAlign w:val="bottom"/>
          </w:tcPr>
          <w:p>
            <w:pPr>
              <w:spacing w:after="0"/>
              <w:rPr>
                <w:sz w:val="20"/>
                <w:szCs w:val="20"/>
                <w:color w:val="auto"/>
              </w:rPr>
            </w:pPr>
          </w:p>
        </w:tc>
        <w:tc>
          <w:tcPr>
            <w:tcW w:w="4840" w:type="dxa"/>
            <w:vAlign w:val="bottom"/>
            <w:gridSpan w:val="4"/>
          </w:tcPr>
          <w:p>
            <w:pPr>
              <w:ind w:left="1500"/>
              <w:spacing w:after="0"/>
              <w:rPr>
                <w:sz w:val="20"/>
                <w:szCs w:val="20"/>
                <w:color w:val="auto"/>
              </w:rPr>
            </w:pPr>
            <w:r>
              <w:rPr>
                <w:rFonts w:ascii="Arial" w:cs="Arial" w:eastAsia="Arial" w:hAnsi="Arial"/>
                <w:sz w:val="18"/>
                <w:szCs w:val="18"/>
                <w:color w:val="auto"/>
                <w:w w:val="97"/>
              </w:rPr>
              <w:t>THE SCOTTS MIRACLE-GRO COMPANY</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960" w:type="dxa"/>
            <w:vAlign w:val="bottom"/>
            <w:tcBorders>
              <w:bottom w:val="single" w:sz="8" w:color="auto"/>
            </w:tcBorders>
            <w:gridSpan w:val="2"/>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ind w:left="1500"/>
              <w:spacing w:after="0"/>
              <w:rPr>
                <w:sz w:val="20"/>
                <w:szCs w:val="20"/>
                <w:color w:val="auto"/>
              </w:rPr>
            </w:pPr>
            <w:r>
              <w:rPr>
                <w:rFonts w:ascii="Arial" w:cs="Arial" w:eastAsia="Arial" w:hAnsi="Arial"/>
                <w:sz w:val="18"/>
                <w:szCs w:val="18"/>
                <w:color w:val="auto"/>
              </w:rPr>
              <w:t>By:</w:t>
            </w:r>
          </w:p>
        </w:tc>
        <w:tc>
          <w:tcPr>
            <w:tcW w:w="2980" w:type="dxa"/>
            <w:vAlign w:val="bottom"/>
            <w:tcBorders>
              <w:bottom w:val="single" w:sz="8" w:color="auto"/>
            </w:tcBorders>
            <w:gridSpan w:val="2"/>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3260" w:type="dxa"/>
            <w:vAlign w:val="bottom"/>
            <w:gridSpan w:val="3"/>
          </w:tcPr>
          <w:p>
            <w:pPr>
              <w:spacing w:after="0"/>
              <w:rPr>
                <w:sz w:val="20"/>
                <w:szCs w:val="20"/>
                <w:color w:val="auto"/>
              </w:rPr>
            </w:pPr>
            <w:r>
              <w:rPr>
                <w:rFonts w:ascii="Arial" w:cs="Arial" w:eastAsia="Arial" w:hAnsi="Arial"/>
                <w:sz w:val="18"/>
                <w:szCs w:val="18"/>
                <w:color w:val="auto"/>
              </w:rPr>
              <w:t>Date signed:</w:t>
            </w:r>
          </w:p>
        </w:tc>
        <w:tc>
          <w:tcPr>
            <w:tcW w:w="380" w:type="dxa"/>
            <w:vAlign w:val="bottom"/>
          </w:tcPr>
          <w:p>
            <w:pPr>
              <w:spacing w:after="0"/>
              <w:rPr>
                <w:sz w:val="24"/>
                <w:szCs w:val="24"/>
                <w:color w:val="auto"/>
              </w:rPr>
            </w:pPr>
          </w:p>
        </w:tc>
        <w:tc>
          <w:tcPr>
            <w:tcW w:w="4840" w:type="dxa"/>
            <w:vAlign w:val="bottom"/>
            <w:gridSpan w:val="4"/>
          </w:tcPr>
          <w:p>
            <w:pPr>
              <w:ind w:left="1500"/>
              <w:spacing w:after="0"/>
              <w:rPr>
                <w:sz w:val="20"/>
                <w:szCs w:val="20"/>
                <w:color w:val="auto"/>
              </w:rPr>
            </w:pPr>
            <w:r>
              <w:rPr>
                <w:rFonts w:ascii="Arial" w:cs="Arial" w:eastAsia="Arial" w:hAnsi="Arial"/>
                <w:sz w:val="18"/>
                <w:szCs w:val="18"/>
                <w:color w:val="auto"/>
              </w:rPr>
              <w:t>[Name of Company Representative]</w:t>
            </w:r>
          </w:p>
        </w:tc>
      </w:tr>
      <w:tr>
        <w:trPr>
          <w:trHeight w:val="222"/>
        </w:trPr>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40" w:type="dxa"/>
            <w:vAlign w:val="bottom"/>
            <w:gridSpan w:val="4"/>
          </w:tcPr>
          <w:p>
            <w:pPr>
              <w:ind w:left="1500"/>
              <w:spacing w:after="0"/>
              <w:rPr>
                <w:sz w:val="20"/>
                <w:szCs w:val="20"/>
                <w:color w:val="auto"/>
              </w:rPr>
            </w:pPr>
            <w:r>
              <w:rPr>
                <w:rFonts w:ascii="Arial" w:cs="Arial" w:eastAsia="Arial" w:hAnsi="Arial"/>
                <w:sz w:val="18"/>
                <w:szCs w:val="18"/>
                <w:color w:val="auto"/>
              </w:rPr>
              <w:t>[Title of Company Representative]</w:t>
            </w:r>
          </w:p>
        </w:tc>
      </w:tr>
      <w:tr>
        <w:trPr>
          <w:trHeight w:val="190"/>
        </w:trPr>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40" w:type="dxa"/>
            <w:vAlign w:val="bottom"/>
            <w:gridSpan w:val="4"/>
          </w:tcPr>
          <w:p>
            <w:pPr>
              <w:ind w:left="1500"/>
              <w:spacing w:after="0" w:line="190" w:lineRule="exact"/>
              <w:rPr>
                <w:sz w:val="20"/>
                <w:szCs w:val="20"/>
                <w:color w:val="auto"/>
              </w:rPr>
            </w:pPr>
            <w:r>
              <w:rPr>
                <w:rFonts w:ascii="Arial" w:cs="Arial" w:eastAsia="Arial" w:hAnsi="Arial"/>
                <w:sz w:val="18"/>
                <w:szCs w:val="18"/>
                <w:color w:val="auto"/>
              </w:rPr>
              <w:t>Date signed:</w:t>
            </w:r>
          </w:p>
        </w:tc>
      </w:tr>
      <w:tr>
        <w:trPr>
          <w:trHeight w:val="426"/>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80" w:type="dxa"/>
            <w:vAlign w:val="bottom"/>
            <w:gridSpan w:val="2"/>
          </w:tcPr>
          <w:p>
            <w:pPr>
              <w:jc w:val="right"/>
              <w:ind w:right="650"/>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bl>
    <w:p>
      <w:pPr>
        <w:sectPr>
          <w:pgSz w:w="11900" w:h="16838" w:orient="portrait"/>
          <w:cols w:equalWidth="0" w:num="1">
            <w:col w:w="9879"/>
          </w:cols>
          <w:pgMar w:left="580" w:top="1152" w:right="1440" w:bottom="1440" w:gutter="0" w:footer="0" w:header="0"/>
        </w:sectPr>
      </w:pPr>
    </w:p>
    <w:bookmarkStart w:id="65" w:name="page66"/>
    <w:bookmarkEnd w:id="65"/>
    <w:p>
      <w:pPr>
        <w:jc w:val="right"/>
        <w:ind w:right="559"/>
        <w:spacing w:after="0"/>
        <w:rPr>
          <w:sz w:val="20"/>
          <w:szCs w:val="20"/>
          <w:color w:val="auto"/>
        </w:rPr>
      </w:pPr>
      <w:r>
        <w:rPr>
          <w:rFonts w:ascii="Arial" w:cs="Arial" w:eastAsia="Arial" w:hAnsi="Arial"/>
          <w:sz w:val="18"/>
          <w:szCs w:val="18"/>
          <w:b w:val="1"/>
          <w:bCs w:val="1"/>
          <w:color w:val="auto"/>
        </w:rPr>
        <w:t>EXHIBIT 10.4</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2006 LONG-TERM INCENTIVE PLAN</w:t>
      </w:r>
    </w:p>
    <w:p>
      <w:pPr>
        <w:spacing w:after="0" w:line="180"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NONQUALIFIED STOCK OPTION AWARD AGREEMENT FOR EMPLOYEES</w:t>
      </w:r>
    </w:p>
    <w:p>
      <w:pPr>
        <w:spacing w:after="0" w:line="18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NONQUALIFIED STOCK OPTION GRANTED</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TO [Grantee’s Name] ON [Grant Date]</w:t>
      </w:r>
    </w:p>
    <w:p>
      <w:pPr>
        <w:spacing w:after="0" w:line="170" w:lineRule="exact"/>
        <w:rPr>
          <w:sz w:val="20"/>
          <w:szCs w:val="20"/>
          <w:color w:val="auto"/>
        </w:rPr>
      </w:pPr>
    </w:p>
    <w:p>
      <w:pPr>
        <w:jc w:val="both"/>
        <w:ind w:right="559"/>
        <w:spacing w:after="0" w:line="276" w:lineRule="auto"/>
        <w:rPr>
          <w:sz w:val="20"/>
          <w:szCs w:val="20"/>
          <w:color w:val="auto"/>
        </w:rPr>
      </w:pPr>
      <w:r>
        <w:rPr>
          <w:rFonts w:ascii="Arial" w:cs="Arial" w:eastAsia="Arial" w:hAnsi="Arial"/>
          <w:sz w:val="17"/>
          <w:szCs w:val="17"/>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146"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130" w:lineRule="exact"/>
        <w:rPr>
          <w:sz w:val="20"/>
          <w:szCs w:val="20"/>
          <w:color w:val="auto"/>
        </w:rPr>
      </w:pPr>
    </w:p>
    <w:p>
      <w:pPr>
        <w:ind w:left="700" w:hanging="343"/>
        <w:spacing w:after="0"/>
        <w:tabs>
          <w:tab w:leader="none" w:pos="7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Read the Plan and this Award Agreement carefully; and</w:t>
      </w:r>
    </w:p>
    <w:p>
      <w:pPr>
        <w:spacing w:after="0" w:line="184" w:lineRule="exact"/>
        <w:rPr>
          <w:rFonts w:ascii="Arial" w:cs="Arial" w:eastAsia="Arial" w:hAnsi="Arial"/>
          <w:sz w:val="18"/>
          <w:szCs w:val="18"/>
          <w:b w:val="1"/>
          <w:bCs w:val="1"/>
          <w:color w:val="auto"/>
        </w:rPr>
      </w:pPr>
    </w:p>
    <w:p>
      <w:pPr>
        <w:ind w:left="700" w:right="559" w:hanging="343"/>
        <w:spacing w:after="0" w:line="277" w:lineRule="auto"/>
        <w:tabs>
          <w:tab w:leader="none" w:pos="7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Contact [Title] at [Telephone Number] if you have any questions about your Award. Or, you may send a written inquiry to the address shown below:</w:t>
      </w:r>
    </w:p>
    <w:p>
      <w:pPr>
        <w:spacing w:after="0" w:line="14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Marysville, Ohio 43041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[TPA Contact’s Address]</w:t>
      </w:r>
    </w:p>
    <w:p>
      <w:pPr>
        <w:spacing w:after="0" w:line="18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[TPA Telephone Number]</w:t>
      </w:r>
    </w:p>
    <w:p>
      <w:pPr>
        <w:spacing w:after="0" w:line="185"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The Company intends that this Award not be considered to provide for “deferred compensation” under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631825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66" w:name="page67"/>
    <w:bookmarkEnd w:id="66"/>
    <w:p>
      <w:pPr>
        <w:ind w:left="8"/>
        <w:spacing w:after="0"/>
        <w:rPr>
          <w:sz w:val="20"/>
          <w:szCs w:val="20"/>
          <w:color w:val="auto"/>
        </w:rPr>
      </w:pPr>
      <w:r>
        <w:rPr>
          <w:rFonts w:ascii="Arial" w:cs="Arial" w:eastAsia="Arial" w:hAnsi="Arial"/>
          <w:sz w:val="18"/>
          <w:szCs w:val="18"/>
          <w:b w:val="1"/>
          <w:bCs w:val="1"/>
          <w:color w:val="auto"/>
        </w:rPr>
        <w:t>1. DESCRIPTION OF YOUR NONQUALIFIED STOCK OPTION</w:t>
      </w:r>
    </w:p>
    <w:p>
      <w:pPr>
        <w:spacing w:after="0" w:line="202" w:lineRule="exact"/>
        <w:rPr>
          <w:sz w:val="20"/>
          <w:szCs w:val="20"/>
          <w:color w:val="auto"/>
        </w:rPr>
      </w:pPr>
    </w:p>
    <w:p>
      <w:pPr>
        <w:jc w:val="both"/>
        <w:ind w:left="8" w:right="559"/>
        <w:spacing w:after="0" w:line="259" w:lineRule="auto"/>
        <w:rPr>
          <w:sz w:val="20"/>
          <w:szCs w:val="20"/>
          <w:color w:val="auto"/>
        </w:rPr>
      </w:pPr>
      <w:r>
        <w:rPr>
          <w:rFonts w:ascii="Arial" w:cs="Arial" w:eastAsia="Arial" w:hAnsi="Arial"/>
          <w:sz w:val="18"/>
          <w:szCs w:val="18"/>
          <w:color w:val="auto"/>
        </w:rPr>
        <w:t>You have been granted a Nonqualified Stock Option (“NSO”) to purchase [Number of Common Shares] Shares at an exercise price of $[Exercise Price] for each Share (“Exercise Price”) on or before [Day Prior to Tenth Anniversary of Grant Date] (“Expiration Date”), subject to the terms and conditions of the Plan and this Award Agreement. The Grant Date of the NSO is [Grant Date].</w:t>
      </w:r>
    </w:p>
    <w:p>
      <w:pPr>
        <w:spacing w:after="0" w:line="142" w:lineRule="exact"/>
        <w:rPr>
          <w:sz w:val="20"/>
          <w:szCs w:val="20"/>
          <w:color w:val="auto"/>
        </w:rPr>
      </w:pPr>
    </w:p>
    <w:p>
      <w:pPr>
        <w:ind w:left="188" w:hanging="188"/>
        <w:spacing w:after="0"/>
        <w:tabs>
          <w:tab w:leader="none" w:pos="188"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EXERCISING YOUR NSO</w:t>
      </w:r>
    </w:p>
    <w:p>
      <w:pPr>
        <w:spacing w:after="0" w:line="188" w:lineRule="exact"/>
        <w:rPr>
          <w:rFonts w:ascii="Arial" w:cs="Arial" w:eastAsia="Arial" w:hAnsi="Arial"/>
          <w:sz w:val="18"/>
          <w:szCs w:val="18"/>
          <w:b w:val="1"/>
          <w:bCs w:val="1"/>
          <w:color w:val="auto"/>
        </w:rPr>
      </w:pPr>
    </w:p>
    <w:p>
      <w:pPr>
        <w:jc w:val="both"/>
        <w:ind w:left="8" w:right="559" w:firstLine="365"/>
        <w:spacing w:after="0" w:line="257" w:lineRule="auto"/>
        <w:tabs>
          <w:tab w:leader="none" w:pos="632"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Normally, your NSO will vest (and become exercisable) on [Third Anniversary of Grant Date] (the “Vesting Date”) but only if you are actively providing services to the Company or any Subsidiary or Affiliate on the Vesting Date and all other conditions described in this Award Agreement and the Plan are met. This does not mean that you must exercise your NSO on this date; this is merely the first date that you may do so. However, except as described below, your NSO will expire to the extent it is not exercised on or before the Expiration Date.</w:t>
      </w:r>
    </w:p>
    <w:p>
      <w:pPr>
        <w:spacing w:after="0" w:line="161" w:lineRule="exact"/>
        <w:rPr>
          <w:sz w:val="20"/>
          <w:szCs w:val="20"/>
          <w:color w:val="auto"/>
        </w:rPr>
      </w:pPr>
    </w:p>
    <w:p>
      <w:pPr>
        <w:ind w:left="8" w:right="559" w:firstLine="373"/>
        <w:spacing w:after="0" w:line="277" w:lineRule="auto"/>
        <w:rPr>
          <w:sz w:val="20"/>
          <w:szCs w:val="20"/>
          <w:color w:val="auto"/>
        </w:rPr>
      </w:pPr>
      <w:r>
        <w:rPr>
          <w:rFonts w:ascii="Arial" w:cs="Arial" w:eastAsia="Arial" w:hAnsi="Arial"/>
          <w:sz w:val="18"/>
          <w:szCs w:val="18"/>
          <w:color w:val="auto"/>
        </w:rPr>
        <w:t>There are some special situations in which your NSO may vest earlier. These are described in Sections 4(a) and 4(c) of this Award Agreement.</w:t>
      </w:r>
    </w:p>
    <w:p>
      <w:pPr>
        <w:spacing w:after="0" w:line="130" w:lineRule="exact"/>
        <w:rPr>
          <w:sz w:val="20"/>
          <w:szCs w:val="20"/>
          <w:color w:val="auto"/>
        </w:rPr>
      </w:pPr>
    </w:p>
    <w:p>
      <w:pPr>
        <w:jc w:val="both"/>
        <w:ind w:left="8" w:right="559" w:firstLine="365"/>
        <w:spacing w:after="0" w:line="264" w:lineRule="auto"/>
        <w:tabs>
          <w:tab w:leader="none" w:pos="6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At any one time, you may not exercise your NSO to buy fewer than 100 Shares (or, if less, the number of Shares underlying the vested portion of your NSO). Also, you may never exercise your NSO to purchase a fractional Share. Any fractional Share shall be redeemed for cash equal to the Fair Market Value of such fractional Share.</w:t>
      </w:r>
    </w:p>
    <w:p>
      <w:pPr>
        <w:spacing w:after="0" w:line="136" w:lineRule="exact"/>
        <w:rPr>
          <w:rFonts w:ascii="Arial" w:cs="Arial" w:eastAsia="Arial" w:hAnsi="Arial"/>
          <w:sz w:val="18"/>
          <w:szCs w:val="18"/>
          <w:color w:val="auto"/>
        </w:rPr>
      </w:pPr>
    </w:p>
    <w:p>
      <w:pPr>
        <w:ind w:left="188" w:hanging="188"/>
        <w:spacing w:after="0"/>
        <w:tabs>
          <w:tab w:leader="none" w:pos="188"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EXERCISING YOUR NSO</w:t>
      </w:r>
    </w:p>
    <w:p>
      <w:pPr>
        <w:spacing w:after="0" w:line="202" w:lineRule="exact"/>
        <w:rPr>
          <w:rFonts w:ascii="Arial" w:cs="Arial" w:eastAsia="Arial" w:hAnsi="Arial"/>
          <w:sz w:val="18"/>
          <w:szCs w:val="18"/>
          <w:b w:val="1"/>
          <w:bCs w:val="1"/>
          <w:color w:val="auto"/>
        </w:rPr>
      </w:pPr>
    </w:p>
    <w:p>
      <w:pPr>
        <w:jc w:val="both"/>
        <w:ind w:left="8" w:right="559" w:firstLine="365"/>
        <w:spacing w:after="0" w:line="312" w:lineRule="auto"/>
        <w:tabs>
          <w:tab w:leader="none" w:pos="624" w:val="left"/>
        </w:tabs>
        <w:numPr>
          <w:ilvl w:val="1"/>
          <w:numId w:val="36"/>
        </w:numPr>
        <w:rPr>
          <w:rFonts w:ascii="Arial" w:cs="Arial" w:eastAsia="Arial" w:hAnsi="Arial"/>
          <w:sz w:val="16"/>
          <w:szCs w:val="16"/>
          <w:color w:val="auto"/>
        </w:rPr>
      </w:pPr>
      <w:r>
        <w:rPr>
          <w:rFonts w:ascii="Arial" w:cs="Arial" w:eastAsia="Arial" w:hAnsi="Arial"/>
          <w:sz w:val="16"/>
          <w:szCs w:val="16"/>
          <w:color w:val="auto"/>
        </w:rPr>
        <w:t>After your NSO vests, you may exercise the NSO by completing an Exercise Notice. A copy of this Exercise Notice is attached to this Award Agreement. Also, a copy of this Exercise Notice and a description of the procedures that you must follow to exercise your NSO are available from [Third Party Administrator] at [TPA Telephone Number] or at the address given above.</w:t>
      </w:r>
    </w:p>
    <w:p>
      <w:pPr>
        <w:spacing w:after="0" w:line="106" w:lineRule="exact"/>
        <w:rPr>
          <w:rFonts w:ascii="Arial" w:cs="Arial" w:eastAsia="Arial" w:hAnsi="Arial"/>
          <w:sz w:val="16"/>
          <w:szCs w:val="16"/>
          <w:color w:val="auto"/>
        </w:rPr>
      </w:pPr>
    </w:p>
    <w:p>
      <w:pPr>
        <w:ind w:left="8" w:right="559" w:firstLine="365"/>
        <w:spacing w:after="0" w:line="277" w:lineRule="auto"/>
        <w:tabs>
          <w:tab w:leader="none" w:pos="639" w:val="left"/>
        </w:tabs>
        <w:numPr>
          <w:ilvl w:val="1"/>
          <w:numId w:val="36"/>
        </w:numPr>
        <w:rPr>
          <w:rFonts w:ascii="Arial" w:cs="Arial" w:eastAsia="Arial" w:hAnsi="Arial"/>
          <w:sz w:val="18"/>
          <w:szCs w:val="18"/>
          <w:color w:val="auto"/>
        </w:rPr>
      </w:pPr>
      <w:r>
        <w:rPr>
          <w:rFonts w:ascii="Arial" w:cs="Arial" w:eastAsia="Arial" w:hAnsi="Arial"/>
          <w:sz w:val="18"/>
          <w:szCs w:val="18"/>
          <w:color w:val="auto"/>
        </w:rPr>
        <w:t>You may use one of three methods to exercise your NSO and to pay any taxes related to that exercise. You will decide on the method at the time of exercise.</w:t>
      </w:r>
    </w:p>
    <w:p>
      <w:pPr>
        <w:spacing w:after="0" w:line="130" w:lineRule="exact"/>
        <w:rPr>
          <w:sz w:val="20"/>
          <w:szCs w:val="20"/>
          <w:color w:val="auto"/>
        </w:rPr>
      </w:pPr>
    </w:p>
    <w:p>
      <w:pPr>
        <w:jc w:val="both"/>
        <w:ind w:left="748" w:right="559"/>
        <w:spacing w:after="0" w:line="302" w:lineRule="auto"/>
        <w:rPr>
          <w:sz w:val="20"/>
          <w:szCs w:val="20"/>
          <w:color w:val="auto"/>
        </w:rPr>
      </w:pPr>
      <w:r>
        <w:rPr>
          <w:rFonts w:ascii="Arial" w:cs="Arial" w:eastAsia="Arial" w:hAnsi="Arial"/>
          <w:sz w:val="16"/>
          <w:szCs w:val="16"/>
          <w:color w:val="auto"/>
        </w:rPr>
        <w:t>CASHLESS EXERCISE AND SELL: If you elect this alternative, you will be deemed to have simultaneously exercised the NSO and to have sold the Shares underlying the portion of the NSO you exercised. When the transaction is complete, you will receive cash (but no Shares) equal to the difference between the aggregate Fair Market Value of the Shares deemed to have been acquired through the exercise minus the aggregate Exercise Price and related taxes.</w:t>
      </w:r>
    </w:p>
    <w:p>
      <w:pPr>
        <w:spacing w:after="0" w:line="200" w:lineRule="exact"/>
        <w:rPr>
          <w:sz w:val="20"/>
          <w:szCs w:val="20"/>
          <w:color w:val="auto"/>
        </w:rPr>
      </w:pPr>
    </w:p>
    <w:p>
      <w:pPr>
        <w:spacing w:after="0" w:line="319"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67" w:name="page68"/>
    <w:bookmarkEnd w:id="67"/>
    <w:p>
      <w:pPr>
        <w:jc w:val="both"/>
        <w:ind w:left="748" w:right="559"/>
        <w:spacing w:after="0" w:line="259" w:lineRule="auto"/>
        <w:rPr>
          <w:sz w:val="20"/>
          <w:szCs w:val="20"/>
          <w:color w:val="auto"/>
        </w:rPr>
      </w:pPr>
      <w:r>
        <w:rPr>
          <w:rFonts w:ascii="Arial" w:cs="Arial" w:eastAsia="Arial" w:hAnsi="Arial"/>
          <w:sz w:val="18"/>
          <w:szCs w:val="18"/>
          <w:color w:val="auto"/>
        </w:rPr>
        <w:t>COMBINATION EXERCISE: If you elect this alternative, you will be deemed to have simultaneously exercised the NSO and to have sold a number of those Shares with a Fair Market Value equal to the aggregate Exercise Price and related taxes. When the transaction is complete, the balance of the Shares subject to the portion of the NSO you exercised will be transferred to you.</w:t>
      </w:r>
    </w:p>
    <w:p>
      <w:pPr>
        <w:spacing w:after="0" w:line="160" w:lineRule="exact"/>
        <w:rPr>
          <w:sz w:val="20"/>
          <w:szCs w:val="20"/>
          <w:color w:val="auto"/>
        </w:rPr>
      </w:pPr>
    </w:p>
    <w:p>
      <w:pPr>
        <w:jc w:val="both"/>
        <w:ind w:left="748" w:right="559"/>
        <w:spacing w:after="0" w:line="259" w:lineRule="auto"/>
        <w:rPr>
          <w:sz w:val="20"/>
          <w:szCs w:val="20"/>
          <w:color w:val="auto"/>
        </w:rPr>
      </w:pPr>
      <w:r>
        <w:rPr>
          <w:rFonts w:ascii="Arial" w:cs="Arial" w:eastAsia="Arial" w:hAnsi="Arial"/>
          <w:sz w:val="18"/>
          <w:szCs w:val="18"/>
          <w:color w:val="auto"/>
        </w:rPr>
        <w:t>EXERCISE AND HOLD: If you elect this alternative, you must pay the full Exercise Price plus related taxes (in cash, a cash equivalent or in Shares having a Fair Market Value equal to the Exercise Price and which you have owned for at least six months before the exercise date). When the transaction is complete, you will receive the number of Shares purchased.</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7"/>
          <w:szCs w:val="17"/>
          <w:color w:val="auto"/>
        </w:rPr>
        <w:t>If you do not elect one of these methods, the Company will apply the Cashless Exercise and Sell method described above.</w:t>
      </w:r>
    </w:p>
    <w:p>
      <w:pPr>
        <w:spacing w:after="0" w:line="192" w:lineRule="exact"/>
        <w:rPr>
          <w:sz w:val="20"/>
          <w:szCs w:val="20"/>
          <w:color w:val="auto"/>
        </w:rPr>
      </w:pPr>
    </w:p>
    <w:p>
      <w:pPr>
        <w:ind w:left="188" w:hanging="188"/>
        <w:spacing w:after="0"/>
        <w:tabs>
          <w:tab w:leader="none" w:pos="18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98" w:lineRule="exact"/>
        <w:rPr>
          <w:rFonts w:ascii="Arial" w:cs="Arial" w:eastAsia="Arial" w:hAnsi="Arial"/>
          <w:sz w:val="18"/>
          <w:szCs w:val="18"/>
          <w:b w:val="1"/>
          <w:bCs w:val="1"/>
          <w:color w:val="auto"/>
        </w:rPr>
      </w:pPr>
    </w:p>
    <w:p>
      <w:pPr>
        <w:jc w:val="both"/>
        <w:ind w:left="8" w:right="559" w:firstLine="365"/>
        <w:spacing w:after="0" w:line="258" w:lineRule="auto"/>
        <w:tabs>
          <w:tab w:leader="none" w:pos="626" w:val="left"/>
        </w:tabs>
        <w:numPr>
          <w:ilvl w:val="1"/>
          <w:numId w:val="37"/>
        </w:numPr>
        <w:rPr>
          <w:rFonts w:ascii="Arial" w:cs="Arial" w:eastAsia="Arial" w:hAnsi="Arial"/>
          <w:sz w:val="18"/>
          <w:szCs w:val="18"/>
          <w:color w:val="auto"/>
        </w:rPr>
      </w:pPr>
      <w:r>
        <w:rPr>
          <w:rFonts w:ascii="Arial" w:cs="Arial" w:eastAsia="Arial" w:hAnsi="Arial"/>
          <w:sz w:val="18"/>
          <w:szCs w:val="18"/>
          <w:b w:val="1"/>
          <w:bCs w:val="1"/>
          <w:color w:val="auto"/>
        </w:rPr>
        <w:t>YOU MAY FORFEIT YOUR NSO IF YOU TERMINATE</w:t>
      </w:r>
      <w:r>
        <w:rPr>
          <w:rFonts w:ascii="Arial" w:cs="Arial" w:eastAsia="Arial" w:hAnsi="Arial"/>
          <w:sz w:val="18"/>
          <w:szCs w:val="18"/>
          <w:color w:val="auto"/>
        </w:rPr>
        <w:t>. Normally, you may exercise your NSO after it vests and</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Expiration Date. However, your NSO may be cancelled earlier than the Expiration Date if you Terminate. For purposes of this Award Agreement, “Terminate” (or any form thereof) means the later of (1) the cessation of the employment relationship between you and the Company and all Affiliates and Subsidiaries for any reason; or (2) the cessation of your service as a member of the Board.</w:t>
      </w:r>
    </w:p>
    <w:p>
      <w:pPr>
        <w:spacing w:after="0" w:line="147" w:lineRule="exact"/>
        <w:rPr>
          <w:rFonts w:ascii="Arial" w:cs="Arial" w:eastAsia="Arial" w:hAnsi="Arial"/>
          <w:sz w:val="18"/>
          <w:szCs w:val="18"/>
          <w:color w:val="auto"/>
        </w:rPr>
      </w:pPr>
    </w:p>
    <w:p>
      <w:pPr>
        <w:ind w:left="368" w:right="559" w:firstLine="364"/>
        <w:spacing w:after="0" w:line="277" w:lineRule="auto"/>
        <w:tabs>
          <w:tab w:leader="none" w:pos="949" w:val="left"/>
        </w:tabs>
        <w:numPr>
          <w:ilvl w:val="2"/>
          <w:numId w:val="37"/>
        </w:numPr>
        <w:rPr>
          <w:rFonts w:ascii="Arial" w:cs="Arial" w:eastAsia="Arial" w:hAnsi="Arial"/>
          <w:sz w:val="18"/>
          <w:szCs w:val="18"/>
          <w:color w:val="auto"/>
        </w:rPr>
      </w:pPr>
      <w:r>
        <w:rPr>
          <w:rFonts w:ascii="Arial" w:cs="Arial" w:eastAsia="Arial" w:hAnsi="Arial"/>
          <w:sz w:val="18"/>
          <w:szCs w:val="18"/>
          <w:color w:val="auto"/>
        </w:rPr>
        <w:t>If you are Terminated for Cause, the portion of your NSO that has not been exercised will be forfeited (whether or not then vested) on the date you Terminate; or</w:t>
      </w:r>
    </w:p>
    <w:p>
      <w:pPr>
        <w:spacing w:after="0" w:line="129" w:lineRule="exact"/>
        <w:rPr>
          <w:rFonts w:ascii="Arial" w:cs="Arial" w:eastAsia="Arial" w:hAnsi="Arial"/>
          <w:sz w:val="18"/>
          <w:szCs w:val="18"/>
          <w:color w:val="auto"/>
        </w:rPr>
      </w:pPr>
    </w:p>
    <w:p>
      <w:pPr>
        <w:jc w:val="both"/>
        <w:ind w:left="368" w:right="559" w:firstLine="364"/>
        <w:spacing w:after="0" w:line="264" w:lineRule="auto"/>
        <w:tabs>
          <w:tab w:leader="none" w:pos="1011" w:val="left"/>
        </w:tabs>
        <w:numPr>
          <w:ilvl w:val="2"/>
          <w:numId w:val="37"/>
        </w:numPr>
        <w:rPr>
          <w:rFonts w:ascii="Arial" w:cs="Arial" w:eastAsia="Arial" w:hAnsi="Arial"/>
          <w:sz w:val="18"/>
          <w:szCs w:val="18"/>
          <w:color w:val="auto"/>
        </w:rPr>
      </w:pPr>
      <w:r>
        <w:rPr>
          <w:rFonts w:ascii="Arial" w:cs="Arial" w:eastAsia="Arial" w:hAnsi="Arial"/>
          <w:sz w:val="18"/>
          <w:szCs w:val="18"/>
          <w:color w:val="auto"/>
        </w:rPr>
        <w:t>If you die or you Terminate due to your Disability (as defined below), your NSO will become fully vested and expire on the Expiration Date. For purposes of this Award Agreement, “Disability” means your inability to perform your normal duties for a period of at least six months due to a physical or mental infirmity; or</w:t>
      </w:r>
    </w:p>
    <w:p>
      <w:pPr>
        <w:spacing w:after="0" w:line="154" w:lineRule="exact"/>
        <w:rPr>
          <w:rFonts w:ascii="Arial" w:cs="Arial" w:eastAsia="Arial" w:hAnsi="Arial"/>
          <w:sz w:val="18"/>
          <w:szCs w:val="18"/>
          <w:color w:val="auto"/>
        </w:rPr>
      </w:pPr>
    </w:p>
    <w:p>
      <w:pPr>
        <w:jc w:val="both"/>
        <w:ind w:left="368" w:right="559" w:firstLine="364"/>
        <w:spacing w:after="0" w:line="264" w:lineRule="auto"/>
        <w:tabs>
          <w:tab w:leader="none" w:pos="1074" w:val="left"/>
        </w:tabs>
        <w:numPr>
          <w:ilvl w:val="2"/>
          <w:numId w:val="37"/>
        </w:numPr>
        <w:rPr>
          <w:rFonts w:ascii="Arial" w:cs="Arial" w:eastAsia="Arial" w:hAnsi="Arial"/>
          <w:sz w:val="18"/>
          <w:szCs w:val="18"/>
          <w:color w:val="auto"/>
        </w:rPr>
      </w:pPr>
      <w:r>
        <w:rPr>
          <w:rFonts w:ascii="Arial" w:cs="Arial" w:eastAsia="Arial" w:hAnsi="Arial"/>
          <w:sz w:val="18"/>
          <w:szCs w:val="18"/>
          <w:color w:val="auto"/>
        </w:rPr>
        <w:t>If you Terminate after reaching either (A) age 55 and completing at least 10 years of employment with the Company, its Affiliates and/or its Subsidiaries or (B) age 62 regardless of your years of service, your NSO will become fully vested and expire on the Expiration Date; or</w:t>
      </w:r>
    </w:p>
    <w:p>
      <w:pPr>
        <w:spacing w:after="0" w:line="140" w:lineRule="exact"/>
        <w:rPr>
          <w:rFonts w:ascii="Arial" w:cs="Arial" w:eastAsia="Arial" w:hAnsi="Arial"/>
          <w:sz w:val="18"/>
          <w:szCs w:val="18"/>
          <w:color w:val="auto"/>
        </w:rPr>
      </w:pPr>
    </w:p>
    <w:p>
      <w:pPr>
        <w:ind w:left="368" w:right="559" w:firstLine="364"/>
        <w:spacing w:after="0" w:line="308" w:lineRule="auto"/>
        <w:tabs>
          <w:tab w:leader="none" w:pos="1049" w:val="left"/>
        </w:tabs>
        <w:numPr>
          <w:ilvl w:val="2"/>
          <w:numId w:val="37"/>
        </w:numPr>
        <w:rPr>
          <w:rFonts w:ascii="Arial" w:cs="Arial" w:eastAsia="Arial" w:hAnsi="Arial"/>
          <w:sz w:val="17"/>
          <w:szCs w:val="17"/>
          <w:color w:val="auto"/>
        </w:rPr>
      </w:pPr>
      <w:r>
        <w:rPr>
          <w:rFonts w:ascii="Arial" w:cs="Arial" w:eastAsia="Arial" w:hAnsi="Arial"/>
          <w:sz w:val="17"/>
          <w:szCs w:val="17"/>
          <w:color w:val="auto"/>
        </w:rPr>
        <w:t>If you Terminate for any other reason, the unvested portion of your NSO will be forfeited immediately and the vested portion of your NSO will expire on the earlier of the Expiration Date or 90 days after you Terminate.</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8"/>
          <w:szCs w:val="18"/>
          <w:color w:val="auto"/>
        </w:rPr>
        <w:t>Note, it is your responsibility to keep track of when your NSO expires.</w:t>
      </w:r>
    </w:p>
    <w:p>
      <w:pPr>
        <w:spacing w:after="0" w:line="200" w:lineRule="exact"/>
        <w:rPr>
          <w:sz w:val="20"/>
          <w:szCs w:val="20"/>
          <w:color w:val="auto"/>
        </w:rPr>
      </w:pPr>
    </w:p>
    <w:p>
      <w:pPr>
        <w:spacing w:after="0" w:line="390"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68" w:name="page69"/>
    <w:bookmarkEnd w:id="68"/>
    <w:p>
      <w:pPr>
        <w:jc w:val="both"/>
        <w:ind w:left="-365" w:right="559" w:firstLine="365"/>
        <w:spacing w:after="0" w:line="261" w:lineRule="auto"/>
        <w:tabs>
          <w:tab w:leader="none" w:pos="303"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YOU WILL FORFEIT YOUR NSO IF YOU ENGAGE IN CONDUCT THAT IS HARMFUL TO THE COMPANY (OR ANY AFFILIATE OR SUBSIDIARY)</w:t>
      </w:r>
      <w:r>
        <w:rPr>
          <w:rFonts w:ascii="Arial" w:cs="Arial" w:eastAsia="Arial" w:hAnsi="Arial"/>
          <w:sz w:val="18"/>
          <w:szCs w:val="18"/>
          <w:color w:val="auto"/>
        </w:rPr>
        <w:t>. You will forfeit your NSO and must return to the Company all</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and other amounts you have received through the Plan if, without the Company’s written consent, you do any of the following within 180 days before and 730 days after you Terminate:</w:t>
      </w:r>
    </w:p>
    <w:p>
      <w:pPr>
        <w:spacing w:after="0" w:line="157" w:lineRule="exact"/>
        <w:rPr>
          <w:rFonts w:ascii="Arial" w:cs="Arial" w:eastAsia="Arial" w:hAnsi="Arial"/>
          <w:sz w:val="18"/>
          <w:szCs w:val="18"/>
          <w:color w:val="auto"/>
        </w:rPr>
      </w:pPr>
    </w:p>
    <w:p>
      <w:pPr>
        <w:jc w:val="both"/>
        <w:ind w:left="-5" w:right="559" w:firstLine="364"/>
        <w:spacing w:after="0" w:line="293" w:lineRule="auto"/>
        <w:tabs>
          <w:tab w:leader="none" w:pos="6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You serve (or agree to serve) as an officer, director, manager, consultant or employee of any proprietorship, partnership, corporation or other entity or become the 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124" w:lineRule="exact"/>
        <w:rPr>
          <w:rFonts w:ascii="Arial" w:cs="Arial" w:eastAsia="Arial" w:hAnsi="Arial"/>
          <w:sz w:val="16"/>
          <w:szCs w:val="16"/>
          <w:color w:val="auto"/>
        </w:rPr>
      </w:pPr>
    </w:p>
    <w:p>
      <w:pPr>
        <w:ind w:left="-5" w:right="559" w:firstLine="364"/>
        <w:spacing w:after="0" w:line="277" w:lineRule="auto"/>
        <w:tabs>
          <w:tab w:leader="none" w:pos="617" w:val="left"/>
        </w:tabs>
        <w:numPr>
          <w:ilvl w:val="1"/>
          <w:numId w:val="38"/>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129" w:lineRule="exact"/>
        <w:rPr>
          <w:rFonts w:ascii="Arial" w:cs="Arial" w:eastAsia="Arial" w:hAnsi="Arial"/>
          <w:sz w:val="18"/>
          <w:szCs w:val="18"/>
          <w:color w:val="auto"/>
        </w:rPr>
      </w:pPr>
    </w:p>
    <w:p>
      <w:pPr>
        <w:ind w:left="-5" w:right="559" w:firstLine="364"/>
        <w:spacing w:after="0" w:line="277" w:lineRule="auto"/>
        <w:tabs>
          <w:tab w:leader="none" w:pos="669" w:val="left"/>
        </w:tabs>
        <w:numPr>
          <w:ilvl w:val="1"/>
          <w:numId w:val="38"/>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143" w:lineRule="exact"/>
        <w:rPr>
          <w:rFonts w:ascii="Arial" w:cs="Arial" w:eastAsia="Arial" w:hAnsi="Arial"/>
          <w:sz w:val="18"/>
          <w:szCs w:val="18"/>
          <w:color w:val="auto"/>
        </w:rPr>
      </w:pPr>
    </w:p>
    <w:p>
      <w:pPr>
        <w:jc w:val="both"/>
        <w:ind w:left="-5" w:right="559" w:firstLine="364"/>
        <w:spacing w:after="0" w:line="255" w:lineRule="auto"/>
        <w:tabs>
          <w:tab w:leader="none" w:pos="6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152" w:lineRule="exact"/>
        <w:rPr>
          <w:rFonts w:ascii="Arial" w:cs="Arial" w:eastAsia="Arial" w:hAnsi="Arial"/>
          <w:sz w:val="18"/>
          <w:szCs w:val="18"/>
          <w:color w:val="auto"/>
        </w:rPr>
      </w:pPr>
    </w:p>
    <w:p>
      <w:pPr>
        <w:jc w:val="both"/>
        <w:ind w:left="-5" w:right="559" w:firstLine="364"/>
        <w:spacing w:after="0" w:line="273" w:lineRule="auto"/>
        <w:tabs>
          <w:tab w:leader="none" w:pos="613" w:val="left"/>
        </w:tabs>
        <w:numPr>
          <w:ilvl w:val="1"/>
          <w:numId w:val="38"/>
        </w:numPr>
        <w:rPr>
          <w:rFonts w:ascii="Arial" w:cs="Arial" w:eastAsia="Arial" w:hAnsi="Arial"/>
          <w:sz w:val="17"/>
          <w:szCs w:val="17"/>
          <w:color w:val="auto"/>
        </w:rPr>
      </w:pPr>
      <w:r>
        <w:rPr>
          <w:rFonts w:ascii="Arial" w:cs="Arial" w:eastAsia="Arial" w:hAnsi="Arial"/>
          <w:sz w:val="17"/>
          <w:szCs w:val="17"/>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137" w:lineRule="exact"/>
        <w:rPr>
          <w:rFonts w:ascii="Arial" w:cs="Arial" w:eastAsia="Arial" w:hAnsi="Arial"/>
          <w:sz w:val="17"/>
          <w:szCs w:val="17"/>
          <w:color w:val="auto"/>
        </w:rPr>
      </w:pPr>
    </w:p>
    <w:p>
      <w:pPr>
        <w:jc w:val="both"/>
        <w:ind w:left="-5" w:right="559" w:firstLine="364"/>
        <w:spacing w:after="0" w:line="257" w:lineRule="auto"/>
        <w:tabs>
          <w:tab w:leader="none" w:pos="671" w:val="left"/>
        </w:tabs>
        <w:numPr>
          <w:ilvl w:val="1"/>
          <w:numId w:val="38"/>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161" w:lineRule="exact"/>
        <w:rPr>
          <w:rFonts w:ascii="Arial" w:cs="Arial" w:eastAsia="Arial" w:hAnsi="Arial"/>
          <w:sz w:val="18"/>
          <w:szCs w:val="18"/>
          <w:color w:val="auto"/>
        </w:rPr>
      </w:pPr>
    </w:p>
    <w:p>
      <w:pPr>
        <w:ind w:left="-5" w:right="559" w:firstLine="364"/>
        <w:spacing w:after="0" w:line="277" w:lineRule="auto"/>
        <w:tabs>
          <w:tab w:leader="none" w:pos="723" w:val="left"/>
        </w:tabs>
        <w:numPr>
          <w:ilvl w:val="1"/>
          <w:numId w:val="38"/>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200" w:lineRule="exact"/>
        <w:rPr>
          <w:sz w:val="20"/>
          <w:szCs w:val="20"/>
          <w:color w:val="auto"/>
        </w:rPr>
      </w:pPr>
    </w:p>
    <w:p>
      <w:pPr>
        <w:spacing w:after="0" w:line="322" w:lineRule="exact"/>
        <w:rPr>
          <w:sz w:val="20"/>
          <w:szCs w:val="20"/>
          <w:color w:val="auto"/>
        </w:rPr>
      </w:pPr>
    </w:p>
    <w:p>
      <w:pPr>
        <w:ind w:left="4255"/>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2" w:right="1440" w:bottom="1440" w:gutter="0" w:footer="0" w:header="0"/>
        </w:sectPr>
      </w:pPr>
    </w:p>
    <w:bookmarkStart w:id="69" w:name="page70"/>
    <w:bookmarkEnd w:id="69"/>
    <w:p>
      <w:pPr>
        <w:jc w:val="both"/>
        <w:ind w:left="-365" w:right="559" w:firstLine="365"/>
        <w:spacing w:after="0" w:line="266" w:lineRule="auto"/>
        <w:tabs>
          <w:tab w:leader="none" w:pos="25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Normally, your NSO will vest only in the circumstances described in Sections 2(a) and 4(a)</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Award Agreement. However, if there is a Change in Control, your NSO may vest earlier. You should read the Plan carefully to ensure that you understand how this may happen.</w:t>
      </w:r>
    </w:p>
    <w:p>
      <w:pPr>
        <w:spacing w:after="0" w:line="149" w:lineRule="exact"/>
        <w:rPr>
          <w:rFonts w:ascii="Arial" w:cs="Arial" w:eastAsia="Arial" w:hAnsi="Arial"/>
          <w:sz w:val="18"/>
          <w:szCs w:val="18"/>
          <w:color w:val="auto"/>
        </w:rPr>
      </w:pPr>
    </w:p>
    <w:p>
      <w:pPr>
        <w:ind w:left="-365" w:right="559" w:firstLine="365"/>
        <w:spacing w:after="0" w:line="282" w:lineRule="auto"/>
        <w:tabs>
          <w:tab w:leader="none" w:pos="263"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AMENDMENT AND TERMINATION</w:t>
      </w:r>
      <w:r>
        <w:rPr>
          <w:rFonts w:ascii="Arial" w:cs="Arial" w:eastAsia="Arial" w:hAnsi="Arial"/>
          <w:sz w:val="18"/>
          <w:szCs w:val="18"/>
          <w:color w:val="auto"/>
        </w:rPr>
        <w:t>. Subject to the terms of the Plan, the Company may amend or terminate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or the Plan at any time.</w:t>
      </w:r>
    </w:p>
    <w:p>
      <w:pPr>
        <w:spacing w:after="0" w:line="121" w:lineRule="exact"/>
        <w:rPr>
          <w:rFonts w:ascii="Arial" w:cs="Arial" w:eastAsia="Arial" w:hAnsi="Arial"/>
          <w:sz w:val="18"/>
          <w:szCs w:val="18"/>
          <w:color w:val="auto"/>
        </w:rPr>
      </w:pPr>
    </w:p>
    <w:p>
      <w:pPr>
        <w:ind w:left="-365" w:right="559" w:firstLine="365"/>
        <w:spacing w:after="0" w:line="282" w:lineRule="auto"/>
        <w:tabs>
          <w:tab w:leader="none" w:pos="266"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RIGHTS BEFORE YOUR NSO IS EXERCISED</w:t>
      </w:r>
      <w:r>
        <w:rPr>
          <w:rFonts w:ascii="Arial" w:cs="Arial" w:eastAsia="Arial" w:hAnsi="Arial"/>
          <w:sz w:val="18"/>
          <w:szCs w:val="18"/>
          <w:color w:val="auto"/>
        </w:rPr>
        <w:t>. You may not vote, or receive any dividends associated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underlying your NSO before your NSO is exercised with respect to such Shares.</w:t>
      </w:r>
    </w:p>
    <w:p>
      <w:pPr>
        <w:spacing w:after="0" w:line="121" w:lineRule="exact"/>
        <w:rPr>
          <w:rFonts w:ascii="Arial" w:cs="Arial" w:eastAsia="Arial" w:hAnsi="Arial"/>
          <w:sz w:val="18"/>
          <w:szCs w:val="18"/>
          <w:color w:val="auto"/>
        </w:rPr>
      </w:pPr>
    </w:p>
    <w:p>
      <w:pPr>
        <w:jc w:val="both"/>
        <w:ind w:left="-365" w:right="559" w:firstLine="365"/>
        <w:spacing w:after="0" w:line="298" w:lineRule="auto"/>
        <w:tabs>
          <w:tab w:leader="none" w:pos="246"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BENEFICIARY DESIGNATION</w:t>
      </w:r>
      <w:r>
        <w:rPr>
          <w:rFonts w:ascii="Arial" w:cs="Arial" w:eastAsia="Arial" w:hAnsi="Arial"/>
          <w:sz w:val="16"/>
          <w:szCs w:val="16"/>
          <w:color w:val="auto"/>
        </w:rPr>
        <w:t>. You may name a beneficiary or beneficiaries to receive or to exercise the vested</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your NSO that is unexercised when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127" w:lineRule="exact"/>
        <w:rPr>
          <w:rFonts w:ascii="Arial" w:cs="Arial" w:eastAsia="Arial" w:hAnsi="Arial"/>
          <w:sz w:val="16"/>
          <w:szCs w:val="16"/>
          <w:color w:val="auto"/>
        </w:rPr>
      </w:pPr>
    </w:p>
    <w:p>
      <w:pPr>
        <w:jc w:val="both"/>
        <w:ind w:left="-365" w:right="559" w:firstLine="365"/>
        <w:spacing w:after="0" w:line="303" w:lineRule="auto"/>
        <w:tabs>
          <w:tab w:leader="none" w:pos="276"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TRANSFERRING YOUR NSO</w:t>
      </w:r>
      <w:r>
        <w:rPr>
          <w:rFonts w:ascii="Arial" w:cs="Arial" w:eastAsia="Arial" w:hAnsi="Arial"/>
          <w:sz w:val="16"/>
          <w:szCs w:val="16"/>
          <w:color w:val="auto"/>
        </w:rPr>
        <w:t>. Normally, your NSO may not be transferred to another person. However, you may</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a Beneficiary Designation Form to name the person who may exercise your NSO if you die before the Expiration Date. Also, the Committee may allow you to place your NSO into a trust established for your benefit or for the benefit of your family. Contact [Third Party Administrator] at [TPA Telephone Number] or at the address given above if you are interested in doing this.</w:t>
      </w:r>
    </w:p>
    <w:p>
      <w:pPr>
        <w:spacing w:after="0" w:line="110" w:lineRule="exact"/>
        <w:rPr>
          <w:rFonts w:ascii="Arial" w:cs="Arial" w:eastAsia="Arial" w:hAnsi="Arial"/>
          <w:sz w:val="16"/>
          <w:szCs w:val="16"/>
          <w:color w:val="auto"/>
        </w:rPr>
      </w:pPr>
    </w:p>
    <w:p>
      <w:pPr>
        <w:jc w:val="both"/>
        <w:ind w:left="-365" w:right="559" w:firstLine="365"/>
        <w:spacing w:after="0" w:line="266" w:lineRule="auto"/>
        <w:tabs>
          <w:tab w:leader="none" w:pos="29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Award Agreement shall be governed by the laws of the State of Ohio,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the Plan to the substantive law of another jurisdiction.</w:t>
      </w:r>
    </w:p>
    <w:p>
      <w:pPr>
        <w:spacing w:after="0" w:line="135" w:lineRule="exact"/>
        <w:rPr>
          <w:rFonts w:ascii="Arial" w:cs="Arial" w:eastAsia="Arial" w:hAnsi="Arial"/>
          <w:sz w:val="18"/>
          <w:szCs w:val="18"/>
          <w:color w:val="auto"/>
        </w:rPr>
      </w:pPr>
    </w:p>
    <w:p>
      <w:pPr>
        <w:jc w:val="both"/>
        <w:ind w:left="-365" w:right="559" w:firstLine="365"/>
        <w:spacing w:after="0" w:line="266" w:lineRule="auto"/>
        <w:tabs>
          <w:tab w:leader="none" w:pos="223"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OTHER AGREEMENTS</w:t>
      </w:r>
      <w:r>
        <w:rPr>
          <w:rFonts w:ascii="Arial" w:cs="Arial" w:eastAsia="Arial" w:hAnsi="Arial"/>
          <w:sz w:val="18"/>
          <w:szCs w:val="18"/>
          <w:color w:val="auto"/>
        </w:rPr>
        <w:t>. Your NSO will be subject to the terms of any other written agreements between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Affiliate or Subsidiary to the extent that those other agreements do not directly conflict with the terms of the Plan or this Award Agreement.</w:t>
      </w:r>
    </w:p>
    <w:p>
      <w:pPr>
        <w:spacing w:after="0" w:line="149" w:lineRule="exact"/>
        <w:rPr>
          <w:rFonts w:ascii="Arial" w:cs="Arial" w:eastAsia="Arial" w:hAnsi="Arial"/>
          <w:sz w:val="18"/>
          <w:szCs w:val="18"/>
          <w:color w:val="auto"/>
        </w:rPr>
      </w:pPr>
    </w:p>
    <w:p>
      <w:pPr>
        <w:jc w:val="both"/>
        <w:ind w:left="-365" w:right="559" w:firstLine="365"/>
        <w:spacing w:after="0" w:line="266" w:lineRule="auto"/>
        <w:tabs>
          <w:tab w:leader="none" w:pos="236"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ADJUSTMENTS TO YOUR NSO</w:t>
      </w:r>
      <w:r>
        <w:rPr>
          <w:rFonts w:ascii="Arial" w:cs="Arial" w:eastAsia="Arial" w:hAnsi="Arial"/>
          <w:sz w:val="18"/>
          <w:szCs w:val="18"/>
          <w:color w:val="auto"/>
        </w:rPr>
        <w:t>. Subject to the terms of the Plan, your NSO will be adjusted, if appropriate, to</w:t>
      </w:r>
      <w:r>
        <w:rPr>
          <w:rFonts w:ascii="Arial" w:cs="Arial" w:eastAsia="Arial" w:hAnsi="Arial"/>
          <w:sz w:val="18"/>
          <w:szCs w:val="18"/>
          <w:b w:val="1"/>
          <w:bCs w:val="1"/>
          <w:color w:val="auto"/>
        </w:rPr>
        <w:t xml:space="preserve"> </w:t>
      </w:r>
      <w:r>
        <w:rPr>
          <w:rFonts w:ascii="Arial" w:cs="Arial" w:eastAsia="Arial" w:hAnsi="Arial"/>
          <w:sz w:val="18"/>
          <w:szCs w:val="18"/>
          <w:color w:val="auto"/>
        </w:rPr>
        <w:t>reflect any change to the Company’s capital structure (e.g., the number of Shares underlying your NSO and the Exercise Price will be adjusted to reflect a stock split).</w:t>
      </w:r>
    </w:p>
    <w:p>
      <w:pPr>
        <w:spacing w:after="0" w:line="200" w:lineRule="exact"/>
        <w:rPr>
          <w:sz w:val="20"/>
          <w:szCs w:val="20"/>
          <w:color w:val="auto"/>
        </w:rPr>
      </w:pPr>
    </w:p>
    <w:p>
      <w:pPr>
        <w:spacing w:after="0" w:line="331" w:lineRule="exact"/>
        <w:rPr>
          <w:sz w:val="20"/>
          <w:szCs w:val="20"/>
          <w:color w:val="auto"/>
        </w:rPr>
      </w:pPr>
    </w:p>
    <w:p>
      <w:pPr>
        <w:ind w:left="4255"/>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1" w:right="1440" w:bottom="1440" w:gutter="0" w:footer="0" w:header="0"/>
        </w:sectPr>
      </w:pPr>
    </w:p>
    <w:bookmarkStart w:id="70" w:name="page71"/>
    <w:bookmarkEnd w:id="70"/>
    <w:p>
      <w:pPr>
        <w:jc w:val="both"/>
        <w:ind w:left="340" w:right="1760" w:firstLine="365"/>
        <w:spacing w:after="0" w:line="266" w:lineRule="auto"/>
        <w:tabs>
          <w:tab w:leader="none" w:pos="968"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OTHER TERMS AND CONDITIONS</w:t>
      </w:r>
      <w:r>
        <w:rPr>
          <w:rFonts w:ascii="Arial" w:cs="Arial" w:eastAsia="Arial" w:hAnsi="Arial"/>
          <w:sz w:val="18"/>
          <w:szCs w:val="18"/>
          <w:color w:val="auto"/>
        </w:rPr>
        <w:t>. Your NSO is subject to more rules described in the Plan. You should read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carefully to ensure you fully understand all the terms and conditions of the grant of the NSO made to you under this Award Agreement.</w:t>
      </w:r>
    </w:p>
    <w:p>
      <w:pPr>
        <w:spacing w:after="0" w:line="149" w:lineRule="exact"/>
        <w:rPr>
          <w:rFonts w:ascii="Arial" w:cs="Arial" w:eastAsia="Arial" w:hAnsi="Arial"/>
          <w:sz w:val="18"/>
          <w:szCs w:val="18"/>
          <w:color w:val="auto"/>
        </w:rPr>
      </w:pPr>
    </w:p>
    <w:p>
      <w:pPr>
        <w:ind w:left="520" w:hanging="188"/>
        <w:spacing w:after="0"/>
        <w:tabs>
          <w:tab w:leader="none" w:pos="5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YOUR ACKNOWLEDGMENT OF AWARD CONDITIONS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signing below, you acknowledge and agree that:</w:t>
      </w:r>
    </w:p>
    <w:p>
      <w:pPr>
        <w:spacing w:after="0" w:line="185" w:lineRule="exact"/>
        <w:rPr>
          <w:sz w:val="20"/>
          <w:szCs w:val="20"/>
          <w:color w:val="auto"/>
        </w:rPr>
      </w:pPr>
    </w:p>
    <w:p>
      <w:pPr>
        <w:ind w:left="940" w:hanging="235"/>
        <w:spacing w:after="0"/>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98" w:lineRule="exact"/>
        <w:rPr>
          <w:rFonts w:ascii="Arial" w:cs="Arial" w:eastAsia="Arial" w:hAnsi="Arial"/>
          <w:sz w:val="18"/>
          <w:szCs w:val="18"/>
          <w:color w:val="auto"/>
        </w:rPr>
      </w:pPr>
    </w:p>
    <w:p>
      <w:pPr>
        <w:ind w:left="960" w:hanging="255"/>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NSO;</w:t>
      </w:r>
    </w:p>
    <w:p>
      <w:pPr>
        <w:spacing w:after="0" w:line="184" w:lineRule="exact"/>
        <w:rPr>
          <w:rFonts w:ascii="Arial" w:cs="Arial" w:eastAsia="Arial" w:hAnsi="Arial"/>
          <w:sz w:val="18"/>
          <w:szCs w:val="18"/>
          <w:color w:val="auto"/>
        </w:rPr>
      </w:pPr>
    </w:p>
    <w:p>
      <w:pPr>
        <w:jc w:val="both"/>
        <w:ind w:left="340" w:right="1760" w:firstLine="365"/>
        <w:spacing w:after="0" w:line="259" w:lineRule="auto"/>
        <w:tabs>
          <w:tab w:leader="none" w:pos="981"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NSO or this Award Agreement to comply with any law and to avoid paying penalties under Section 409A of the Code, even if those changes affect the terms of your NSO and reduce its value or potential value; and</w:t>
      </w:r>
    </w:p>
    <w:p>
      <w:pPr>
        <w:spacing w:after="0" w:line="146" w:lineRule="exact"/>
        <w:rPr>
          <w:rFonts w:ascii="Arial" w:cs="Arial" w:eastAsia="Arial" w:hAnsi="Arial"/>
          <w:sz w:val="18"/>
          <w:szCs w:val="18"/>
          <w:color w:val="auto"/>
        </w:rPr>
      </w:pPr>
    </w:p>
    <w:p>
      <w:pPr>
        <w:ind w:left="960" w:hanging="255"/>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gridSpan w:val="4"/>
          </w:tcPr>
          <w:p>
            <w:pPr>
              <w:ind w:left="340"/>
              <w:spacing w:after="0"/>
              <w:rPr>
                <w:sz w:val="20"/>
                <w:szCs w:val="20"/>
                <w:color w:val="auto"/>
              </w:rPr>
            </w:pPr>
            <w:r>
              <w:rPr>
                <w:rFonts w:ascii="Arial" w:cs="Arial" w:eastAsia="Arial" w:hAnsi="Arial"/>
                <w:sz w:val="18"/>
                <w:szCs w:val="18"/>
                <w:color w:val="auto"/>
              </w:rPr>
              <w:t>[Grantee’s Name]</w:t>
            </w:r>
          </w:p>
        </w:tc>
        <w:tc>
          <w:tcPr>
            <w:tcW w:w="4760" w:type="dxa"/>
            <w:vAlign w:val="bottom"/>
            <w:gridSpan w:val="4"/>
          </w:tcPr>
          <w:p>
            <w:pPr>
              <w:ind w:left="1240"/>
              <w:spacing w:after="0"/>
              <w:rPr>
                <w:sz w:val="20"/>
                <w:szCs w:val="20"/>
                <w:color w:val="auto"/>
              </w:rPr>
            </w:pPr>
            <w:r>
              <w:rPr>
                <w:rFonts w:ascii="Arial" w:cs="Arial" w:eastAsia="Arial" w:hAnsi="Arial"/>
                <w:sz w:val="18"/>
                <w:szCs w:val="18"/>
                <w:color w:val="auto"/>
              </w:rPr>
              <w:t>THE SCOTTS MIRACLE-GRO COMPANY</w:t>
            </w:r>
          </w:p>
        </w:tc>
        <w:tc>
          <w:tcPr>
            <w:tcW w:w="2820" w:type="dxa"/>
            <w:vAlign w:val="bottom"/>
          </w:tcPr>
          <w:p>
            <w:pPr>
              <w:spacing w:after="0"/>
              <w:rPr>
                <w:sz w:val="20"/>
                <w:szCs w:val="20"/>
                <w:color w:val="auto"/>
              </w:rPr>
            </w:pPr>
          </w:p>
        </w:tc>
      </w:tr>
      <w:tr>
        <w:trPr>
          <w:trHeight w:val="432"/>
        </w:trPr>
        <w:tc>
          <w:tcPr>
            <w:tcW w:w="3840" w:type="dxa"/>
            <w:vAlign w:val="bottom"/>
            <w:gridSpan w:val="4"/>
          </w:tcPr>
          <w:p>
            <w:pPr>
              <w:ind w:left="340"/>
              <w:spacing w:after="0"/>
              <w:rPr>
                <w:sz w:val="20"/>
                <w:szCs w:val="20"/>
                <w:color w:val="auto"/>
              </w:rPr>
            </w:pPr>
            <w:r>
              <w:rPr>
                <w:rFonts w:ascii="Arial" w:cs="Arial" w:eastAsia="Arial" w:hAnsi="Arial"/>
                <w:sz w:val="18"/>
                <w:szCs w:val="18"/>
                <w:color w:val="auto"/>
              </w:rPr>
              <w:t>BY:</w:t>
            </w:r>
          </w:p>
        </w:tc>
        <w:tc>
          <w:tcPr>
            <w:tcW w:w="4760" w:type="dxa"/>
            <w:vAlign w:val="bottom"/>
            <w:gridSpan w:val="4"/>
          </w:tcPr>
          <w:p>
            <w:pPr>
              <w:ind w:left="1240"/>
              <w:spacing w:after="0"/>
              <w:rPr>
                <w:sz w:val="20"/>
                <w:szCs w:val="20"/>
                <w:color w:val="auto"/>
              </w:rPr>
            </w:pPr>
            <w:r>
              <w:rPr>
                <w:rFonts w:ascii="Arial" w:cs="Arial" w:eastAsia="Arial" w:hAnsi="Arial"/>
                <w:sz w:val="18"/>
                <w:szCs w:val="18"/>
                <w:color w:val="auto"/>
              </w:rPr>
              <w:t>BY:</w:t>
            </w:r>
          </w:p>
        </w:tc>
        <w:tc>
          <w:tcPr>
            <w:tcW w:w="2820" w:type="dxa"/>
            <w:vAlign w:val="bottom"/>
          </w:tcPr>
          <w:p>
            <w:pPr>
              <w:spacing w:after="0"/>
              <w:rPr>
                <w:sz w:val="24"/>
                <w:szCs w:val="24"/>
                <w:color w:val="auto"/>
              </w:rPr>
            </w:pPr>
          </w:p>
        </w:tc>
      </w:tr>
      <w:tr>
        <w:trPr>
          <w:trHeight w:val="183"/>
        </w:trPr>
        <w:tc>
          <w:tcPr>
            <w:tcW w:w="680" w:type="dxa"/>
            <w:vAlign w:val="bottom"/>
          </w:tcPr>
          <w:p>
            <w:pPr>
              <w:ind w:left="340"/>
              <w:spacing w:after="0" w:line="182" w:lineRule="exact"/>
              <w:rPr>
                <w:sz w:val="20"/>
                <w:szCs w:val="20"/>
                <w:color w:val="auto"/>
              </w:rPr>
            </w:pPr>
            <w:r>
              <w:rPr>
                <w:rFonts w:ascii="Arial" w:cs="Arial" w:eastAsia="Arial" w:hAnsi="Arial"/>
                <w:sz w:val="18"/>
                <w:szCs w:val="18"/>
                <w:color w:val="auto"/>
                <w:w w:val="84"/>
              </w:rPr>
              <w:t>Date</w:t>
            </w:r>
          </w:p>
        </w:tc>
        <w:tc>
          <w:tcPr>
            <w:tcW w:w="3160" w:type="dxa"/>
            <w:vAlign w:val="bottom"/>
            <w:tcBorders>
              <w:top w:val="single" w:sz="8" w:color="auto"/>
            </w:tcBorders>
            <w:gridSpan w:val="3"/>
          </w:tcPr>
          <w:p>
            <w:pPr>
              <w:ind w:left="40"/>
              <w:spacing w:after="0" w:line="182" w:lineRule="exact"/>
              <w:rPr>
                <w:sz w:val="20"/>
                <w:szCs w:val="20"/>
                <w:color w:val="auto"/>
              </w:rPr>
            </w:pPr>
            <w:r>
              <w:rPr>
                <w:rFonts w:ascii="Arial" w:cs="Arial" w:eastAsia="Arial" w:hAnsi="Arial"/>
                <w:sz w:val="18"/>
                <w:szCs w:val="18"/>
                <w:color w:val="auto"/>
              </w:rPr>
              <w:t>signed:</w:t>
            </w:r>
          </w:p>
        </w:tc>
        <w:tc>
          <w:tcPr>
            <w:tcW w:w="1600" w:type="dxa"/>
            <w:vAlign w:val="bottom"/>
          </w:tcPr>
          <w:p>
            <w:pPr>
              <w:spacing w:after="0"/>
              <w:rPr>
                <w:sz w:val="15"/>
                <w:szCs w:val="15"/>
                <w:color w:val="auto"/>
              </w:rPr>
            </w:pPr>
          </w:p>
        </w:tc>
        <w:tc>
          <w:tcPr>
            <w:tcW w:w="316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auto"/>
              </w:rPr>
              <w:t>[Name of Company representative]</w:t>
            </w:r>
          </w:p>
        </w:tc>
        <w:tc>
          <w:tcPr>
            <w:tcW w:w="2820" w:type="dxa"/>
            <w:vAlign w:val="bottom"/>
          </w:tcPr>
          <w:p>
            <w:pPr>
              <w:spacing w:after="0"/>
              <w:rPr>
                <w:sz w:val="15"/>
                <w:szCs w:val="15"/>
                <w:color w:val="auto"/>
              </w:rPr>
            </w:pPr>
          </w:p>
        </w:tc>
      </w:tr>
      <w:tr>
        <w:trPr>
          <w:trHeight w:val="222"/>
        </w:trPr>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[Title of Company representative]</w:t>
            </w:r>
          </w:p>
        </w:tc>
        <w:tc>
          <w:tcPr>
            <w:tcW w:w="2820" w:type="dxa"/>
            <w:vAlign w:val="bottom"/>
          </w:tcPr>
          <w:p>
            <w:pPr>
              <w:spacing w:after="0"/>
              <w:rPr>
                <w:sz w:val="19"/>
                <w:szCs w:val="19"/>
                <w:color w:val="auto"/>
              </w:rPr>
            </w:pPr>
          </w:p>
        </w:tc>
      </w:tr>
      <w:tr>
        <w:trPr>
          <w:trHeight w:val="190"/>
        </w:trPr>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60" w:type="dxa"/>
            <w:vAlign w:val="bottom"/>
            <w:gridSpan w:val="4"/>
          </w:tcPr>
          <w:p>
            <w:pPr>
              <w:ind w:left="1240"/>
              <w:spacing w:after="0" w:line="190" w:lineRule="exact"/>
              <w:rPr>
                <w:sz w:val="20"/>
                <w:szCs w:val="20"/>
                <w:color w:val="auto"/>
              </w:rPr>
            </w:pPr>
            <w:r>
              <w:rPr>
                <w:rFonts w:ascii="Arial" w:cs="Arial" w:eastAsia="Arial" w:hAnsi="Arial"/>
                <w:sz w:val="18"/>
                <w:szCs w:val="18"/>
                <w:color w:val="auto"/>
              </w:rPr>
              <w:t>Date signed:</w:t>
            </w:r>
          </w:p>
        </w:tc>
        <w:tc>
          <w:tcPr>
            <w:tcW w:w="2820" w:type="dxa"/>
            <w:vAlign w:val="bottom"/>
          </w:tcPr>
          <w:p>
            <w:pPr>
              <w:spacing w:after="0"/>
              <w:rPr>
                <w:sz w:val="16"/>
                <w:szCs w:val="16"/>
                <w:color w:val="auto"/>
              </w:rPr>
            </w:pPr>
          </w:p>
        </w:tc>
      </w:tr>
      <w:tr>
        <w:trPr>
          <w:trHeight w:val="817"/>
        </w:trPr>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26"/>
        </w:trPr>
        <w:tc>
          <w:tcPr>
            <w:tcW w:w="6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1" w:name="page72"/>
    <w:bookmarkEnd w:id="71"/>
    <w:p>
      <w:pPr>
        <w:jc w:val="center"/>
        <w:ind w:right="55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2006 LONG-TERM INCENTIVE PLAN</w:t>
      </w:r>
    </w:p>
    <w:p>
      <w:pPr>
        <w:spacing w:after="0" w:line="18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NONQUALIFIED STOCK OPTION EXERCISE NOTICE</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FOR NONQUALIFIED STOCK OPTION GRANTED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[Grantee’s Name]</w:t>
      </w:r>
      <w:r>
        <w:rPr>
          <w:rFonts w:ascii="Arial" w:cs="Arial" w:eastAsia="Arial" w:hAnsi="Arial"/>
          <w:sz w:val="18"/>
          <w:szCs w:val="18"/>
          <w:color w:val="auto"/>
        </w:rPr>
        <w:t xml:space="preserve"> ON </w:t>
      </w:r>
      <w:r>
        <w:rPr>
          <w:rFonts w:ascii="Arial" w:cs="Arial" w:eastAsia="Arial" w:hAnsi="Arial"/>
          <w:sz w:val="18"/>
          <w:szCs w:val="18"/>
          <w:b w:val="1"/>
          <w:bCs w:val="1"/>
          <w:color w:val="auto"/>
        </w:rPr>
        <w:t>[Grant Date]</w:t>
      </w:r>
    </w:p>
    <w:p>
      <w:pPr>
        <w:spacing w:after="0" w:line="170"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Additional copies of this Nonqualified Stock Option Exercise Notice (“Exercise Notice”) (and any further information you may need about this Exercise Notice or exercising your NSO) are available from [Third Party Administrator] at the address given below.</w:t>
      </w:r>
    </w:p>
    <w:p>
      <w:pPr>
        <w:spacing w:after="0" w:line="141"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By completing this Exercise Notice and returning it to [Third Party Administrator] at the address given below, I elect to exercise all or a portion of the NSO and to purchase the Shares described below. Capitalized terms not defined in this Exercise Notice have the same meanings as in the Plan and applicable Award Agreement.</w:t>
      </w:r>
    </w:p>
    <w:p>
      <w:pPr>
        <w:spacing w:after="0" w:line="150" w:lineRule="exact"/>
        <w:rPr>
          <w:sz w:val="20"/>
          <w:szCs w:val="20"/>
          <w:color w:val="auto"/>
        </w:rPr>
      </w:pPr>
    </w:p>
    <w:p>
      <w:pPr>
        <w:jc w:val="both"/>
        <w:ind w:left="360" w:right="559"/>
        <w:spacing w:after="0" w:line="261"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You must complete a separate Exercise Notice for each NSO being exercised (e.g., if you are simultaneously</w:t>
      </w:r>
      <w:r>
        <w:rPr>
          <w:rFonts w:ascii="Arial" w:cs="Arial" w:eastAsia="Arial" w:hAnsi="Arial"/>
          <w:sz w:val="18"/>
          <w:szCs w:val="18"/>
          <w:b w:val="1"/>
          <w:bCs w:val="1"/>
          <w:color w:val="auto"/>
        </w:rPr>
        <w:t xml:space="preserve"> </w:t>
      </w:r>
      <w:r>
        <w:rPr>
          <w:rFonts w:ascii="Arial" w:cs="Arial" w:eastAsia="Arial" w:hAnsi="Arial"/>
          <w:sz w:val="18"/>
          <w:szCs w:val="18"/>
          <w:color w:val="auto"/>
        </w:rPr>
        <w:t>exercising an NSO to purchase 200 Shares granted on January 1, 2008 and an NSO to purchase 100 Shares granted on January 1, 2009 under a separate award agreement, you must complete two Exercise Notices, one for each NSO being exercised).</w:t>
      </w:r>
    </w:p>
    <w:p>
      <w:pPr>
        <w:spacing w:after="0" w:line="140" w:lineRule="exact"/>
        <w:rPr>
          <w:sz w:val="20"/>
          <w:szCs w:val="20"/>
          <w:color w:val="auto"/>
        </w:rPr>
      </w:pPr>
    </w:p>
    <w:p>
      <w:pPr>
        <w:ind w:right="559"/>
        <w:spacing w:after="0" w:line="282" w:lineRule="auto"/>
        <w:rPr>
          <w:sz w:val="20"/>
          <w:szCs w:val="20"/>
          <w:color w:val="auto"/>
        </w:rPr>
      </w:pPr>
      <w:r>
        <w:rPr>
          <w:rFonts w:ascii="Arial" w:cs="Arial" w:eastAsia="Arial" w:hAnsi="Arial"/>
          <w:sz w:val="18"/>
          <w:szCs w:val="18"/>
          <w:b w:val="1"/>
          <w:bCs w:val="1"/>
          <w:color w:val="auto"/>
        </w:rPr>
        <w:t xml:space="preserve">NSO TO BE EXERCISED AND SHARES TO BE PURCHASED: </w:t>
      </w:r>
      <w:r>
        <w:rPr>
          <w:rFonts w:ascii="Arial" w:cs="Arial" w:eastAsia="Arial" w:hAnsi="Arial"/>
          <w:sz w:val="18"/>
          <w:szCs w:val="18"/>
          <w:color w:val="auto"/>
        </w:rPr>
        <w:t>This Exercise Notice relates to the following NSO and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w:t>
      </w:r>
      <w:r>
        <w:rPr>
          <w:rFonts w:ascii="Arial" w:cs="Arial" w:eastAsia="Arial" w:hAnsi="Arial"/>
          <w:sz w:val="18"/>
          <w:szCs w:val="18"/>
          <w:i w:val="1"/>
          <w:iCs w:val="1"/>
          <w:color w:val="auto"/>
        </w:rPr>
        <w:t>fill in the blanks</w:t>
      </w:r>
      <w:r>
        <w:rPr>
          <w:rFonts w:ascii="Arial" w:cs="Arial" w:eastAsia="Arial" w:hAnsi="Arial"/>
          <w:sz w:val="18"/>
          <w:szCs w:val="18"/>
          <w:color w:val="auto"/>
        </w:rPr>
        <w: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Grant Date of NSO: [Grant Date]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Number of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1924050</wp:posOffset>
            </wp:positionH>
            <wp:positionV relativeFrom="paragraph">
              <wp:posOffset>-10160</wp:posOffset>
            </wp:positionV>
            <wp:extent cx="571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1"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aggregate Exercise Price due is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-7620</wp:posOffset>
            </wp:positionV>
            <wp:extent cx="571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NOTE: </w:t>
      </w:r>
      <w:r>
        <w:rPr>
          <w:rFonts w:ascii="Arial" w:cs="Arial" w:eastAsia="Arial" w:hAnsi="Arial"/>
          <w:sz w:val="17"/>
          <w:szCs w:val="17"/>
          <w:i w:val="1"/>
          <w:iCs w:val="1"/>
          <w:color w:val="auto"/>
        </w:rPr>
        <w:t>This amount must equal the product of</w:t>
      </w:r>
      <w:r>
        <w:rPr>
          <w:rFonts w:ascii="Arial" w:cs="Arial" w:eastAsia="Arial" w:hAnsi="Arial"/>
          <w:sz w:val="17"/>
          <w:szCs w:val="17"/>
          <w:b w:val="1"/>
          <w:bCs w:val="1"/>
          <w:i w:val="1"/>
          <w:iCs w:val="1"/>
          <w:color w:val="auto"/>
        </w:rPr>
        <w:t xml:space="preserve"> [Exercise Price] </w:t>
      </w:r>
      <w:r>
        <w:rPr>
          <w:rFonts w:ascii="Arial" w:cs="Arial" w:eastAsia="Arial" w:hAnsi="Arial"/>
          <w:sz w:val="17"/>
          <w:szCs w:val="17"/>
          <w:i w:val="1"/>
          <w:iCs w:val="1"/>
          <w:color w:val="auto"/>
        </w:rPr>
        <w:t>multiplied by the number of Shares being purchased.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OF EXERCISE PRICE: </w:t>
      </w:r>
      <w:r>
        <w:rPr>
          <w:rFonts w:ascii="Arial" w:cs="Arial" w:eastAsia="Arial" w:hAnsi="Arial"/>
          <w:sz w:val="18"/>
          <w:szCs w:val="18"/>
          <w:color w:val="auto"/>
        </w:rPr>
        <w:t>I have decided to pay the Exercise Price and any related taxes by (</w:t>
      </w:r>
      <w:r>
        <w:rPr>
          <w:rFonts w:ascii="Arial" w:cs="Arial" w:eastAsia="Arial" w:hAnsi="Arial"/>
          <w:sz w:val="18"/>
          <w:szCs w:val="18"/>
          <w:i w:val="1"/>
          <w:iCs w:val="1"/>
          <w:color w:val="auto"/>
        </w:rPr>
        <w:t>check one)</w:t>
      </w:r>
      <w:r>
        <w:rPr>
          <w:rFonts w:ascii="Arial" w:cs="Arial" w:eastAsia="Arial" w:hAnsi="Arial"/>
          <w:sz w:val="18"/>
          <w:szCs w:val="18"/>
          <w:color w:val="auto"/>
        </w:rPr>
        <w:t>:</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These methods are described in the applicable Award Agreement.</w:t>
      </w:r>
    </w:p>
    <w:p>
      <w:pPr>
        <w:spacing w:after="0" w:line="185" w:lineRule="exact"/>
        <w:rPr>
          <w:sz w:val="20"/>
          <w:szCs w:val="20"/>
          <w:color w:val="auto"/>
        </w:rPr>
      </w:pPr>
    </w:p>
    <w:p>
      <w:pPr>
        <w:ind w:left="700" w:hanging="343"/>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Cashless Exercise and Sell.</w:t>
      </w:r>
    </w:p>
    <w:p>
      <w:pPr>
        <w:spacing w:after="0" w:line="157" w:lineRule="exact"/>
        <w:rPr>
          <w:rFonts w:ascii="Arial" w:cs="Arial" w:eastAsia="Arial" w:hAnsi="Arial"/>
          <w:sz w:val="18"/>
          <w:szCs w:val="18"/>
          <w:color w:val="auto"/>
        </w:rPr>
      </w:pPr>
    </w:p>
    <w:p>
      <w:pPr>
        <w:ind w:left="700" w:hanging="343"/>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Combination Exercise.</w:t>
      </w:r>
    </w:p>
    <w:p>
      <w:pPr>
        <w:spacing w:after="0" w:line="157" w:lineRule="exact"/>
        <w:rPr>
          <w:rFonts w:ascii="Arial" w:cs="Arial" w:eastAsia="Arial" w:hAnsi="Arial"/>
          <w:sz w:val="18"/>
          <w:szCs w:val="18"/>
          <w:color w:val="auto"/>
        </w:rPr>
      </w:pPr>
    </w:p>
    <w:p>
      <w:pPr>
        <w:ind w:left="700" w:hanging="343"/>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Exercise and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72" w:name="page73"/>
    <w:bookmarkEnd w:id="72"/>
    <w:p>
      <w:pPr>
        <w:ind w:left="360"/>
        <w:spacing w:after="0"/>
        <w:rPr>
          <w:sz w:val="20"/>
          <w:szCs w:val="20"/>
          <w:color w:val="auto"/>
        </w:rPr>
      </w:pPr>
      <w:r>
        <w:rPr>
          <w:rFonts w:ascii="Arial" w:cs="Arial" w:eastAsia="Arial" w:hAnsi="Arial"/>
          <w:sz w:val="18"/>
          <w:szCs w:val="18"/>
          <w:b w:val="1"/>
          <w:bCs w:val="1"/>
          <w:i w:val="1"/>
          <w:iCs w:val="1"/>
          <w:color w:val="auto"/>
        </w:rPr>
        <w:t>NOTE:</w:t>
      </w:r>
    </w:p>
    <w:p>
      <w:pPr>
        <w:spacing w:after="0" w:line="198" w:lineRule="exact"/>
        <w:rPr>
          <w:sz w:val="20"/>
          <w:szCs w:val="20"/>
          <w:color w:val="auto"/>
        </w:rPr>
      </w:pPr>
    </w:p>
    <w:p>
      <w:pPr>
        <w:jc w:val="both"/>
        <w:ind w:left="1080" w:right="559" w:hanging="345"/>
        <w:spacing w:after="0" w:line="264" w:lineRule="auto"/>
        <w:tabs>
          <w:tab w:leader="none" w:pos="10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If you select the Exercise and Hold method, you must follow the procedures described in the Award Agreement to pay the Exercise Price and the taxes related to this exercise. You should contact [Third Party Administrator] at the address given below to find out the amount of taxes due.</w:t>
      </w:r>
    </w:p>
    <w:p>
      <w:pPr>
        <w:spacing w:after="0" w:line="140" w:lineRule="exact"/>
        <w:rPr>
          <w:rFonts w:ascii="Arial" w:cs="Arial" w:eastAsia="Arial" w:hAnsi="Arial"/>
          <w:sz w:val="18"/>
          <w:szCs w:val="18"/>
          <w:b w:val="1"/>
          <w:bCs w:val="1"/>
          <w:color w:val="auto"/>
        </w:rPr>
      </w:pPr>
    </w:p>
    <w:p>
      <w:pPr>
        <w:jc w:val="both"/>
        <w:ind w:left="1080" w:right="559" w:hanging="345"/>
        <w:spacing w:after="0" w:line="264" w:lineRule="auto"/>
        <w:tabs>
          <w:tab w:leader="none" w:pos="10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If you select either the Cashless Exercise and Sell method or the Combination Exercise method, you should contact [Third Party Administrator] at the address given below to be sure you understand how your choice of payment will affect the number of Shares you will receive.</w:t>
      </w:r>
    </w:p>
    <w:p>
      <w:pPr>
        <w:spacing w:after="0" w:line="13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YOUR ACKNOWLEDGMENT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85" w:lineRule="exact"/>
        <w:rPr>
          <w:sz w:val="20"/>
          <w:szCs w:val="20"/>
          <w:color w:val="auto"/>
        </w:rPr>
      </w:pPr>
    </w:p>
    <w:p>
      <w:pPr>
        <w:ind w:left="700" w:right="559" w:hanging="343"/>
        <w:spacing w:after="0" w:line="308" w:lineRule="auto"/>
        <w:tabs>
          <w:tab w:leader="none" w:pos="70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You fully understand the effect (including the investment effect) of exercising your NSO and buying Shares and understand that there is no guarantee that the value of these Shares will appreciate or will not depreciate;</w:t>
      </w:r>
    </w:p>
    <w:p>
      <w:pPr>
        <w:spacing w:after="0" w:line="106" w:lineRule="exact"/>
        <w:rPr>
          <w:rFonts w:ascii="Arial" w:cs="Arial" w:eastAsia="Arial" w:hAnsi="Arial"/>
          <w:sz w:val="17"/>
          <w:szCs w:val="17"/>
          <w:b w:val="1"/>
          <w:bCs w:val="1"/>
          <w:color w:val="auto"/>
        </w:rPr>
      </w:pPr>
    </w:p>
    <w:p>
      <w:pPr>
        <w:ind w:left="700" w:right="559" w:hanging="343"/>
        <w:spacing w:after="0" w:line="308" w:lineRule="auto"/>
        <w:tabs>
          <w:tab w:leader="none" w:pos="70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This Exercise Notice will have no effect if it is not returned to [Third Party Administrator] at the address given below before the NSO expires, as specified in the Award Agreement under which the NSO was granted; and</w:t>
      </w:r>
    </w:p>
    <w:p>
      <w:pPr>
        <w:spacing w:after="0" w:line="119" w:lineRule="exact"/>
        <w:rPr>
          <w:rFonts w:ascii="Arial" w:cs="Arial" w:eastAsia="Arial" w:hAnsi="Arial"/>
          <w:sz w:val="17"/>
          <w:szCs w:val="17"/>
          <w:b w:val="1"/>
          <w:bCs w:val="1"/>
          <w:color w:val="auto"/>
        </w:rPr>
      </w:pPr>
    </w:p>
    <w:p>
      <w:pPr>
        <w:ind w:left="700" w:right="559" w:hanging="343"/>
        <w:spacing w:after="0" w:line="342" w:lineRule="auto"/>
        <w:tabs>
          <w:tab w:leader="none" w:pos="70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The Shares you are buying by completing and returning this Exercise Notice will be issued to you as soon as administratively practicable. You will not have any rights as a shareholder of the Company until the Shares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2941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14605</wp:posOffset>
            </wp:positionV>
            <wp:extent cx="23152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81"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copy of this Exercise Notice must be received at the following address no later than the date the NSO expires, as specified in the Award Agreement under which the NSO was granted:</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[TPA Contact’s Address]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[TPA Telephone Number]</w:t>
      </w:r>
    </w:p>
    <w:p>
      <w:pPr>
        <w:spacing w:after="0" w:line="18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73" w:name="page74"/>
    <w:bookmarkEnd w:id="73"/>
    <w:p>
      <w:pPr>
        <w:ind w:left="3080"/>
        <w:spacing w:after="0"/>
        <w:rPr>
          <w:sz w:val="20"/>
          <w:szCs w:val="20"/>
          <w:color w:val="auto"/>
        </w:rPr>
      </w:pPr>
      <w:r>
        <w:rPr>
          <w:rFonts w:ascii="Arial" w:cs="Arial" w:eastAsia="Arial" w:hAnsi="Arial"/>
          <w:sz w:val="18"/>
          <w:szCs w:val="18"/>
          <w:b w:val="1"/>
          <w:bCs w:val="1"/>
          <w:color w:val="auto"/>
        </w:rPr>
        <w:t>ACKNOWLEDGEMENT OF RECEIPT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the Nonqualified Stock Option Exercise Notice was received on:</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571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 Has effectively exercised the portion of the NSO described in this Exercise Notice; or</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 Has not effectively exercised the portion of the NSO described in this Exercise Notice because: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describe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59258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178" w:lineRule="exact"/>
        <w:rPr>
          <w:sz w:val="20"/>
          <w:szCs w:val="20"/>
          <w:color w:val="auto"/>
        </w:rPr>
      </w:pPr>
    </w:p>
    <w:p>
      <w:pPr>
        <w:ind w:right="4239"/>
        <w:spacing w:after="0" w:line="528" w:lineRule="auto"/>
        <w:rPr>
          <w:sz w:val="20"/>
          <w:szCs w:val="20"/>
          <w:color w:val="auto"/>
        </w:rPr>
      </w:pPr>
      <w:r>
        <w:rPr>
          <w:rFonts w:ascii="Arial" w:cs="Arial" w:eastAsia="Arial" w:hAnsi="Arial"/>
          <w:sz w:val="18"/>
          <w:szCs w:val="18"/>
          <w:color w:val="auto"/>
        </w:rPr>
        <w:t>The Scotts Miracle-Gro Company 2006 Long-Term Incentive Plan Committee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-156845</wp:posOffset>
            </wp:positionV>
            <wp:extent cx="20580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20580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879"/>
          </w:cols>
          <w:pgMar w:left="580" w:top="931" w:right="1440" w:bottom="1440" w:gutter="0" w:footer="0" w:header="0"/>
        </w:sectPr>
      </w:pPr>
    </w:p>
    <w:bookmarkStart w:id="74" w:name="page75"/>
    <w:bookmarkEnd w:id="74"/>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85" w:lineRule="exact"/>
        <w:rPr>
          <w:sz w:val="20"/>
          <w:szCs w:val="20"/>
          <w:color w:val="auto"/>
        </w:rPr>
      </w:pPr>
    </w:p>
    <w:p>
      <w:pPr>
        <w:ind w:left="700" w:right="559" w:hanging="343"/>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January 2, 2010;</w:t>
      </w:r>
    </w:p>
    <w:p>
      <w:pPr>
        <w:spacing w:after="0" w:line="102"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700" w:right="559" w:hanging="343"/>
        <w:spacing w:after="0" w:line="286" w:lineRule="auto"/>
        <w:tabs>
          <w:tab w:leader="none" w:pos="7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jc w:val="both"/>
        <w:ind w:left="1080" w:right="559" w:hanging="345"/>
        <w:spacing w:after="0" w:line="259"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080" w:right="559" w:hanging="345"/>
        <w:spacing w:after="0" w:line="277"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Date: February 11, 2010</w:t>
            </w:r>
          </w:p>
        </w:tc>
        <w:tc>
          <w:tcPr>
            <w:tcW w:w="5980" w:type="dxa"/>
            <w:vAlign w:val="bottom"/>
            <w:gridSpan w:val="3"/>
          </w:tcPr>
          <w:p>
            <w:pPr>
              <w:ind w:left="700"/>
              <w:spacing w:after="0"/>
              <w:rPr>
                <w:sz w:val="20"/>
                <w:szCs w:val="20"/>
                <w:color w:val="auto"/>
              </w:rPr>
            </w:pPr>
            <w:r>
              <w:rPr>
                <w:rFonts w:ascii="Arial" w:cs="Arial" w:eastAsia="Arial" w:hAnsi="Arial"/>
                <w:sz w:val="18"/>
                <w:szCs w:val="18"/>
                <w:color w:val="auto"/>
              </w:rPr>
              <w:t>By: /s/ JAMES HAGEDORN</w:t>
            </w:r>
          </w:p>
        </w:tc>
      </w:tr>
      <w:tr>
        <w:trPr>
          <w:trHeight w:val="195"/>
        </w:trPr>
        <w:tc>
          <w:tcPr>
            <w:tcW w:w="2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9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Printed Name: James Hagedorn</w:t>
            </w:r>
          </w:p>
        </w:tc>
      </w:tr>
      <w:tr>
        <w:trPr>
          <w:trHeight w:val="230"/>
        </w:trPr>
        <w:tc>
          <w:tcPr>
            <w:tcW w:w="2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ind w:left="400"/>
              <w:spacing w:after="0"/>
              <w:rPr>
                <w:sz w:val="20"/>
                <w:szCs w:val="20"/>
                <w:color w:val="auto"/>
              </w:rPr>
            </w:pPr>
            <w:r>
              <w:rPr>
                <w:rFonts w:ascii="Arial" w:cs="Arial" w:eastAsia="Arial" w:hAnsi="Arial"/>
                <w:sz w:val="18"/>
                <w:szCs w:val="18"/>
                <w:color w:val="auto"/>
                <w:w w:val="93"/>
              </w:rPr>
              <w:t>Chief Executive Officer and Chairman of the Board</w:t>
            </w:r>
          </w:p>
        </w:tc>
      </w:tr>
    </w:tbl>
    <w:p>
      <w:pPr>
        <w:sectPr>
          <w:pgSz w:w="11900" w:h="16838" w:orient="portrait"/>
          <w:cols w:equalWidth="0" w:num="1">
            <w:col w:w="9879"/>
          </w:cols>
          <w:pgMar w:left="580" w:top="121" w:right="1440" w:bottom="1440" w:gutter="0" w:footer="0" w:header="0"/>
        </w:sectPr>
      </w:pPr>
    </w:p>
    <w:bookmarkStart w:id="75" w:name="page76"/>
    <w:bookmarkEnd w:id="75"/>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185" w:lineRule="exact"/>
        <w:rPr>
          <w:sz w:val="20"/>
          <w:szCs w:val="20"/>
          <w:color w:val="auto"/>
        </w:rPr>
      </w:pPr>
    </w:p>
    <w:p>
      <w:pPr>
        <w:ind w:left="700" w:right="559" w:hanging="343"/>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January 2, 2010;</w:t>
      </w:r>
    </w:p>
    <w:p>
      <w:pPr>
        <w:spacing w:after="0" w:line="102"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700" w:right="559" w:hanging="343"/>
        <w:spacing w:after="0" w:line="286" w:lineRule="auto"/>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Arial" w:cs="Arial" w:eastAsia="Arial" w:hAnsi="Arial"/>
          <w:sz w:val="17"/>
          <w:szCs w:val="17"/>
          <w:color w:val="auto"/>
        </w:rPr>
      </w:pPr>
    </w:p>
    <w:p>
      <w:pPr>
        <w:jc w:val="both"/>
        <w:ind w:left="1080" w:right="559" w:hanging="345"/>
        <w:spacing w:after="0" w:line="259"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080" w:right="559" w:hanging="345"/>
        <w:spacing w:after="0" w:line="277"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Date: February 11, 2010</w:t>
            </w: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By: /s/ DAVID C. EVANS</w:t>
            </w:r>
          </w:p>
        </w:tc>
      </w:tr>
      <w:tr>
        <w:trPr>
          <w:trHeight w:val="195"/>
        </w:trPr>
        <w:tc>
          <w:tcPr>
            <w:tcW w:w="2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Printed Name: David C. Evans</w:t>
            </w:r>
          </w:p>
        </w:tc>
      </w:tr>
      <w:tr>
        <w:trPr>
          <w:trHeight w:val="230"/>
        </w:trPr>
        <w:tc>
          <w:tcPr>
            <w:tcW w:w="2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400"/>
              <w:spacing w:after="0"/>
              <w:rPr>
                <w:sz w:val="20"/>
                <w:szCs w:val="20"/>
                <w:color w:val="auto"/>
              </w:rPr>
            </w:pPr>
            <w:r>
              <w:rPr>
                <w:rFonts w:ascii="Arial" w:cs="Arial" w:eastAsia="Arial" w:hAnsi="Arial"/>
                <w:sz w:val="18"/>
                <w:szCs w:val="18"/>
                <w:color w:val="auto"/>
                <w:w w:val="92"/>
              </w:rPr>
              <w:t>Executive Vice President and Chief Financial Officer</w:t>
            </w:r>
          </w:p>
        </w:tc>
      </w:tr>
    </w:tbl>
    <w:p>
      <w:pPr>
        <w:sectPr>
          <w:pgSz w:w="11900" w:h="16838" w:orient="portrait"/>
          <w:cols w:equalWidth="0" w:num="1">
            <w:col w:w="9879"/>
          </w:cols>
          <w:pgMar w:left="580" w:top="513" w:right="1440" w:bottom="1440" w:gutter="0" w:footer="0" w:header="0"/>
        </w:sectPr>
      </w:pPr>
    </w:p>
    <w:bookmarkStart w:id="76" w:name="page77"/>
    <w:bookmarkEnd w:id="76"/>
    <w:p>
      <w:pPr>
        <w:jc w:val="right"/>
        <w:ind w:right="559"/>
        <w:spacing w:after="0"/>
        <w:rPr>
          <w:sz w:val="20"/>
          <w:szCs w:val="20"/>
          <w:color w:val="auto"/>
        </w:rPr>
      </w:pPr>
      <w:r>
        <w:rPr>
          <w:rFonts w:ascii="Arial" w:cs="Arial" w:eastAsia="Arial" w:hAnsi="Arial"/>
          <w:sz w:val="18"/>
          <w:szCs w:val="18"/>
          <w:color w:val="auto"/>
        </w:rPr>
        <w:t>Exhibit 32</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p>
      <w:pPr>
        <w:jc w:val="both"/>
        <w:ind w:left="8" w:right="559"/>
        <w:spacing w:after="0" w:line="255"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January 2, 2010 as filed with the Securities and Exchange Commission on the date hereof (the “Report”), the undersigned James Hagedorn,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53" w:lineRule="exact"/>
        <w:rPr>
          <w:sz w:val="20"/>
          <w:szCs w:val="20"/>
          <w:color w:val="auto"/>
        </w:rPr>
      </w:pPr>
    </w:p>
    <w:p>
      <w:pPr>
        <w:ind w:left="708" w:hanging="343"/>
        <w:spacing w:after="0"/>
        <w:tabs>
          <w:tab w:leader="none" w:pos="708"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and</w:t>
      </w:r>
    </w:p>
    <w:p>
      <w:pPr>
        <w:spacing w:after="0" w:line="209" w:lineRule="exact"/>
        <w:rPr>
          <w:rFonts w:ascii="Arial" w:cs="Arial" w:eastAsia="Arial" w:hAnsi="Arial"/>
          <w:sz w:val="17"/>
          <w:szCs w:val="17"/>
          <w:color w:val="auto"/>
        </w:rPr>
      </w:pPr>
    </w:p>
    <w:p>
      <w:pPr>
        <w:ind w:left="708" w:right="559" w:hanging="343"/>
        <w:spacing w:after="0" w:line="277" w:lineRule="auto"/>
        <w:tabs>
          <w:tab w:leader="none" w:pos="7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460" w:type="dxa"/>
            <w:vAlign w:val="bottom"/>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4160" w:type="dxa"/>
            <w:vAlign w:val="bottom"/>
          </w:tcPr>
          <w:p>
            <w:pPr>
              <w:spacing w:after="0"/>
              <w:rPr>
                <w:sz w:val="20"/>
                <w:szCs w:val="20"/>
                <w:color w:val="auto"/>
              </w:rPr>
            </w:pPr>
            <w:r>
              <w:rPr>
                <w:rFonts w:ascii="Arial" w:cs="Arial" w:eastAsia="Arial" w:hAnsi="Arial"/>
                <w:sz w:val="18"/>
                <w:szCs w:val="18"/>
                <w:color w:val="auto"/>
              </w:rPr>
              <w:t>James Hagedorn</w:t>
            </w:r>
          </w:p>
        </w:tc>
        <w:tc>
          <w:tcPr>
            <w:tcW w:w="4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Chief Executive Officer and</w:t>
            </w:r>
          </w:p>
        </w:tc>
        <w:tc>
          <w:tcPr>
            <w:tcW w:w="4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Chairman of the Board</w:t>
            </w:r>
          </w:p>
        </w:tc>
        <w:tc>
          <w:tcPr>
            <w:tcW w:w="4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February 11, 2010</w:t>
            </w:r>
          </w:p>
        </w:tc>
        <w:tc>
          <w:tcPr>
            <w:tcW w:w="46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February 11, 2010</w:t>
            </w:r>
          </w:p>
        </w:tc>
      </w:tr>
    </w:tbl>
    <w:p>
      <w:pPr>
        <w:spacing w:after="0" w:line="107" w:lineRule="exact"/>
        <w:rPr>
          <w:sz w:val="20"/>
          <w:szCs w:val="20"/>
          <w:color w:val="auto"/>
        </w:rPr>
      </w:pPr>
    </w:p>
    <w:p>
      <w:pPr>
        <w:jc w:val="both"/>
        <w:ind w:left="348" w:right="559" w:hanging="348"/>
        <w:spacing w:after="0" w:line="255" w:lineRule="auto"/>
        <w:tabs>
          <w:tab w:leader="none" w:pos="3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9887"/>
      </w:cols>
      <w:pgMar w:left="572" w:top="5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lowerLetter"/>
      <w:start w:val="3"/>
    </w:lvl>
  </w:abstractNum>
  <w:abstractNum w:abstractNumId="4">
    <w:nsid w:val="54E49EB4"/>
    <w:multiLevelType w:val="hybridMultilevel"/>
    <w:lvl w:ilvl="0">
      <w:lvlJc w:val="left"/>
      <w:lvlText w:val="(%1)"/>
      <w:numFmt w:val="lowerLetter"/>
      <w:start w:val="2"/>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upperLetter"/>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6">
    <w:nsid w:val="4516DDE9"/>
    <w:multiLevelType w:val="hybridMultilevel"/>
    <w:lvl w:ilvl="0">
      <w:lvlJc w:val="left"/>
      <w:lvlText w:val="%1"/>
      <w:numFmt w:val="lowerLetter"/>
      <w:start w:val="1"/>
    </w:lvl>
    <w:lvl w:ilvl="1">
      <w:lvlJc w:val="left"/>
      <w:lvlText w:val="(%2)"/>
      <w:numFmt w:val="lowerRoman"/>
      <w:start w:val="2"/>
    </w:lvl>
  </w:abstractNum>
  <w:abstractNum w:abstractNumId="17">
    <w:nsid w:val="3006C83E"/>
    <w:multiLevelType w:val="hybridMultilevel"/>
    <w:lvl w:ilvl="0">
      <w:lvlJc w:val="left"/>
      <w:lvlText w:val="(%1)"/>
      <w:numFmt w:val="lowerLetter"/>
      <w:start w:val="4"/>
    </w:lvl>
    <w:lvl w:ilvl="1">
      <w:lvlJc w:val="left"/>
      <w:lvlText w:val="%2"/>
      <w:numFmt w:val="lowerRoman"/>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
    <w:nsid w:val="440BADFC"/>
    <w:multiLevelType w:val="hybridMultilevel"/>
    <w:lvl w:ilvl="0">
      <w:lvlJc w:val="left"/>
      <w:lvlText w:val="(%1)"/>
      <w:numFmt w:val="lowerLetter"/>
      <w:start w:val="2"/>
    </w:lvl>
    <w:lvl w:ilvl="1">
      <w:lvlJc w:val="left"/>
      <w:lvlText w:val="(%2)"/>
      <w:numFmt w:val="lowerRoman"/>
      <w:start w:val="1"/>
    </w:lvl>
  </w:abstractNum>
  <w:abstractNum w:abstractNumId="22">
    <w:nsid w:val="5072367"/>
    <w:multiLevelType w:val="hybridMultilevel"/>
    <w:lvl w:ilvl="0">
      <w:lvlJc w:val="left"/>
      <w:lvlText w:val="(%1)"/>
      <w:numFmt w:val="lowerLetter"/>
      <w:start w:val="3"/>
    </w:lvl>
  </w:abstractNum>
  <w:abstractNum w:abstractNumId="23">
    <w:nsid w:val="3804823E"/>
    <w:multiLevelType w:val="hybridMultilevel"/>
    <w:lvl w:ilvl="0">
      <w:lvlJc w:val="left"/>
      <w:lvlText w:val="(%1)"/>
      <w:numFmt w:val="lowerLetter"/>
      <w:start w:val="9"/>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endash "/>
      <w:numFmt w:val="bullet"/>
      <w:start w:val="1"/>
    </w:lvl>
  </w:abstractNum>
  <w:abstractNum w:abstractNumId="26">
    <w:nsid w:val="5C482A9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7">
    <w:nsid w:val="2463B9EA"/>
    <w:multiLevelType w:val="hybridMultilevel"/>
    <w:lvl w:ilvl="0">
      <w:lvlJc w:val="left"/>
      <w:lvlText w:val="(%1)"/>
      <w:numFmt w:val="lowerLetter"/>
      <w:start w:val="2"/>
    </w:lvl>
  </w:abstractNum>
  <w:abstractNum w:abstractNumId="28">
    <w:nsid w:val="5E884ADC"/>
    <w:multiLevelType w:val="hybridMultilevel"/>
    <w:lvl w:ilvl="0">
      <w:lvlJc w:val="left"/>
      <w:lvlText w:val="(%1)"/>
      <w:numFmt w:val="lowerLetter"/>
      <w:start w:val="4"/>
    </w:lvl>
  </w:abstractNum>
  <w:abstractNum w:abstractNumId="29">
    <w:nsid w:val="51EAD36B"/>
    <w:multiLevelType w:val="hybridMultilevel"/>
    <w:lvl w:ilvl="0">
      <w:lvlJc w:val="left"/>
      <w:lvlText w:val="%1"/>
      <w:numFmt w:val="decimal"/>
      <w:start w:val="1"/>
    </w:lvl>
    <w:lvl w:ilvl="1">
      <w:lvlJc w:val="left"/>
      <w:lvlText w:val="(%2)"/>
      <w:numFmt w:val="lowerLetter"/>
      <w:start w:val="10"/>
    </w:lvl>
  </w:abstractNum>
  <w:abstractNum w:abstractNumId="30">
    <w:nsid w:val="2D517796"/>
    <w:multiLevelType w:val="hybridMultilevel"/>
    <w:lvl w:ilvl="0">
      <w:lvlJc w:val="left"/>
      <w:lvlText w:val="%1."/>
      <w:numFmt w:val="decimal"/>
      <w:start w:val="4"/>
    </w:lvl>
    <w:lvl w:ilvl="1">
      <w:lvlJc w:val="left"/>
      <w:lvlText w:val="%2"/>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decimal"/>
      <w:start w:val="2"/>
    </w:lvl>
    <w:lvl w:ilvl="1">
      <w:lvlJc w:val="left"/>
      <w:lvlText w:val="(%2)"/>
      <w:numFmt w:val="lowerLetter"/>
      <w:start w:val="1"/>
    </w:lvl>
  </w:abstractNum>
  <w:abstractNum w:abstractNumId="34">
    <w:nsid w:val="70A64E2A"/>
    <w:multiLevelType w:val="hybridMultilevel"/>
    <w:lvl w:ilvl="0">
      <w:lvlJc w:val="left"/>
      <w:lvlText w:val="%1"/>
      <w:numFmt w:val="decimal"/>
      <w:start w:val="1"/>
    </w:lvl>
    <w:lvl w:ilvl="1">
      <w:lvlJc w:val="left"/>
      <w:lvlText w:val="(%2)"/>
      <w:numFmt w:val="lowerLetter"/>
      <w:start w:val="2"/>
    </w:lvl>
  </w:abstractNum>
  <w:abstractNum w:abstractNumId="35">
    <w:nsid w:val="6A2342EC"/>
    <w:multiLevelType w:val="hybridMultilevel"/>
    <w:lvl w:ilvl="0">
      <w:lvlJc w:val="left"/>
      <w:lvlText w:val="%1."/>
      <w:numFmt w:val="decimal"/>
      <w:start w:val="3"/>
    </w:lvl>
    <w:lvl w:ilvl="1">
      <w:lvlJc w:val="left"/>
      <w:lvlText w:val="(%2)"/>
      <w:numFmt w:val="lowerLetter"/>
      <w:start w:val="1"/>
    </w:lvl>
  </w:abstractNum>
  <w:abstractNum w:abstractNumId="36">
    <w:nsid w:val="2A487CB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
    <w:nsid w:val="1D4ED43B"/>
    <w:multiLevelType w:val="hybridMultilevel"/>
    <w:lvl w:ilvl="0">
      <w:lvlJc w:val="left"/>
      <w:lvlText w:val="(%1)"/>
      <w:numFmt w:val="lowerLetter"/>
      <w:start w:val="2"/>
    </w:lvl>
    <w:lvl w:ilvl="1">
      <w:lvlJc w:val="left"/>
      <w:lvlText w:val="(%2)"/>
      <w:numFmt w:val="lowerRoman"/>
      <w:start w:val="1"/>
    </w:lvl>
  </w:abstractNum>
  <w:abstractNum w:abstractNumId="38">
    <w:nsid w:val="725A06FB"/>
    <w:multiLevelType w:val="hybridMultilevel"/>
    <w:lvl w:ilvl="0">
      <w:lvlJc w:val="left"/>
      <w:lvlText w:val="(%1)"/>
      <w:numFmt w:val="lowerLetter"/>
      <w:start w:val="3"/>
    </w:lvl>
  </w:abstractNum>
  <w:abstractNum w:abstractNumId="39">
    <w:nsid w:val="2CD89A32"/>
    <w:multiLevelType w:val="hybridMultilevel"/>
    <w:lvl w:ilvl="0">
      <w:lvlJc w:val="left"/>
      <w:lvlText w:val="%1"/>
      <w:numFmt w:val="decimal"/>
      <w:start w:val="1"/>
    </w:lvl>
    <w:lvl w:ilvl="1">
      <w:lvlJc w:val="left"/>
      <w:lvlText w:val="(%2)"/>
      <w:numFmt w:val="lowerLetter"/>
      <w:start w:val="11"/>
    </w:lvl>
  </w:abstractNum>
  <w:abstractNum w:abstractNumId="40">
    <w:nsid w:val="57E4CCAF"/>
    <w:multiLevelType w:val="hybridMultilevel"/>
    <w:lvl w:ilvl="0">
      <w:lvlJc w:val="left"/>
      <w:lvlText w:val="%1."/>
      <w:numFmt w:val="decimal"/>
      <w:start w:val="5"/>
    </w:lvl>
    <w:lvl w:ilvl="1">
      <w:lvlJc w:val="left"/>
      <w:lvlText w:val="%2"/>
      <w:numFmt w:val="lowerLetter"/>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o"/>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2019-12-10T08:26:36Z</dcterms:created>
  <dcterms:modified xsi:type="dcterms:W3CDTF">2019-12-10T08:26:36Z</dcterms:modified>
</cp:coreProperties>
</file>