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6"/>
          <w:szCs w:val="16"/>
          <w:color w:val="auto"/>
        </w:rPr>
        <w:t>1</w:t>
      </w:r>
    </w:p>
    <w:p>
      <w:pPr>
        <w:spacing w:after="0" w:line="8" w:lineRule="exact"/>
        <w:rPr>
          <w:sz w:val="24"/>
          <w:szCs w:val="24"/>
          <w:color w:val="auto"/>
        </w:rPr>
      </w:pPr>
    </w:p>
    <w:tbl>
      <w:tblPr>
        <w:tblLayout w:type="fixed"/>
        <w:tblInd w:w="2080" w:type="dxa"/>
        <w:tblCellMar>
          <w:top w:w="0" w:type="dxa"/>
          <w:left w:w="0" w:type="dxa"/>
          <w:bottom w:w="0" w:type="dxa"/>
          <w:right w:w="0" w:type="dxa"/>
        </w:tblCellMar>
      </w:tblPr>
      <w:tr>
        <w:trPr>
          <w:trHeight w:val="185"/>
        </w:trPr>
        <w:tc>
          <w:tcPr>
            <w:tcW w:w="25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SECURITIES AND EXCHANGE</w:t>
            </w:r>
          </w:p>
        </w:tc>
        <w:tc>
          <w:tcPr>
            <w:tcW w:w="1180" w:type="dxa"/>
            <w:vAlign w:val="bottom"/>
          </w:tcPr>
          <w:p>
            <w:pPr>
              <w:spacing w:after="0"/>
              <w:rPr>
                <w:sz w:val="20"/>
                <w:szCs w:val="20"/>
                <w:color w:val="auto"/>
              </w:rPr>
            </w:pPr>
            <w:r>
              <w:rPr>
                <w:rFonts w:ascii="Courier New" w:cs="Courier New" w:eastAsia="Courier New" w:hAnsi="Courier New"/>
                <w:sz w:val="16"/>
                <w:szCs w:val="16"/>
                <w:color w:val="auto"/>
              </w:rPr>
              <w:t>COMMISSION</w:t>
            </w:r>
          </w:p>
        </w:tc>
      </w:tr>
      <w:tr>
        <w:trPr>
          <w:trHeight w:val="379"/>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WASHINGTON,</w:t>
            </w:r>
          </w:p>
        </w:tc>
        <w:tc>
          <w:tcPr>
            <w:tcW w:w="18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D.C. 20549</w:t>
            </w:r>
          </w:p>
        </w:tc>
      </w:tr>
      <w:tr>
        <w:trPr>
          <w:trHeight w:val="758"/>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FORM</w:t>
            </w:r>
          </w:p>
        </w:tc>
        <w:tc>
          <w:tcPr>
            <w:tcW w:w="640" w:type="dxa"/>
            <w:vAlign w:val="bottom"/>
          </w:tcPr>
          <w:p>
            <w:pPr>
              <w:ind w:left="40"/>
              <w:spacing w:after="0"/>
              <w:rPr>
                <w:sz w:val="20"/>
                <w:szCs w:val="20"/>
                <w:color w:val="auto"/>
              </w:rPr>
            </w:pPr>
            <w:r>
              <w:rPr>
                <w:rFonts w:ascii="Courier New" w:cs="Courier New" w:eastAsia="Courier New" w:hAnsi="Courier New"/>
                <w:sz w:val="16"/>
                <w:szCs w:val="16"/>
                <w:color w:val="auto"/>
              </w:rPr>
              <w:t>8-K</w:t>
            </w:r>
          </w:p>
        </w:tc>
        <w:tc>
          <w:tcPr>
            <w:tcW w:w="1180" w:type="dxa"/>
            <w:vAlign w:val="bottom"/>
          </w:tcPr>
          <w:p>
            <w:pPr>
              <w:spacing w:after="0"/>
              <w:rPr>
                <w:sz w:val="24"/>
                <w:szCs w:val="24"/>
                <w:color w:val="auto"/>
              </w:rPr>
            </w:pPr>
          </w:p>
        </w:tc>
      </w:tr>
      <w:tr>
        <w:trPr>
          <w:trHeight w:val="379"/>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CURRENT</w:t>
            </w:r>
          </w:p>
        </w:tc>
        <w:tc>
          <w:tcPr>
            <w:tcW w:w="640" w:type="dxa"/>
            <w:vAlign w:val="bottom"/>
          </w:tcPr>
          <w:p>
            <w:pPr>
              <w:ind w:left="40"/>
              <w:spacing w:after="0"/>
              <w:rPr>
                <w:sz w:val="20"/>
                <w:szCs w:val="20"/>
                <w:color w:val="auto"/>
              </w:rPr>
            </w:pPr>
            <w:r>
              <w:rPr>
                <w:rFonts w:ascii="Courier New" w:cs="Courier New" w:eastAsia="Courier New" w:hAnsi="Courier New"/>
                <w:sz w:val="16"/>
                <w:szCs w:val="16"/>
                <w:color w:val="auto"/>
              </w:rPr>
              <w:t>REPORT</w:t>
            </w:r>
          </w:p>
        </w:tc>
        <w:tc>
          <w:tcPr>
            <w:tcW w:w="1180" w:type="dxa"/>
            <w:vAlign w:val="bottom"/>
          </w:tcPr>
          <w:p>
            <w:pPr>
              <w:spacing w:after="0"/>
              <w:rPr>
                <w:sz w:val="24"/>
                <w:szCs w:val="24"/>
                <w:color w:val="auto"/>
              </w:rPr>
            </w:pPr>
          </w:p>
        </w:tc>
      </w:tr>
      <w:tr>
        <w:trPr>
          <w:trHeight w:val="190"/>
        </w:trPr>
        <w:tc>
          <w:tcPr>
            <w:tcW w:w="1920" w:type="dxa"/>
            <w:vAlign w:val="bottom"/>
          </w:tcPr>
          <w:p>
            <w:pPr>
              <w:jc w:val="right"/>
              <w:spacing w:after="0"/>
              <w:rPr>
                <w:sz w:val="20"/>
                <w:szCs w:val="20"/>
                <w:color w:val="auto"/>
              </w:rPr>
            </w:pPr>
            <w:r>
              <w:rPr>
                <w:rFonts w:ascii="Courier New" w:cs="Courier New" w:eastAsia="Courier New" w:hAnsi="Courier New"/>
                <w:sz w:val="16"/>
                <w:szCs w:val="16"/>
                <w:color w:val="auto"/>
              </w:rPr>
              <w:t>Pursuant to Section</w:t>
            </w:r>
          </w:p>
        </w:tc>
        <w:tc>
          <w:tcPr>
            <w:tcW w:w="640" w:type="dxa"/>
            <w:vAlign w:val="bottom"/>
          </w:tcPr>
          <w:p>
            <w:pPr>
              <w:ind w:left="40"/>
              <w:spacing w:after="0"/>
              <w:rPr>
                <w:sz w:val="20"/>
                <w:szCs w:val="20"/>
                <w:color w:val="auto"/>
              </w:rPr>
            </w:pPr>
            <w:r>
              <w:rPr>
                <w:rFonts w:ascii="Courier New" w:cs="Courier New" w:eastAsia="Courier New" w:hAnsi="Courier New"/>
                <w:sz w:val="16"/>
                <w:szCs w:val="16"/>
                <w:color w:val="auto"/>
              </w:rPr>
              <w:t>13 or</w:t>
            </w:r>
          </w:p>
        </w:tc>
        <w:tc>
          <w:tcPr>
            <w:tcW w:w="1180" w:type="dxa"/>
            <w:vAlign w:val="bottom"/>
          </w:tcPr>
          <w:p>
            <w:pPr>
              <w:spacing w:after="0"/>
              <w:rPr>
                <w:sz w:val="20"/>
                <w:szCs w:val="20"/>
                <w:color w:val="auto"/>
              </w:rPr>
            </w:pPr>
            <w:r>
              <w:rPr>
                <w:rFonts w:ascii="Courier New" w:cs="Courier New" w:eastAsia="Courier New" w:hAnsi="Courier New"/>
                <w:sz w:val="16"/>
                <w:szCs w:val="16"/>
                <w:color w:val="auto"/>
              </w:rPr>
              <w:t>15(d) of the</w:t>
            </w:r>
          </w:p>
        </w:tc>
      </w:tr>
    </w:tbl>
    <w:p>
      <w:pPr>
        <w:spacing w:after="0" w:line="5" w:lineRule="exact"/>
        <w:rPr>
          <w:sz w:val="24"/>
          <w:szCs w:val="24"/>
          <w:color w:val="auto"/>
        </w:rPr>
      </w:pPr>
    </w:p>
    <w:p>
      <w:pPr>
        <w:ind w:left="2460"/>
        <w:spacing w:after="0"/>
        <w:rPr>
          <w:sz w:val="20"/>
          <w:szCs w:val="20"/>
          <w:color w:val="auto"/>
        </w:rPr>
      </w:pPr>
      <w:r>
        <w:rPr>
          <w:rFonts w:ascii="Courier New" w:cs="Courier New" w:eastAsia="Courier New" w:hAnsi="Courier New"/>
          <w:sz w:val="16"/>
          <w:szCs w:val="16"/>
          <w:color w:val="auto"/>
        </w:rPr>
        <w:t>Securities Exchange Act of 1934</w:t>
      </w:r>
    </w:p>
    <w:p>
      <w:pPr>
        <w:spacing w:after="0" w:line="388"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6"/>
          <w:szCs w:val="16"/>
          <w:color w:val="auto"/>
        </w:rPr>
        <w:t>October 4, 1999 (October 1, 1999)</w:t>
      </w:r>
    </w:p>
    <w:p>
      <w:pPr>
        <w:spacing w:after="0" w:line="8" w:lineRule="exact"/>
        <w:rPr>
          <w:sz w:val="24"/>
          <w:szCs w:val="24"/>
          <w:color w:val="auto"/>
        </w:rPr>
      </w:pPr>
    </w:p>
    <w:p>
      <w:pPr>
        <w:ind w:left="22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The Scotts Company</w:t>
      </w:r>
    </w:p>
    <w:p>
      <w:pPr>
        <w:spacing w:after="0" w:line="8"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3" w:right="1440" w:bottom="1440" w:gutter="0" w:footer="0" w:header="0"/>
        </w:sectPr>
      </w:pPr>
    </w:p>
    <w:p>
      <w:pPr>
        <w:spacing w:after="0" w:line="200" w:lineRule="exact"/>
        <w:rPr>
          <w:sz w:val="24"/>
          <w:szCs w:val="24"/>
          <w:color w:val="auto"/>
        </w:rPr>
      </w:pPr>
    </w:p>
    <w:p>
      <w:pPr>
        <w:spacing w:after="0" w:line="377" w:lineRule="exact"/>
        <w:rPr>
          <w:sz w:val="24"/>
          <w:szCs w:val="24"/>
          <w:color w:val="auto"/>
        </w:rPr>
      </w:pPr>
    </w:p>
    <w:p>
      <w:pPr>
        <w:ind w:left="1180"/>
        <w:spacing w:after="0"/>
        <w:rPr>
          <w:sz w:val="20"/>
          <w:szCs w:val="20"/>
          <w:color w:val="auto"/>
        </w:rPr>
      </w:pPr>
      <w:r>
        <w:rPr>
          <w:rFonts w:ascii="Courier New" w:cs="Courier New" w:eastAsia="Courier New" w:hAnsi="Courier New"/>
          <w:sz w:val="16"/>
          <w:szCs w:val="16"/>
          <w:color w:val="auto"/>
        </w:rPr>
        <w:t>Ohio</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(State or other jurisdiction</w:t>
      </w:r>
    </w:p>
    <w:p>
      <w:pPr>
        <w:spacing w:after="0" w:line="8" w:lineRule="exact"/>
        <w:rPr>
          <w:sz w:val="24"/>
          <w:szCs w:val="24"/>
          <w:color w:val="auto"/>
        </w:rPr>
      </w:pPr>
    </w:p>
    <w:p>
      <w:pPr>
        <w:ind w:left="700"/>
        <w:spacing w:after="0"/>
        <w:rPr>
          <w:sz w:val="20"/>
          <w:szCs w:val="20"/>
          <w:color w:val="auto"/>
        </w:rPr>
      </w:pPr>
      <w:r>
        <w:rPr>
          <w:rFonts w:ascii="Courier New" w:cs="Courier New" w:eastAsia="Courier New" w:hAnsi="Courier New"/>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7"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1-11593</w:t>
      </w:r>
    </w:p>
    <w:p>
      <w:pPr>
        <w:spacing w:after="0" w:line="8" w:lineRule="exact"/>
        <w:rPr>
          <w:sz w:val="24"/>
          <w:szCs w:val="24"/>
          <w:color w:val="auto"/>
        </w:rPr>
      </w:pPr>
    </w:p>
    <w:p>
      <w:pPr>
        <w:ind w:left="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w:t>
      </w:r>
    </w:p>
    <w:p>
      <w:pPr>
        <w:spacing w:after="0" w:line="8" w:lineRule="exact"/>
        <w:rPr>
          <w:sz w:val="24"/>
          <w:szCs w:val="24"/>
          <w:color w:val="auto"/>
        </w:rPr>
      </w:pPr>
    </w:p>
    <w:p>
      <w:pPr>
        <w:ind w:left="580"/>
        <w:spacing w:after="0"/>
        <w:rPr>
          <w:sz w:val="20"/>
          <w:szCs w:val="20"/>
          <w:color w:val="auto"/>
        </w:rPr>
      </w:pPr>
      <w:r>
        <w:rPr>
          <w:rFonts w:ascii="Courier New" w:cs="Courier New" w:eastAsia="Courier New" w:hAnsi="Courier New"/>
          <w:sz w:val="16"/>
          <w:szCs w:val="16"/>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7"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31-1414921</w:t>
      </w:r>
    </w:p>
    <w:p>
      <w:pPr>
        <w:spacing w:after="0" w:line="8"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(IRS Employer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3">
            <w:col w:w="3160" w:space="400"/>
            <w:col w:w="2060" w:space="400"/>
            <w:col w:w="4199"/>
          </w:cols>
          <w:pgMar w:left="240" w:top="243" w:right="1440" w:bottom="1440" w:gutter="0" w:footer="0" w:header="0"/>
          <w:type w:val="continuous"/>
        </w:sectPr>
      </w:pPr>
    </w:p>
    <w:p>
      <w:pPr>
        <w:spacing w:after="0" w:line="377"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41 South High Street, Suite 3500, Columbus Ohio 43215</w:t>
      </w:r>
    </w:p>
    <w:p>
      <w:pPr>
        <w:spacing w:after="0" w:line="8"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1480"/>
        <w:spacing w:after="0"/>
        <w:rPr>
          <w:sz w:val="20"/>
          <w:szCs w:val="20"/>
          <w:color w:val="auto"/>
        </w:rPr>
      </w:pPr>
      <w:r>
        <w:rPr>
          <w:rFonts w:ascii="Courier New" w:cs="Courier New" w:eastAsia="Courier New" w:hAnsi="Courier New"/>
          <w:sz w:val="16"/>
          <w:szCs w:val="16"/>
          <w:color w:val="auto"/>
        </w:rPr>
        <w:t>(Address of principal executive offices) (Zip Code)</w:t>
      </w:r>
    </w:p>
    <w:p>
      <w:pPr>
        <w:spacing w:after="0" w:line="388" w:lineRule="exact"/>
        <w:rPr>
          <w:sz w:val="24"/>
          <w:szCs w:val="24"/>
          <w:color w:val="auto"/>
        </w:rPr>
      </w:pPr>
    </w:p>
    <w:p>
      <w:pPr>
        <w:ind w:left="780"/>
        <w:spacing w:after="0"/>
        <w:rPr>
          <w:sz w:val="20"/>
          <w:szCs w:val="20"/>
          <w:color w:val="auto"/>
        </w:rPr>
      </w:pPr>
      <w:r>
        <w:rPr>
          <w:rFonts w:ascii="Courier New" w:cs="Courier New" w:eastAsia="Courier New" w:hAnsi="Courier New"/>
          <w:sz w:val="16"/>
          <w:szCs w:val="16"/>
          <w:color w:val="auto"/>
        </w:rPr>
        <w:t>Registrant's telephone number, including area code (614) 719-5500</w:t>
      </w:r>
    </w:p>
    <w:p>
      <w:pPr>
        <w:spacing w:after="0" w:line="8" w:lineRule="exact"/>
        <w:rPr>
          <w:sz w:val="24"/>
          <w:szCs w:val="24"/>
          <w:color w:val="auto"/>
        </w:rPr>
      </w:pPr>
    </w:p>
    <w:p>
      <w:pPr>
        <w:ind w:left="582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Not Applicable</w:t>
      </w:r>
    </w:p>
    <w:p>
      <w:pPr>
        <w:spacing w:after="0" w:line="8"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880"/>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pacing w:after="0" w:line="388" w:lineRule="exact"/>
        <w:rPr>
          <w:sz w:val="24"/>
          <w:szCs w:val="24"/>
          <w:color w:val="auto"/>
        </w:rPr>
      </w:pPr>
    </w:p>
    <w:p>
      <w:pPr>
        <w:ind w:left="2460"/>
        <w:spacing w:after="0"/>
        <w:rPr>
          <w:sz w:val="20"/>
          <w:szCs w:val="20"/>
          <w:color w:val="auto"/>
        </w:rPr>
      </w:pPr>
      <w:r>
        <w:rPr>
          <w:rFonts w:ascii="Courier New" w:cs="Courier New" w:eastAsia="Courier New" w:hAnsi="Courier New"/>
          <w:sz w:val="16"/>
          <w:szCs w:val="16"/>
          <w:color w:val="auto"/>
        </w:rPr>
        <w:t>Index to Exhibits is on Page 5.</w:t>
      </w:r>
    </w:p>
    <w:p>
      <w:pPr>
        <w:sectPr>
          <w:pgSz w:w="11900" w:h="16838" w:orient="portrait"/>
          <w:cols w:equalWidth="0" w:num="1">
            <w:col w:w="10219"/>
          </w:cols>
          <w:pgMar w:left="240" w:top="243"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5"/>
        </w:trPr>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6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190"/>
        </w:trPr>
        <w:tc>
          <w:tcPr>
            <w:tcW w:w="440" w:type="dxa"/>
            <w:vAlign w:val="bottom"/>
          </w:tcPr>
          <w:p>
            <w:pPr>
              <w:jc w:val="right"/>
              <w:spacing w:after="0"/>
              <w:rPr>
                <w:sz w:val="20"/>
                <w:szCs w:val="20"/>
                <w:color w:val="auto"/>
              </w:rPr>
            </w:pPr>
            <w:r>
              <w:rPr>
                <w:rFonts w:ascii="Courier New" w:cs="Courier New" w:eastAsia="Courier New" w:hAnsi="Courier New"/>
                <w:sz w:val="16"/>
                <w:szCs w:val="16"/>
                <w:color w:val="auto"/>
                <w:w w:val="98"/>
              </w:rPr>
              <w:t>Item</w:t>
            </w:r>
          </w:p>
        </w:tc>
        <w:tc>
          <w:tcPr>
            <w:tcW w:w="60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w:t>
            </w:r>
          </w:p>
        </w:tc>
        <w:tc>
          <w:tcPr>
            <w:tcW w:w="1520" w:type="dxa"/>
            <w:vAlign w:val="bottom"/>
          </w:tcPr>
          <w:p>
            <w:pPr>
              <w:ind w:left="340"/>
              <w:spacing w:after="0"/>
              <w:rPr>
                <w:sz w:val="20"/>
                <w:szCs w:val="20"/>
                <w:color w:val="auto"/>
              </w:rPr>
            </w:pPr>
            <w:r>
              <w:rPr>
                <w:rFonts w:ascii="Courier New" w:cs="Courier New" w:eastAsia="Courier New" w:hAnsi="Courier New"/>
                <w:sz w:val="16"/>
                <w:szCs w:val="16"/>
                <w:color w:val="auto"/>
              </w:rPr>
              <w:t>Other Events</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0"/>
          <w:szCs w:val="20"/>
          <w:color w:val="auto"/>
        </w:rPr>
      </w:pPr>
    </w:p>
    <w:p>
      <w:pPr>
        <w:ind w:right="2339" w:firstLine="1380"/>
        <w:spacing w:after="0" w:line="251" w:lineRule="auto"/>
        <w:rPr>
          <w:sz w:val="20"/>
          <w:szCs w:val="20"/>
          <w:color w:val="auto"/>
        </w:rPr>
      </w:pPr>
      <w:r>
        <w:rPr>
          <w:rFonts w:ascii="Courier New" w:cs="Courier New" w:eastAsia="Courier New" w:hAnsi="Courier New"/>
          <w:sz w:val="16"/>
          <w:szCs w:val="16"/>
          <w:color w:val="auto"/>
        </w:rPr>
        <w:t>Effective October 1, 1999, the preferred shareholders of The Scotts Company converted all of their Class A Convertible Preferred Shares into approximately 10.1 million common shares of Scotts. In exchange for this early conversion, the preferred shareholders received an aggregate payment of approximately $6.4 million, representing the amount of the dividends on the Preferred Shares that would otherwise have been payable through May 2000. Scotts also agreed to accelerate, from May 2000 (the month during which the Preferred Shares could first be redeemed by Scotts) to October 1, 1999, the termination of certain of the standstill provisions in the Amended and Restated Agreement and Plan of Merger, dated as of May 19, 1995 (the "Miracle-Gro Merger Agreement"), among Scotts' Miracle-Gro Products, Inc. (as successor to ZYX Corporation and Stern's Miracle-Gro Products, Inc.), Miracle-Gro Lawn Products Inc., Miracle-Gro Products Limited, Hagedorn Partnership, L.P., the general partners of Hagedorn Partnership, L.P., Horace Hagedorn, Community Funds, Inc., and John Kenlon and Scotts. These transactions were consummated pursuant to the terms of the First Amendment to Amended and Restated Agreement and Plan of Merger, dated as of October 1, 1999 (the "First Amendment"), a copy of which is filed as Exhibit 2 to this Form 8-K.</w:t>
      </w:r>
    </w:p>
    <w:p>
      <w:pPr>
        <w:spacing w:after="0" w:line="190" w:lineRule="exact"/>
        <w:rPr>
          <w:sz w:val="20"/>
          <w:szCs w:val="20"/>
          <w:color w:val="auto"/>
        </w:rPr>
      </w:pPr>
    </w:p>
    <w:p>
      <w:pPr>
        <w:ind w:right="2339" w:firstLine="1380"/>
        <w:spacing w:after="0" w:line="251" w:lineRule="auto"/>
        <w:rPr>
          <w:sz w:val="20"/>
          <w:szCs w:val="20"/>
          <w:color w:val="auto"/>
        </w:rPr>
      </w:pPr>
      <w:r>
        <w:rPr>
          <w:rFonts w:ascii="Courier New" w:cs="Courier New" w:eastAsia="Courier New" w:hAnsi="Courier New"/>
          <w:sz w:val="16"/>
          <w:szCs w:val="16"/>
          <w:color w:val="auto"/>
        </w:rPr>
        <w:t>Under the terms of the First Amendment, the voting and transfer restrictions on Hagedorn Partnership, L.P., Community Funds, Inc., Horace Hagedorn and John Kenlon (collectively, the "Miracle-Gro Shareholders") contained in the Miracle-Gro Merger Agreement terminated as of October 1, 1999. The limitations on the ability of the Miracle-Gro Shareholders to acquire additional voting securities of Scotts contained in the Miracle-Gro Merger Agreement terminated as of October 1, 1999, except for the restriction under which the Miracle-Gro Shareholders may not acquire, directly or indirectly, beneficial ownership of Voting Stock (as that term is defined in the Miracle-Gro Merger Agreement as amended)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conditioned upon the receipt of at least 50% of the Voting Stock beneficially owned by Scotts shareholders other than the Miracle-Gro Shareholders and their affiliates and associates.</w:t>
      </w:r>
    </w:p>
    <w:p>
      <w:pPr>
        <w:spacing w:after="0" w:line="190" w:lineRule="exact"/>
        <w:rPr>
          <w:sz w:val="20"/>
          <w:szCs w:val="20"/>
          <w:color w:val="auto"/>
        </w:rPr>
      </w:pPr>
    </w:p>
    <w:p>
      <w:pPr>
        <w:ind w:right="2519" w:firstLine="1380"/>
        <w:spacing w:after="0" w:line="252" w:lineRule="auto"/>
        <w:rPr>
          <w:sz w:val="20"/>
          <w:szCs w:val="20"/>
          <w:color w:val="auto"/>
        </w:rPr>
      </w:pPr>
      <w:r>
        <w:rPr>
          <w:rFonts w:ascii="Courier New" w:cs="Courier New" w:eastAsia="Courier New" w:hAnsi="Courier New"/>
          <w:sz w:val="16"/>
          <w:szCs w:val="16"/>
          <w:color w:val="auto"/>
        </w:rPr>
        <w:t>Further information about the conversion of the Convertible Preferred Stock and the related transactions is included in the Press Release issued by Scotts on October 4, 1999, a copy of which is included as Exhibit 99 to this Form 8-K.</w:t>
      </w:r>
    </w:p>
    <w:p>
      <w:pPr>
        <w:spacing w:after="0" w:line="18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8" w:lineRule="exact"/>
        <w:rPr>
          <w:sz w:val="20"/>
          <w:szCs w:val="20"/>
          <w:color w:val="auto"/>
        </w:rPr>
      </w:pPr>
    </w:p>
    <w:p>
      <w:pPr>
        <w:ind w:left="200" w:hanging="199"/>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7" w:lineRule="exact"/>
        <w:rPr>
          <w:rFonts w:ascii="Courier New" w:cs="Courier New" w:eastAsia="Courier New" w:hAnsi="Courier New"/>
          <w:sz w:val="16"/>
          <w:szCs w:val="16"/>
          <w:color w:val="auto"/>
        </w:rPr>
      </w:pPr>
    </w:p>
    <w:p>
      <w:pPr>
        <w:ind w:left="1780" w:hanging="399"/>
        <w:spacing w:after="0"/>
        <w:tabs>
          <w:tab w:leader="none" w:pos="178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(b)   Not applicable.</w:t>
      </w:r>
    </w:p>
    <w:p>
      <w:pPr>
        <w:spacing w:after="0" w:line="19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3</w:t>
      </w:r>
    </w:p>
    <w:p>
      <w:pPr>
        <w:spacing w:after="0" w:line="8" w:lineRule="exact"/>
        <w:rPr>
          <w:sz w:val="20"/>
          <w:szCs w:val="20"/>
          <w:color w:val="auto"/>
        </w:rPr>
      </w:pPr>
    </w:p>
    <w:p>
      <w:pPr>
        <w:ind w:left="1880" w:hanging="799"/>
        <w:spacing w:after="0"/>
        <w:tabs>
          <w:tab w:leader="none" w:pos="18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8" w:lineRule="exact"/>
        <w:rPr>
          <w:rFonts w:ascii="Courier New" w:cs="Courier New" w:eastAsia="Courier New" w:hAnsi="Courier New"/>
          <w:sz w:val="16"/>
          <w:szCs w:val="16"/>
          <w:color w:val="auto"/>
        </w:rPr>
      </w:pPr>
    </w:p>
    <w:p>
      <w:pPr>
        <w:ind w:left="18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8" w:lineRule="exact"/>
        <w:rPr>
          <w:sz w:val="20"/>
          <w:szCs w:val="20"/>
          <w:color w:val="auto"/>
        </w:rPr>
      </w:pPr>
    </w:p>
    <w:tbl>
      <w:tblPr>
        <w:tblLayout w:type="fixed"/>
        <w:tblInd w:w="980" w:type="dxa"/>
        <w:tblCellMar>
          <w:top w:w="0" w:type="dxa"/>
          <w:left w:w="0" w:type="dxa"/>
          <w:bottom w:w="0" w:type="dxa"/>
          <w:right w:w="0" w:type="dxa"/>
        </w:tblCellMar>
      </w:tblPr>
      <w:tr>
        <w:trPr>
          <w:trHeight w:val="185"/>
        </w:trPr>
        <w:tc>
          <w:tcPr>
            <w:tcW w:w="1780" w:type="dxa"/>
            <w:vAlign w:val="bottom"/>
          </w:tcPr>
          <w:p>
            <w:pPr>
              <w:spacing w:after="0"/>
              <w:rPr>
                <w:sz w:val="20"/>
                <w:szCs w:val="20"/>
                <w:color w:val="auto"/>
              </w:rPr>
            </w:pPr>
            <w:r>
              <w:rPr>
                <w:rFonts w:ascii="Courier New" w:cs="Courier New" w:eastAsia="Courier New" w:hAnsi="Courier New"/>
                <w:sz w:val="16"/>
                <w:szCs w:val="16"/>
                <w:color w:val="auto"/>
              </w:rPr>
              <w:t>Exhibit No.</w:t>
            </w:r>
          </w:p>
        </w:tc>
        <w:tc>
          <w:tcPr>
            <w:tcW w:w="4820" w:type="dxa"/>
            <w:vAlign w:val="bottom"/>
          </w:tcPr>
          <w:p>
            <w:pPr>
              <w:ind w:left="2260"/>
              <w:spacing w:after="0"/>
              <w:rPr>
                <w:sz w:val="20"/>
                <w:szCs w:val="20"/>
                <w:color w:val="auto"/>
              </w:rPr>
            </w:pPr>
            <w:r>
              <w:rPr>
                <w:rFonts w:ascii="Courier New" w:cs="Courier New" w:eastAsia="Courier New" w:hAnsi="Courier New"/>
                <w:sz w:val="16"/>
                <w:szCs w:val="16"/>
                <w:color w:val="auto"/>
              </w:rPr>
              <w:t>Description</w:t>
            </w:r>
          </w:p>
        </w:tc>
      </w:tr>
      <w:tr>
        <w:trPr>
          <w:trHeight w:val="190"/>
        </w:trPr>
        <w:tc>
          <w:tcPr>
            <w:tcW w:w="17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4820" w:type="dxa"/>
            <w:vAlign w:val="bottom"/>
          </w:tcPr>
          <w:p>
            <w:pPr>
              <w:ind w:left="2260"/>
              <w:spacing w:after="0"/>
              <w:rPr>
                <w:sz w:val="20"/>
                <w:szCs w:val="20"/>
                <w:color w:val="auto"/>
              </w:rPr>
            </w:pPr>
            <w:r>
              <w:rPr>
                <w:rFonts w:ascii="Courier New" w:cs="Courier New" w:eastAsia="Courier New" w:hAnsi="Courier New"/>
                <w:sz w:val="16"/>
                <w:szCs w:val="16"/>
                <w:color w:val="auto"/>
              </w:rPr>
              <w:t>-----------</w:t>
            </w:r>
          </w:p>
        </w:tc>
      </w:tr>
      <w:tr>
        <w:trPr>
          <w:trHeight w:val="379"/>
        </w:trPr>
        <w:tc>
          <w:tcPr>
            <w:tcW w:w="1780" w:type="dxa"/>
            <w:vAlign w:val="bottom"/>
          </w:tcPr>
          <w:p>
            <w:pPr>
              <w:ind w:left="500"/>
              <w:spacing w:after="0"/>
              <w:rPr>
                <w:sz w:val="20"/>
                <w:szCs w:val="20"/>
                <w:color w:val="auto"/>
              </w:rPr>
            </w:pPr>
            <w:r>
              <w:rPr>
                <w:rFonts w:ascii="Courier New" w:cs="Courier New" w:eastAsia="Courier New" w:hAnsi="Courier New"/>
                <w:sz w:val="16"/>
                <w:szCs w:val="16"/>
                <w:color w:val="auto"/>
              </w:rPr>
              <w:t>2</w:t>
            </w:r>
          </w:p>
        </w:tc>
        <w:tc>
          <w:tcPr>
            <w:tcW w:w="4820" w:type="dxa"/>
            <w:vAlign w:val="bottom"/>
          </w:tcPr>
          <w:p>
            <w:pPr>
              <w:ind w:left="880"/>
              <w:spacing w:after="0"/>
              <w:rPr>
                <w:sz w:val="20"/>
                <w:szCs w:val="20"/>
                <w:color w:val="auto"/>
              </w:rPr>
            </w:pPr>
            <w:r>
              <w:rPr>
                <w:rFonts w:ascii="Courier New" w:cs="Courier New" w:eastAsia="Courier New" w:hAnsi="Courier New"/>
                <w:sz w:val="16"/>
                <w:szCs w:val="16"/>
                <w:color w:val="auto"/>
              </w:rPr>
              <w:t>First Amendment to Amended and Restated</w:t>
            </w:r>
          </w:p>
        </w:tc>
      </w:tr>
      <w:tr>
        <w:trPr>
          <w:trHeight w:val="190"/>
        </w:trPr>
        <w:tc>
          <w:tcPr>
            <w:tcW w:w="1780" w:type="dxa"/>
            <w:vAlign w:val="bottom"/>
          </w:tcPr>
          <w:p>
            <w:pPr>
              <w:spacing w:after="0"/>
              <w:rPr>
                <w:sz w:val="16"/>
                <w:szCs w:val="16"/>
                <w:color w:val="auto"/>
              </w:rPr>
            </w:pPr>
          </w:p>
        </w:tc>
        <w:tc>
          <w:tcPr>
            <w:tcW w:w="4820" w:type="dxa"/>
            <w:vAlign w:val="bottom"/>
          </w:tcPr>
          <w:p>
            <w:pPr>
              <w:ind w:left="880"/>
              <w:spacing w:after="0"/>
              <w:rPr>
                <w:sz w:val="20"/>
                <w:szCs w:val="20"/>
                <w:color w:val="auto"/>
              </w:rPr>
            </w:pPr>
            <w:r>
              <w:rPr>
                <w:rFonts w:ascii="Courier New" w:cs="Courier New" w:eastAsia="Courier New" w:hAnsi="Courier New"/>
                <w:sz w:val="16"/>
                <w:szCs w:val="16"/>
                <w:color w:val="auto"/>
              </w:rPr>
              <w:t>Agreement and Plan of Merger, made and</w:t>
            </w:r>
          </w:p>
        </w:tc>
      </w:tr>
      <w:tr>
        <w:trPr>
          <w:trHeight w:val="190"/>
        </w:trPr>
        <w:tc>
          <w:tcPr>
            <w:tcW w:w="1780" w:type="dxa"/>
            <w:vAlign w:val="bottom"/>
          </w:tcPr>
          <w:p>
            <w:pPr>
              <w:spacing w:after="0"/>
              <w:rPr>
                <w:sz w:val="16"/>
                <w:szCs w:val="16"/>
                <w:color w:val="auto"/>
              </w:rPr>
            </w:pPr>
          </w:p>
        </w:tc>
        <w:tc>
          <w:tcPr>
            <w:tcW w:w="4820" w:type="dxa"/>
            <w:vAlign w:val="bottom"/>
          </w:tcPr>
          <w:p>
            <w:pPr>
              <w:ind w:left="880"/>
              <w:spacing w:after="0"/>
              <w:rPr>
                <w:sz w:val="20"/>
                <w:szCs w:val="20"/>
                <w:color w:val="auto"/>
              </w:rPr>
            </w:pPr>
            <w:r>
              <w:rPr>
                <w:rFonts w:ascii="Courier New" w:cs="Courier New" w:eastAsia="Courier New" w:hAnsi="Courier New"/>
                <w:sz w:val="16"/>
                <w:szCs w:val="16"/>
                <w:color w:val="auto"/>
              </w:rPr>
              <w:t>entered into as of October 1, 1999,</w:t>
            </w:r>
          </w:p>
        </w:tc>
      </w:tr>
      <w:tr>
        <w:trPr>
          <w:trHeight w:val="190"/>
        </w:trPr>
        <w:tc>
          <w:tcPr>
            <w:tcW w:w="1780" w:type="dxa"/>
            <w:vAlign w:val="bottom"/>
          </w:tcPr>
          <w:p>
            <w:pPr>
              <w:spacing w:after="0"/>
              <w:rPr>
                <w:sz w:val="16"/>
                <w:szCs w:val="16"/>
                <w:color w:val="auto"/>
              </w:rPr>
            </w:pPr>
          </w:p>
        </w:tc>
        <w:tc>
          <w:tcPr>
            <w:tcW w:w="4820" w:type="dxa"/>
            <w:vAlign w:val="bottom"/>
          </w:tcPr>
          <w:p>
            <w:pPr>
              <w:ind w:left="880"/>
              <w:spacing w:after="0"/>
              <w:rPr>
                <w:sz w:val="20"/>
                <w:szCs w:val="20"/>
                <w:color w:val="auto"/>
              </w:rPr>
            </w:pPr>
            <w:r>
              <w:rPr>
                <w:rFonts w:ascii="Courier New" w:cs="Courier New" w:eastAsia="Courier New" w:hAnsi="Courier New"/>
                <w:sz w:val="16"/>
                <w:szCs w:val="16"/>
                <w:color w:val="auto"/>
              </w:rPr>
              <w:t>among The Scotts Company, Scotts'</w:t>
            </w:r>
          </w:p>
        </w:tc>
      </w:tr>
      <w:tr>
        <w:trPr>
          <w:trHeight w:val="190"/>
        </w:trPr>
        <w:tc>
          <w:tcPr>
            <w:tcW w:w="1780" w:type="dxa"/>
            <w:vAlign w:val="bottom"/>
          </w:tcPr>
          <w:p>
            <w:pPr>
              <w:spacing w:after="0"/>
              <w:rPr>
                <w:sz w:val="16"/>
                <w:szCs w:val="16"/>
                <w:color w:val="auto"/>
              </w:rPr>
            </w:pPr>
          </w:p>
        </w:tc>
        <w:tc>
          <w:tcPr>
            <w:tcW w:w="4820" w:type="dxa"/>
            <w:vAlign w:val="bottom"/>
          </w:tcPr>
          <w:p>
            <w:pPr>
              <w:ind w:left="880"/>
              <w:spacing w:after="0"/>
              <w:rPr>
                <w:sz w:val="20"/>
                <w:szCs w:val="20"/>
                <w:color w:val="auto"/>
              </w:rPr>
            </w:pPr>
            <w:r>
              <w:rPr>
                <w:rFonts w:ascii="Courier New" w:cs="Courier New" w:eastAsia="Courier New" w:hAnsi="Courier New"/>
                <w:sz w:val="16"/>
                <w:szCs w:val="16"/>
                <w:color w:val="auto"/>
              </w:rPr>
              <w:t>Miracle-Gro Products, Inc. (as successor</w:t>
            </w:r>
          </w:p>
        </w:tc>
      </w:tr>
      <w:tr>
        <w:trPr>
          <w:trHeight w:val="190"/>
        </w:trPr>
        <w:tc>
          <w:tcPr>
            <w:tcW w:w="1780" w:type="dxa"/>
            <w:vAlign w:val="bottom"/>
          </w:tcPr>
          <w:p>
            <w:pPr>
              <w:spacing w:after="0"/>
              <w:rPr>
                <w:sz w:val="16"/>
                <w:szCs w:val="16"/>
                <w:color w:val="auto"/>
              </w:rPr>
            </w:pPr>
          </w:p>
        </w:tc>
        <w:tc>
          <w:tcPr>
            <w:tcW w:w="4820" w:type="dxa"/>
            <w:vAlign w:val="bottom"/>
          </w:tcPr>
          <w:p>
            <w:pPr>
              <w:ind w:left="880"/>
              <w:spacing w:after="0"/>
              <w:rPr>
                <w:sz w:val="20"/>
                <w:szCs w:val="20"/>
                <w:color w:val="auto"/>
              </w:rPr>
            </w:pPr>
            <w:r>
              <w:rPr>
                <w:rFonts w:ascii="Courier New" w:cs="Courier New" w:eastAsia="Courier New" w:hAnsi="Courier New"/>
                <w:sz w:val="16"/>
                <w:szCs w:val="16"/>
                <w:color w:val="auto"/>
              </w:rPr>
              <w:t>to ZYX Corporation and Stern's</w:t>
            </w:r>
          </w:p>
        </w:tc>
      </w:tr>
      <w:tr>
        <w:trPr>
          <w:trHeight w:val="190"/>
        </w:trPr>
        <w:tc>
          <w:tcPr>
            <w:tcW w:w="1780" w:type="dxa"/>
            <w:vAlign w:val="bottom"/>
          </w:tcPr>
          <w:p>
            <w:pPr>
              <w:spacing w:after="0"/>
              <w:rPr>
                <w:sz w:val="16"/>
                <w:szCs w:val="16"/>
                <w:color w:val="auto"/>
              </w:rPr>
            </w:pPr>
          </w:p>
        </w:tc>
        <w:tc>
          <w:tcPr>
            <w:tcW w:w="4820" w:type="dxa"/>
            <w:vAlign w:val="bottom"/>
          </w:tcPr>
          <w:p>
            <w:pPr>
              <w:ind w:left="880"/>
              <w:spacing w:after="0"/>
              <w:rPr>
                <w:sz w:val="20"/>
                <w:szCs w:val="20"/>
                <w:color w:val="auto"/>
              </w:rPr>
            </w:pPr>
            <w:r>
              <w:rPr>
                <w:rFonts w:ascii="Courier New" w:cs="Courier New" w:eastAsia="Courier New" w:hAnsi="Courier New"/>
                <w:sz w:val="16"/>
                <w:szCs w:val="16"/>
                <w:color w:val="auto"/>
              </w:rPr>
              <w:t>Miracle-Gro Products, Inc.), Miracle-Gro</w:t>
            </w:r>
          </w:p>
        </w:tc>
      </w:tr>
      <w:tr>
        <w:trPr>
          <w:trHeight w:val="190"/>
        </w:trPr>
        <w:tc>
          <w:tcPr>
            <w:tcW w:w="1780" w:type="dxa"/>
            <w:vAlign w:val="bottom"/>
          </w:tcPr>
          <w:p>
            <w:pPr>
              <w:spacing w:after="0"/>
              <w:rPr>
                <w:sz w:val="16"/>
                <w:szCs w:val="16"/>
                <w:color w:val="auto"/>
              </w:rPr>
            </w:pPr>
          </w:p>
        </w:tc>
        <w:tc>
          <w:tcPr>
            <w:tcW w:w="4820" w:type="dxa"/>
            <w:vAlign w:val="bottom"/>
          </w:tcPr>
          <w:p>
            <w:pPr>
              <w:ind w:left="880"/>
              <w:spacing w:after="0"/>
              <w:rPr>
                <w:sz w:val="20"/>
                <w:szCs w:val="20"/>
                <w:color w:val="auto"/>
              </w:rPr>
            </w:pPr>
            <w:r>
              <w:rPr>
                <w:rFonts w:ascii="Courier New" w:cs="Courier New" w:eastAsia="Courier New" w:hAnsi="Courier New"/>
                <w:sz w:val="16"/>
                <w:szCs w:val="16"/>
                <w:color w:val="auto"/>
              </w:rPr>
              <w:t>Lawn Products Inc., Miracle-Gro Products</w:t>
            </w:r>
          </w:p>
        </w:tc>
      </w:tr>
      <w:tr>
        <w:trPr>
          <w:trHeight w:val="190"/>
        </w:trPr>
        <w:tc>
          <w:tcPr>
            <w:tcW w:w="1780" w:type="dxa"/>
            <w:vAlign w:val="bottom"/>
          </w:tcPr>
          <w:p>
            <w:pPr>
              <w:spacing w:after="0"/>
              <w:rPr>
                <w:sz w:val="16"/>
                <w:szCs w:val="16"/>
                <w:color w:val="auto"/>
              </w:rPr>
            </w:pPr>
          </w:p>
        </w:tc>
        <w:tc>
          <w:tcPr>
            <w:tcW w:w="4820" w:type="dxa"/>
            <w:vAlign w:val="bottom"/>
          </w:tcPr>
          <w:p>
            <w:pPr>
              <w:ind w:left="880"/>
              <w:spacing w:after="0"/>
              <w:rPr>
                <w:sz w:val="20"/>
                <w:szCs w:val="20"/>
                <w:color w:val="auto"/>
              </w:rPr>
            </w:pPr>
            <w:r>
              <w:rPr>
                <w:rFonts w:ascii="Courier New" w:cs="Courier New" w:eastAsia="Courier New" w:hAnsi="Courier New"/>
                <w:sz w:val="16"/>
                <w:szCs w:val="16"/>
                <w:color w:val="auto"/>
              </w:rPr>
              <w:t>Limited, Hagedorn Partnership, L.P.,</w:t>
            </w:r>
          </w:p>
        </w:tc>
      </w:tr>
      <w:tr>
        <w:trPr>
          <w:trHeight w:val="190"/>
        </w:trPr>
        <w:tc>
          <w:tcPr>
            <w:tcW w:w="1780" w:type="dxa"/>
            <w:vAlign w:val="bottom"/>
          </w:tcPr>
          <w:p>
            <w:pPr>
              <w:spacing w:after="0"/>
              <w:rPr>
                <w:sz w:val="16"/>
                <w:szCs w:val="16"/>
                <w:color w:val="auto"/>
              </w:rPr>
            </w:pPr>
          </w:p>
        </w:tc>
        <w:tc>
          <w:tcPr>
            <w:tcW w:w="4820" w:type="dxa"/>
            <w:vAlign w:val="bottom"/>
          </w:tcPr>
          <w:p>
            <w:pPr>
              <w:ind w:left="880"/>
              <w:spacing w:after="0"/>
              <w:rPr>
                <w:sz w:val="20"/>
                <w:szCs w:val="20"/>
                <w:color w:val="auto"/>
              </w:rPr>
            </w:pPr>
            <w:r>
              <w:rPr>
                <w:rFonts w:ascii="Courier New" w:cs="Courier New" w:eastAsia="Courier New" w:hAnsi="Courier New"/>
                <w:sz w:val="16"/>
                <w:szCs w:val="16"/>
                <w:color w:val="auto"/>
              </w:rPr>
              <w:t>Community Funds, Inc., Horace Hagedorn</w:t>
            </w:r>
          </w:p>
        </w:tc>
      </w:tr>
      <w:tr>
        <w:trPr>
          <w:trHeight w:val="190"/>
        </w:trPr>
        <w:tc>
          <w:tcPr>
            <w:tcW w:w="1780" w:type="dxa"/>
            <w:vAlign w:val="bottom"/>
          </w:tcPr>
          <w:p>
            <w:pPr>
              <w:spacing w:after="0"/>
              <w:rPr>
                <w:sz w:val="16"/>
                <w:szCs w:val="16"/>
                <w:color w:val="auto"/>
              </w:rPr>
            </w:pPr>
          </w:p>
        </w:tc>
        <w:tc>
          <w:tcPr>
            <w:tcW w:w="4820" w:type="dxa"/>
            <w:vAlign w:val="bottom"/>
          </w:tcPr>
          <w:p>
            <w:pPr>
              <w:ind w:left="880"/>
              <w:spacing w:after="0"/>
              <w:rPr>
                <w:sz w:val="20"/>
                <w:szCs w:val="20"/>
                <w:color w:val="auto"/>
              </w:rPr>
            </w:pPr>
            <w:r>
              <w:rPr>
                <w:rFonts w:ascii="Courier New" w:cs="Courier New" w:eastAsia="Courier New" w:hAnsi="Courier New"/>
                <w:sz w:val="16"/>
                <w:szCs w:val="16"/>
                <w:color w:val="auto"/>
              </w:rPr>
              <w:t>and John Kenlon, and James Hagedorn,</w:t>
            </w:r>
          </w:p>
        </w:tc>
      </w:tr>
      <w:tr>
        <w:trPr>
          <w:trHeight w:val="190"/>
        </w:trPr>
        <w:tc>
          <w:tcPr>
            <w:tcW w:w="1780" w:type="dxa"/>
            <w:vAlign w:val="bottom"/>
          </w:tcPr>
          <w:p>
            <w:pPr>
              <w:spacing w:after="0"/>
              <w:rPr>
                <w:sz w:val="16"/>
                <w:szCs w:val="16"/>
                <w:color w:val="auto"/>
              </w:rPr>
            </w:pPr>
          </w:p>
        </w:tc>
        <w:tc>
          <w:tcPr>
            <w:tcW w:w="4820" w:type="dxa"/>
            <w:vAlign w:val="bottom"/>
          </w:tcPr>
          <w:p>
            <w:pPr>
              <w:ind w:left="880"/>
              <w:spacing w:after="0"/>
              <w:rPr>
                <w:sz w:val="20"/>
                <w:szCs w:val="20"/>
                <w:color w:val="auto"/>
              </w:rPr>
            </w:pPr>
            <w:r>
              <w:rPr>
                <w:rFonts w:ascii="Courier New" w:cs="Courier New" w:eastAsia="Courier New" w:hAnsi="Courier New"/>
                <w:sz w:val="16"/>
                <w:szCs w:val="16"/>
                <w:color w:val="auto"/>
              </w:rPr>
              <w:t>Katherine Hagedorn Littlefield, Paul</w:t>
            </w:r>
          </w:p>
        </w:tc>
      </w:tr>
      <w:tr>
        <w:trPr>
          <w:trHeight w:val="190"/>
        </w:trPr>
        <w:tc>
          <w:tcPr>
            <w:tcW w:w="1780" w:type="dxa"/>
            <w:vAlign w:val="bottom"/>
          </w:tcPr>
          <w:p>
            <w:pPr>
              <w:spacing w:after="0"/>
              <w:rPr>
                <w:sz w:val="16"/>
                <w:szCs w:val="16"/>
                <w:color w:val="auto"/>
              </w:rPr>
            </w:pPr>
          </w:p>
        </w:tc>
        <w:tc>
          <w:tcPr>
            <w:tcW w:w="4820" w:type="dxa"/>
            <w:vAlign w:val="bottom"/>
          </w:tcPr>
          <w:p>
            <w:pPr>
              <w:ind w:left="880"/>
              <w:spacing w:after="0"/>
              <w:rPr>
                <w:sz w:val="20"/>
                <w:szCs w:val="20"/>
                <w:color w:val="auto"/>
              </w:rPr>
            </w:pPr>
            <w:r>
              <w:rPr>
                <w:rFonts w:ascii="Courier New" w:cs="Courier New" w:eastAsia="Courier New" w:hAnsi="Courier New"/>
                <w:sz w:val="16"/>
                <w:szCs w:val="16"/>
                <w:color w:val="auto"/>
              </w:rPr>
              <w:t>Hagedorn, Peter Hagedorn, Robert</w:t>
            </w:r>
          </w:p>
        </w:tc>
      </w:tr>
      <w:tr>
        <w:trPr>
          <w:trHeight w:val="190"/>
        </w:trPr>
        <w:tc>
          <w:tcPr>
            <w:tcW w:w="1780" w:type="dxa"/>
            <w:vAlign w:val="bottom"/>
          </w:tcPr>
          <w:p>
            <w:pPr>
              <w:spacing w:after="0"/>
              <w:rPr>
                <w:sz w:val="16"/>
                <w:szCs w:val="16"/>
                <w:color w:val="auto"/>
              </w:rPr>
            </w:pPr>
          </w:p>
        </w:tc>
        <w:tc>
          <w:tcPr>
            <w:tcW w:w="4820" w:type="dxa"/>
            <w:vAlign w:val="bottom"/>
          </w:tcPr>
          <w:p>
            <w:pPr>
              <w:ind w:left="880"/>
              <w:spacing w:after="0"/>
              <w:rPr>
                <w:sz w:val="20"/>
                <w:szCs w:val="20"/>
                <w:color w:val="auto"/>
              </w:rPr>
            </w:pPr>
            <w:r>
              <w:rPr>
                <w:rFonts w:ascii="Courier New" w:cs="Courier New" w:eastAsia="Courier New" w:hAnsi="Courier New"/>
                <w:sz w:val="16"/>
                <w:szCs w:val="16"/>
                <w:color w:val="auto"/>
              </w:rPr>
              <w:t>Hagedorn and Susan Hagedorn</w:t>
            </w:r>
          </w:p>
        </w:tc>
      </w:tr>
      <w:tr>
        <w:trPr>
          <w:trHeight w:val="379"/>
        </w:trPr>
        <w:tc>
          <w:tcPr>
            <w:tcW w:w="1780" w:type="dxa"/>
            <w:vAlign w:val="bottom"/>
          </w:tcPr>
          <w:p>
            <w:pPr>
              <w:ind w:left="500"/>
              <w:spacing w:after="0"/>
              <w:rPr>
                <w:sz w:val="20"/>
                <w:szCs w:val="20"/>
                <w:color w:val="auto"/>
              </w:rPr>
            </w:pPr>
            <w:r>
              <w:rPr>
                <w:rFonts w:ascii="Courier New" w:cs="Courier New" w:eastAsia="Courier New" w:hAnsi="Courier New"/>
                <w:sz w:val="16"/>
                <w:szCs w:val="16"/>
                <w:color w:val="auto"/>
              </w:rPr>
              <w:t>99</w:t>
            </w:r>
          </w:p>
        </w:tc>
        <w:tc>
          <w:tcPr>
            <w:tcW w:w="4820" w:type="dxa"/>
            <w:vAlign w:val="bottom"/>
          </w:tcPr>
          <w:p>
            <w:pPr>
              <w:ind w:left="880"/>
              <w:spacing w:after="0"/>
              <w:rPr>
                <w:sz w:val="20"/>
                <w:szCs w:val="20"/>
                <w:color w:val="auto"/>
              </w:rPr>
            </w:pPr>
            <w:r>
              <w:rPr>
                <w:rFonts w:ascii="Courier New" w:cs="Courier New" w:eastAsia="Courier New" w:hAnsi="Courier New"/>
                <w:sz w:val="16"/>
                <w:szCs w:val="16"/>
                <w:color w:val="auto"/>
              </w:rPr>
              <w:t>Press Release issued October 4, 1999</w:t>
            </w:r>
          </w:p>
        </w:tc>
      </w:tr>
      <w:tr>
        <w:trPr>
          <w:trHeight w:val="379"/>
        </w:trPr>
        <w:tc>
          <w:tcPr>
            <w:tcW w:w="1780" w:type="dxa"/>
            <w:vAlign w:val="bottom"/>
          </w:tcPr>
          <w:p>
            <w:pPr>
              <w:spacing w:after="0"/>
              <w:rPr>
                <w:sz w:val="24"/>
                <w:szCs w:val="24"/>
                <w:color w:val="auto"/>
              </w:rPr>
            </w:pPr>
          </w:p>
        </w:tc>
        <w:tc>
          <w:tcPr>
            <w:tcW w:w="4820" w:type="dxa"/>
            <w:vAlign w:val="bottom"/>
          </w:tcPr>
          <w:p>
            <w:pPr>
              <w:ind w:left="680"/>
              <w:spacing w:after="0"/>
              <w:rPr>
                <w:sz w:val="20"/>
                <w:szCs w:val="20"/>
                <w:color w:val="auto"/>
              </w:rPr>
            </w:pPr>
            <w:r>
              <w:rPr>
                <w:rFonts w:ascii="Courier New" w:cs="Courier New" w:eastAsia="Courier New" w:hAnsi="Courier New"/>
                <w:sz w:val="16"/>
                <w:szCs w:val="16"/>
                <w:color w:val="auto"/>
              </w:rPr>
              <w:t>-3-</w:t>
            </w:r>
          </w:p>
        </w:tc>
      </w:tr>
    </w:tbl>
    <w:p>
      <w:pPr>
        <w:sectPr>
          <w:pgSz w:w="11900" w:h="16838" w:orient="portrait"/>
          <w:cols w:equalWidth="0" w:num="1">
            <w:col w:w="9919"/>
          </w:cols>
          <w:pgMar w:left="540" w:top="306"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6"/>
          <w:szCs w:val="16"/>
          <w:color w:val="auto"/>
        </w:rPr>
        <w:t>4</w:t>
      </w:r>
    </w:p>
    <w:p>
      <w:pPr>
        <w:spacing w:after="0" w:line="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SIGNATURES</w:t>
      </w:r>
    </w:p>
    <w:p>
      <w:pPr>
        <w:spacing w:after="0" w:line="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right="2519" w:firstLine="1380"/>
        <w:spacing w:after="0" w:line="253"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THE SCOTTS COMPANY</w:t>
      </w:r>
    </w:p>
    <w:p>
      <w:pPr>
        <w:sectPr>
          <w:pgSz w:w="11900" w:h="16838" w:orient="portrait"/>
          <w:cols w:equalWidth="0" w:num="1">
            <w:col w:w="10219"/>
          </w:cols>
          <w:pgMar w:left="240" w:top="306" w:right="1440" w:bottom="1440" w:gutter="0" w:footer="0" w:header="0"/>
        </w:sect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4,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7" w:lineRule="exact"/>
        <w:rPr>
          <w:sz w:val="20"/>
          <w:szCs w:val="20"/>
          <w:color w:val="auto"/>
        </w:rPr>
      </w:pPr>
    </w:p>
    <w:p>
      <w:pPr>
        <w:jc w:val="right"/>
        <w:ind w:right="4999"/>
        <w:spacing w:after="0"/>
        <w:rPr>
          <w:sz w:val="20"/>
          <w:szCs w:val="20"/>
          <w:color w:val="auto"/>
        </w:rPr>
      </w:pPr>
      <w:r>
        <w:rPr>
          <w:rFonts w:ascii="Courier New" w:cs="Courier New" w:eastAsia="Courier New" w:hAnsi="Courier New"/>
          <w:sz w:val="16"/>
          <w:szCs w:val="16"/>
          <w:color w:val="auto"/>
        </w:rPr>
        <w:t>By: /s/ Charles M. Berger</w:t>
      </w:r>
    </w:p>
    <w:p>
      <w:pPr>
        <w:spacing w:after="0" w:line="8" w:lineRule="exact"/>
        <w:rPr>
          <w:sz w:val="20"/>
          <w:szCs w:val="20"/>
          <w:color w:val="auto"/>
        </w:rPr>
      </w:pPr>
    </w:p>
    <w:p>
      <w:pPr>
        <w:jc w:val="right"/>
        <w:ind w:right="4999"/>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sectPr>
          <w:pgSz w:w="11900" w:h="16838" w:orient="portrait"/>
          <w:cols w:equalWidth="0" w:num="3">
            <w:col w:w="500" w:space="200"/>
            <w:col w:w="1480" w:space="580"/>
            <w:col w:w="7459"/>
          </w:cols>
          <w:pgMar w:left="240" w:top="306" w:right="1440" w:bottom="1440" w:gutter="0" w:footer="0" w:header="0"/>
          <w:type w:val="continuous"/>
        </w:sectPr>
      </w:pPr>
    </w:p>
    <w:p>
      <w:pPr>
        <w:jc w:val="both"/>
        <w:ind w:left="2760" w:right="2339"/>
        <w:spacing w:after="0" w:line="255" w:lineRule="auto"/>
        <w:rPr>
          <w:sz w:val="20"/>
          <w:szCs w:val="20"/>
          <w:color w:val="auto"/>
        </w:rPr>
      </w:pPr>
      <w:r>
        <w:rPr>
          <w:rFonts w:ascii="Courier New" w:cs="Courier New" w:eastAsia="Courier New" w:hAnsi="Courier New"/>
          <w:sz w:val="16"/>
          <w:szCs w:val="16"/>
          <w:color w:val="auto"/>
        </w:rPr>
        <w:t>Its: Chairman, President and Chief Executive Officer ----------------------------------------------------</w:t>
      </w:r>
    </w:p>
    <w:p>
      <w:pPr>
        <w:spacing w:after="0" w:line="18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6" w:right="1440" w:bottom="1440" w:gutter="0" w:footer="0" w:header="0"/>
          <w:type w:val="continuous"/>
        </w:sectPr>
      </w:pPr>
    </w:p>
    <w:bookmarkStart w:id="4" w:name="page5"/>
    <w:bookmarkEnd w:id="4"/>
    <w:p>
      <w:pPr>
        <w:ind w:left="300"/>
        <w:spacing w:after="0"/>
        <w:rPr>
          <w:sz w:val="20"/>
          <w:szCs w:val="20"/>
          <w:color w:val="auto"/>
        </w:rPr>
      </w:pPr>
      <w:r>
        <w:rPr>
          <w:rFonts w:ascii="Courier New" w:cs="Courier New" w:eastAsia="Courier New" w:hAnsi="Courier New"/>
          <w:sz w:val="16"/>
          <w:szCs w:val="16"/>
          <w:color w:val="auto"/>
        </w:rPr>
        <w:t>5</w:t>
      </w:r>
    </w:p>
    <w:p>
      <w:pPr>
        <w:spacing w:after="0" w:line="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INDEX TO EXHIBITS</w:t>
      </w:r>
    </w:p>
    <w:p>
      <w:pPr>
        <w:spacing w:after="0" w:line="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0"/>
          <w:szCs w:val="20"/>
          <w:color w:val="auto"/>
        </w:rPr>
      </w:pPr>
    </w:p>
    <w:p>
      <w:pPr>
        <w:spacing w:after="0"/>
        <w:tabs>
          <w:tab w:leader="none" w:pos="2940" w:val="left"/>
        </w:tabs>
        <w:rPr>
          <w:sz w:val="20"/>
          <w:szCs w:val="20"/>
          <w:color w:val="auto"/>
        </w:rPr>
      </w:pPr>
      <w:r>
        <w:rPr>
          <w:rFonts w:ascii="Courier New" w:cs="Courier New" w:eastAsia="Courier New" w:hAnsi="Courier New"/>
          <w:sz w:val="16"/>
          <w:szCs w:val="16"/>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8"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6"/>
          <w:szCs w:val="16"/>
          <w:color w:val="auto"/>
        </w:rPr>
        <w:t>-----------</w:t>
      </w:r>
    </w:p>
    <w:p>
      <w:pPr>
        <w:spacing w:after="0" w:line="198" w:lineRule="exact"/>
        <w:rPr>
          <w:sz w:val="20"/>
          <w:szCs w:val="20"/>
          <w:color w:val="auto"/>
        </w:rPr>
      </w:pPr>
    </w:p>
    <w:p>
      <w:pPr>
        <w:ind w:left="1680" w:right="160" w:hanging="1285"/>
        <w:spacing w:after="0" w:line="251" w:lineRule="auto"/>
        <w:tabs>
          <w:tab w:leader="none" w:pos="16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Amendment to Amended and Restated Agreement and Plan of Merger, made and entered into as of October 1, 1999, among The Scotts Company, Scotts' Miracle-Gro Products, Inc. (as successor to ZYX Corporation and Stern's Miracle-Gro Products, Inc.), Miracle-Gro Lawn Products Inc., Miracle-Gro Products Limited, Hagedorn Partnership, L.P., Community Funds, Inc., Horace Hagedorn and John Kenlon, and James Hagedorn, Katherine Hagedorn Littlefield, Paul Hagedorn, Peter Hagedorn, Robert Hagedorn and Susan Hagedorn</w:t>
      </w:r>
    </w:p>
    <w:p>
      <w:pPr>
        <w:spacing w:after="0" w:line="190" w:lineRule="exact"/>
        <w:rPr>
          <w:sz w:val="20"/>
          <w:szCs w:val="20"/>
          <w:color w:val="auto"/>
        </w:rPr>
      </w:pPr>
    </w:p>
    <w:p>
      <w:pPr>
        <w:ind w:left="1680" w:hanging="1285"/>
        <w:spacing w:after="0"/>
        <w:tabs>
          <w:tab w:leader="none" w:pos="168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Press Release issued October 4, 1999</w:t>
      </w:r>
    </w:p>
    <w:p>
      <w:pPr>
        <w:spacing w:after="0" w:line="200" w:lineRule="exact"/>
        <w:rPr>
          <w:rFonts w:ascii="Courier New" w:cs="Courier New" w:eastAsia="Courier New" w:hAnsi="Courier New"/>
          <w:sz w:val="16"/>
          <w:szCs w:val="16"/>
          <w:color w:val="auto"/>
        </w:rPr>
      </w:pPr>
    </w:p>
    <w:p>
      <w:pPr>
        <w:spacing w:after="0" w:line="377" w:lineRule="exact"/>
        <w:rPr>
          <w:rFonts w:ascii="Courier New" w:cs="Courier New" w:eastAsia="Courier New" w:hAnsi="Courier New"/>
          <w:sz w:val="16"/>
          <w:szCs w:val="16"/>
          <w:color w:val="auto"/>
        </w:rPr>
      </w:pPr>
    </w:p>
    <w:p>
      <w:pPr>
        <w:ind w:left="200" w:hanging="199"/>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*Filed herewith.</w:t>
      </w:r>
    </w:p>
    <w:p>
      <w:pPr>
        <w:spacing w:after="0" w:line="19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No.</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880" w:space="720"/>
            <w:col w:w="3619"/>
          </w:cols>
          <w:pgMar w:left="240" w:top="306"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1</w:t>
      </w:r>
    </w:p>
    <w:p>
      <w:pPr>
        <w:spacing w:after="0" w:line="8" w:lineRule="exact"/>
        <w:rPr>
          <w:sz w:val="20"/>
          <w:szCs w:val="20"/>
          <w:color w:val="auto"/>
        </w:rPr>
      </w:pPr>
    </w:p>
    <w:p>
      <w:pPr>
        <w:jc w:val="right"/>
        <w:ind w:right="2339"/>
        <w:spacing w:after="0"/>
        <w:rPr>
          <w:sz w:val="20"/>
          <w:szCs w:val="20"/>
          <w:color w:val="auto"/>
        </w:rPr>
      </w:pPr>
      <w:r>
        <w:rPr>
          <w:rFonts w:ascii="Courier New" w:cs="Courier New" w:eastAsia="Courier New" w:hAnsi="Courier New"/>
          <w:sz w:val="16"/>
          <w:szCs w:val="16"/>
          <w:color w:val="auto"/>
        </w:rPr>
        <w:t>Exhibit 2</w:t>
      </w:r>
    </w:p>
    <w:p>
      <w:pPr>
        <w:spacing w:after="0" w:line="198" w:lineRule="exact"/>
        <w:rPr>
          <w:sz w:val="20"/>
          <w:szCs w:val="20"/>
          <w:color w:val="auto"/>
        </w:rPr>
      </w:pPr>
    </w:p>
    <w:p>
      <w:pPr>
        <w:jc w:val="center"/>
        <w:ind w:right="2239"/>
        <w:spacing w:after="0"/>
        <w:rPr>
          <w:sz w:val="20"/>
          <w:szCs w:val="20"/>
          <w:color w:val="auto"/>
        </w:rPr>
      </w:pPr>
      <w:r>
        <w:rPr>
          <w:rFonts w:ascii="Courier New" w:cs="Courier New" w:eastAsia="Courier New" w:hAnsi="Courier New"/>
          <w:sz w:val="16"/>
          <w:szCs w:val="16"/>
          <w:color w:val="auto"/>
        </w:rPr>
        <w:t>FIRST AMENDMENT</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TO</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AMENDED AND RESTATED AGREEMENT</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AND PLAN OF MERGER</w:t>
      </w:r>
    </w:p>
    <w:p>
      <w:pPr>
        <w:spacing w:after="0" w:line="38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THIS FIRST AMENDMENT to the Amended and Restated Agreement and Plan of Merger is made and entered into as of the 1st day of October, 1999, by and among THE SCOTTS COMPANY ("Scotts"), SCOTTS' MIRACLE-GRO PRODUCTS, INC. (as successor to ZYX Corporation and Stern's Miracle-Gro Products, Inc., the "Company"), MIRACLE-GRO LAWN PRODUCTS INC. ("Miracle-Gro New York"), MIRACLE-GRO PRODUCTS LIMITED ("Miracle-Gro UK" and, together with the Company and Miracle-Gro New York, the "Miracle-Gro Constituent Companies"), HAGEDORN PARTNERSHIP, L.P. (the "Partnership"), COMMUNITY FUNDS, INC. (the "Charity"), Horace Hagedorn and John Kenlon (together with the Partnership and Horace Hagedorn (the "Preferred Shareholders")) and James Hagedorn, Katherine Hagedorn Littlefield, Paul Hagedorn, Peter Hagedorn, Robert Hagedorn and Susan Hagedorn (the "General Partners").</w:t>
      </w:r>
    </w:p>
    <w:p>
      <w:pPr>
        <w:spacing w:after="0" w:line="379"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 I T N E S S E T H :</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 - - - - - - - - -</w:t>
      </w:r>
    </w:p>
    <w:p>
      <w:pPr>
        <w:spacing w:after="0" w:line="198" w:lineRule="exact"/>
        <w:rPr>
          <w:sz w:val="20"/>
          <w:szCs w:val="20"/>
          <w:color w:val="auto"/>
        </w:rPr>
      </w:pPr>
    </w:p>
    <w:p>
      <w:pPr>
        <w:jc w:val="both"/>
        <w:ind w:right="2339" w:firstLine="887"/>
        <w:spacing w:after="0" w:line="253" w:lineRule="auto"/>
        <w:rPr>
          <w:sz w:val="20"/>
          <w:szCs w:val="20"/>
          <w:color w:val="auto"/>
        </w:rPr>
      </w:pPr>
      <w:r>
        <w:rPr>
          <w:rFonts w:ascii="Courier New" w:cs="Courier New" w:eastAsia="Courier New" w:hAnsi="Courier New"/>
          <w:sz w:val="16"/>
          <w:szCs w:val="16"/>
          <w:color w:val="auto"/>
        </w:rPr>
        <w:t>WHEREAS, the parties hereto are the surviving parties to an Amended and Restated Agreement and Plan of Merger dated as of May 19, 1995 (the "Miracle-Gro Merger Agreement");</w:t>
      </w:r>
    </w:p>
    <w:p>
      <w:pPr>
        <w:spacing w:after="0" w:line="185"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WHEREAS, in connection with the transactions contemplated by the Miracle-Gro Merger Agreement and certain subsequent transfers permitted by the Miracle-Gro Merger Agreement, the Preferred Shareholders acquired an aggregate of 195,000 shares of Class A Convertible Preferred Stock, without par value (the "Convertible Preferred Stock"), of Scotts;</w:t>
      </w:r>
    </w:p>
    <w:p>
      <w:pPr>
        <w:spacing w:after="0" w:line="186" w:lineRule="exact"/>
        <w:rPr>
          <w:sz w:val="20"/>
          <w:szCs w:val="20"/>
          <w:color w:val="auto"/>
        </w:rPr>
      </w:pPr>
    </w:p>
    <w:p>
      <w:pPr>
        <w:ind w:right="2439" w:firstLine="887"/>
        <w:spacing w:after="0" w:line="252" w:lineRule="auto"/>
        <w:rPr>
          <w:sz w:val="20"/>
          <w:szCs w:val="20"/>
          <w:color w:val="auto"/>
        </w:rPr>
      </w:pPr>
      <w:r>
        <w:rPr>
          <w:rFonts w:ascii="Courier New" w:cs="Courier New" w:eastAsia="Courier New" w:hAnsi="Courier New"/>
          <w:sz w:val="16"/>
          <w:szCs w:val="16"/>
          <w:color w:val="auto"/>
        </w:rPr>
        <w:t>WHEREAS, on April 27, 1999, John Kenlon converted 571 shares of Convertible Preferred Stock and on August 30, 1999, the Partnership converted 3,135 shares of Convertible Preferred Stock, leaving 191,294 outstanding shares of Convertible Preferred Stock as of the date of this First Amendment;</w:t>
      </w:r>
    </w:p>
    <w:p>
      <w:pPr>
        <w:spacing w:after="0" w:line="187" w:lineRule="exact"/>
        <w:rPr>
          <w:sz w:val="20"/>
          <w:szCs w:val="20"/>
          <w:color w:val="auto"/>
        </w:rPr>
      </w:pPr>
    </w:p>
    <w:p>
      <w:pPr>
        <w:ind w:right="2339" w:firstLine="887"/>
        <w:spacing w:after="0" w:line="255" w:lineRule="auto"/>
        <w:rPr>
          <w:sz w:val="20"/>
          <w:szCs w:val="20"/>
          <w:color w:val="auto"/>
        </w:rPr>
      </w:pPr>
      <w:r>
        <w:rPr>
          <w:rFonts w:ascii="Courier New" w:cs="Courier New" w:eastAsia="Courier New" w:hAnsi="Courier New"/>
          <w:sz w:val="16"/>
          <w:szCs w:val="16"/>
          <w:color w:val="auto"/>
        </w:rPr>
        <w:t>WHEREAS, pursuant to its terms, the Convertible Preferred Stock may not be redeemed by Scotts prior to May 31, 2000;</w:t>
      </w:r>
    </w:p>
    <w:p>
      <w:pPr>
        <w:spacing w:after="0" w:line="184" w:lineRule="exact"/>
        <w:rPr>
          <w:sz w:val="20"/>
          <w:szCs w:val="20"/>
          <w:color w:val="auto"/>
        </w:rPr>
      </w:pPr>
    </w:p>
    <w:p>
      <w:pPr>
        <w:jc w:val="both"/>
        <w:ind w:right="2719" w:firstLine="887"/>
        <w:spacing w:after="0" w:line="253" w:lineRule="auto"/>
        <w:rPr>
          <w:sz w:val="20"/>
          <w:szCs w:val="20"/>
          <w:color w:val="auto"/>
        </w:rPr>
      </w:pPr>
      <w:r>
        <w:rPr>
          <w:rFonts w:ascii="Courier New" w:cs="Courier New" w:eastAsia="Courier New" w:hAnsi="Courier New"/>
          <w:sz w:val="16"/>
          <w:szCs w:val="16"/>
          <w:color w:val="auto"/>
        </w:rPr>
        <w:t>WHEREAS, Scotts desires that the Preferred Shareholders convert all 191,294 outstanding shares of Convertible Preferred Stock on October 1, 1999 (the "Conversion Date");</w:t>
      </w:r>
    </w:p>
    <w:p>
      <w:pPr>
        <w:spacing w:after="0" w:line="185" w:lineRule="exact"/>
        <w:rPr>
          <w:sz w:val="20"/>
          <w:szCs w:val="20"/>
          <w:color w:val="auto"/>
        </w:rPr>
      </w:pPr>
    </w:p>
    <w:p>
      <w:pPr>
        <w:ind w:right="2619" w:firstLine="887"/>
        <w:spacing w:after="0" w:line="253" w:lineRule="auto"/>
        <w:rPr>
          <w:sz w:val="20"/>
          <w:szCs w:val="20"/>
          <w:color w:val="auto"/>
        </w:rPr>
      </w:pPr>
      <w:r>
        <w:rPr>
          <w:rFonts w:ascii="Courier New" w:cs="Courier New" w:eastAsia="Courier New" w:hAnsi="Courier New"/>
          <w:sz w:val="16"/>
          <w:szCs w:val="16"/>
          <w:color w:val="auto"/>
        </w:rPr>
        <w:t>WHEREAS, pursuant to the terms, and subject to the conditions, set forth herein, the Preferred Shareholders desire to convert all 191,294 outstanding shares of Convertible Preferred Stock on the Conversion Date; and</w:t>
      </w:r>
    </w:p>
    <w:p>
      <w:pPr>
        <w:sectPr>
          <w:pgSz w:w="11900" w:h="16838" w:orient="portrait"/>
          <w:cols w:equalWidth="0" w:num="1">
            <w:col w:w="10219"/>
          </w:cols>
          <w:pgMar w:left="240" w:top="142"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2</w:t>
      </w:r>
    </w:p>
    <w:p>
      <w:pPr>
        <w:spacing w:after="0" w:line="8" w:lineRule="exact"/>
        <w:rPr>
          <w:sz w:val="20"/>
          <w:szCs w:val="20"/>
          <w:color w:val="auto"/>
        </w:rPr>
      </w:pPr>
    </w:p>
    <w:p>
      <w:pPr>
        <w:ind w:right="2619" w:firstLine="887"/>
        <w:spacing w:after="0" w:line="253" w:lineRule="auto"/>
        <w:rPr>
          <w:sz w:val="20"/>
          <w:szCs w:val="20"/>
          <w:color w:val="auto"/>
        </w:rPr>
      </w:pPr>
      <w:r>
        <w:rPr>
          <w:rFonts w:ascii="Courier New" w:cs="Courier New" w:eastAsia="Courier New" w:hAnsi="Courier New"/>
          <w:sz w:val="16"/>
          <w:szCs w:val="16"/>
          <w:color w:val="auto"/>
        </w:rPr>
        <w:t>WHEREAS, in connection with, and as a condition to, such conversion, the parties hereto desire to amend the Miracle-Gro Merger Agreement to amend certain provisions contained in Article VI thereof.</w:t>
      </w:r>
    </w:p>
    <w:p>
      <w:pPr>
        <w:spacing w:after="0" w:line="185"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NOW, THEREFORE, in consideration of the foregoing, the mutual covenants set forth herein and other good and valuable consideration, the receipt and sufficiency of which are hereby acknowledged, the parties do hereby agree as follows:</w:t>
      </w:r>
    </w:p>
    <w:p>
      <w:pPr>
        <w:spacing w:after="0" w:line="187" w:lineRule="exact"/>
        <w:rPr>
          <w:sz w:val="20"/>
          <w:szCs w:val="20"/>
          <w:color w:val="auto"/>
        </w:rPr>
      </w:pPr>
    </w:p>
    <w:p>
      <w:pPr>
        <w:ind w:left="880"/>
        <w:spacing w:after="0"/>
        <w:tabs>
          <w:tab w:leader="none" w:pos="2060" w:val="left"/>
        </w:tabs>
        <w:rPr>
          <w:sz w:val="20"/>
          <w:szCs w:val="20"/>
          <w:color w:val="auto"/>
        </w:rPr>
      </w:pPr>
      <w:r>
        <w:rPr>
          <w:rFonts w:ascii="Courier New" w:cs="Courier New" w:eastAsia="Courier New" w:hAnsi="Courier New"/>
          <w:sz w:val="16"/>
          <w:szCs w:val="16"/>
          <w:color w:val="auto"/>
        </w:rPr>
        <w:t>Section 1.</w:t>
        <w:tab/>
        <w:t>Conversion of Convertible Preferred Stock.</w:t>
      </w:r>
    </w:p>
    <w:p>
      <w:pPr>
        <w:spacing w:after="0" w:line="198" w:lineRule="exact"/>
        <w:rPr>
          <w:sz w:val="20"/>
          <w:szCs w:val="20"/>
          <w:color w:val="auto"/>
        </w:rPr>
      </w:pPr>
    </w:p>
    <w:p>
      <w:pPr>
        <w:ind w:right="2819" w:firstLine="888"/>
        <w:spacing w:after="0" w:line="251" w:lineRule="auto"/>
        <w:tabs>
          <w:tab w:leader="none" w:pos="197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terms and conditions hereof, on the Conversion Date, each of the Preferred Shareholders shall surrender a certificate or certificates representing all of the shares of Convertible Preferred Stock held by such Preferred Shareholder, duly endorsed, at the principal offices of Scotts and shall give written notice to Scotts at such office that such Preferred Shareholder elects to convert the same.</w:t>
      </w:r>
    </w:p>
    <w:p>
      <w:pPr>
        <w:spacing w:after="0" w:line="189" w:lineRule="exact"/>
        <w:rPr>
          <w:rFonts w:ascii="Courier New" w:cs="Courier New" w:eastAsia="Courier New" w:hAnsi="Courier New"/>
          <w:sz w:val="16"/>
          <w:szCs w:val="16"/>
          <w:color w:val="auto"/>
        </w:rPr>
      </w:pPr>
    </w:p>
    <w:p>
      <w:pPr>
        <w:ind w:right="2339" w:firstLine="888"/>
        <w:spacing w:after="0" w:line="251" w:lineRule="auto"/>
        <w:tabs>
          <w:tab w:leader="none" w:pos="197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hereto acknowledge and agree that, pursuant to the terms of the Convertible Preferred Stock, conversion of the Convertible Preferred Stock shall be deemed to have been made immediately prior to the close of business on the Conversion Date, and the Preferred Shareholder surrendering such Convertible Preferred Stock shall be treated for all purposes as the record holder of the common shares of Scotts issuable upon conversion of such shares of Convertible Preferred Stock on such date.</w:t>
      </w:r>
    </w:p>
    <w:p>
      <w:pPr>
        <w:spacing w:after="0" w:line="189" w:lineRule="exact"/>
        <w:rPr>
          <w:rFonts w:ascii="Courier New" w:cs="Courier New" w:eastAsia="Courier New" w:hAnsi="Courier New"/>
          <w:sz w:val="16"/>
          <w:szCs w:val="16"/>
          <w:color w:val="auto"/>
        </w:rPr>
      </w:pPr>
    </w:p>
    <w:p>
      <w:pPr>
        <w:ind w:right="2339" w:firstLine="888"/>
        <w:spacing w:after="0" w:line="252" w:lineRule="auto"/>
        <w:tabs>
          <w:tab w:leader="none" w:pos="197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further acknowledge and agree that the current Conversion Price of the Convertible Preferred Stock is $19 per common share, and the aggregate number of common shares into which each Preferred Shareholder's shares of Convertible Preferred Stock are currently convertible is set forth on Schedule A attached hereto.</w:t>
      </w:r>
    </w:p>
    <w:p>
      <w:pPr>
        <w:spacing w:after="0" w:line="185" w:lineRule="exact"/>
        <w:rPr>
          <w:rFonts w:ascii="Courier New" w:cs="Courier New" w:eastAsia="Courier New" w:hAnsi="Courier New"/>
          <w:sz w:val="16"/>
          <w:szCs w:val="16"/>
          <w:color w:val="auto"/>
        </w:rPr>
      </w:pPr>
    </w:p>
    <w:p>
      <w:pPr>
        <w:ind w:right="2339" w:firstLine="888"/>
        <w:spacing w:after="0" w:line="251" w:lineRule="auto"/>
        <w:tabs>
          <w:tab w:leader="none" w:pos="197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Scotts shall, on the Conversion Date, issue and deliver to each Preferred Shareholder that surrenders shares of Convertible Preferred Stock (or to any other person specified in the notice delivered by such Preferred Shareholder), a certificate or certificates for the number of common shares of Scotts to which such Preferred Shareholder shall be entitled and a check payable to such Preferred Shareholder for any cash amounts payable as the result of a conversion into fractional common shares, calculated as provided by the terms of the Convertible Preferred Stock. Unless otherwise requested by any Preferred Shareholder, Scotts shall issue a separate certificate for common shares of Scotts in respect of each certificate representing shares of Convertible Preferred Stock surrendered for conversion by each Preferred Shareholder.</w:t>
      </w:r>
    </w:p>
    <w:p>
      <w:pPr>
        <w:spacing w:after="0" w:line="190" w:lineRule="exact"/>
        <w:rPr>
          <w:sz w:val="20"/>
          <w:szCs w:val="20"/>
          <w:color w:val="auto"/>
        </w:rPr>
      </w:pPr>
    </w:p>
    <w:p>
      <w:pPr>
        <w:ind w:left="880"/>
        <w:spacing w:after="0"/>
        <w:tabs>
          <w:tab w:leader="none" w:pos="2640" w:val="left"/>
        </w:tabs>
        <w:rPr>
          <w:sz w:val="20"/>
          <w:szCs w:val="20"/>
          <w:color w:val="auto"/>
        </w:rPr>
      </w:pPr>
      <w:r>
        <w:rPr>
          <w:rFonts w:ascii="Courier New" w:cs="Courier New" w:eastAsia="Courier New" w:hAnsi="Courier New"/>
          <w:sz w:val="16"/>
          <w:szCs w:val="16"/>
          <w:color w:val="auto"/>
        </w:rPr>
        <w:t>Section 2.</w:t>
      </w:r>
      <w:r>
        <w:rPr>
          <w:sz w:val="20"/>
          <w:szCs w:val="20"/>
          <w:color w:val="auto"/>
        </w:rPr>
        <w:tab/>
      </w:r>
      <w:r>
        <w:rPr>
          <w:rFonts w:ascii="Courier New" w:cs="Courier New" w:eastAsia="Courier New" w:hAnsi="Courier New"/>
          <w:sz w:val="16"/>
          <w:szCs w:val="16"/>
          <w:color w:val="auto"/>
        </w:rPr>
        <w:t>Payment Upon Conversion.</w:t>
      </w:r>
    </w:p>
    <w:p>
      <w:pPr>
        <w:spacing w:after="0" w:line="198" w:lineRule="exact"/>
        <w:rPr>
          <w:sz w:val="20"/>
          <w:szCs w:val="20"/>
          <w:color w:val="auto"/>
        </w:rPr>
      </w:pPr>
    </w:p>
    <w:p>
      <w:pPr>
        <w:ind w:right="2339" w:firstLine="888"/>
        <w:spacing w:after="0" w:line="252" w:lineRule="auto"/>
        <w:tabs>
          <w:tab w:leader="none" w:pos="197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the terms of the Convertible Preferred Stock, on September 30, 1999, Scotts shall pay to the holders of record as they appear on the register for the Convertible Preferred Stock as of September 15, 1999, the applicable quarterly cumulative dividend.</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06"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6"/>
          <w:szCs w:val="16"/>
          <w:color w:val="auto"/>
        </w:rPr>
        <w:t>3</w:t>
      </w:r>
    </w:p>
    <w:p>
      <w:pPr>
        <w:spacing w:after="0" w:line="8" w:lineRule="exact"/>
        <w:rPr>
          <w:sz w:val="20"/>
          <w:szCs w:val="20"/>
          <w:color w:val="auto"/>
        </w:rPr>
      </w:pPr>
    </w:p>
    <w:p>
      <w:pPr>
        <w:ind w:right="2339" w:firstLine="888"/>
        <w:spacing w:after="0" w:line="251" w:lineRule="auto"/>
        <w:tabs>
          <w:tab w:leader="none" w:pos="197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such quarterly cumulative dividend, Scotts shall on the Conversion Date pay (by wire transfer of same day funds) to each Preferred Shareholder who surrenders all of such Preferred Shareholder's shares of Convertible Preferred Stock in accordance with Section 1(a) above, the amount in cash set forth opposite such Preferred Shareholder's name on Schedule A, which represents the dividends that would otherwise have been payable pursuant to the terms of the Convertible Preferred Stock from the Conversion Date through May 30, 2000.</w:t>
      </w:r>
    </w:p>
    <w:p>
      <w:pPr>
        <w:spacing w:after="0" w:line="190" w:lineRule="exact"/>
        <w:rPr>
          <w:sz w:val="20"/>
          <w:szCs w:val="20"/>
          <w:color w:val="auto"/>
        </w:rPr>
      </w:pPr>
    </w:p>
    <w:p>
      <w:pPr>
        <w:ind w:right="2919" w:firstLine="887"/>
        <w:spacing w:after="0" w:line="255" w:lineRule="auto"/>
        <w:rPr>
          <w:sz w:val="20"/>
          <w:szCs w:val="20"/>
          <w:color w:val="auto"/>
        </w:rPr>
      </w:pPr>
      <w:r>
        <w:rPr>
          <w:rFonts w:ascii="Courier New" w:cs="Courier New" w:eastAsia="Courier New" w:hAnsi="Courier New"/>
          <w:sz w:val="16"/>
          <w:szCs w:val="16"/>
          <w:color w:val="auto"/>
        </w:rPr>
        <w:t>Section 3. Representations and Warranties of the Preferred Shareholders.</w:t>
      </w:r>
    </w:p>
    <w:p>
      <w:pPr>
        <w:spacing w:after="0" w:line="184" w:lineRule="exact"/>
        <w:rPr>
          <w:sz w:val="20"/>
          <w:szCs w:val="20"/>
          <w:color w:val="auto"/>
        </w:rPr>
      </w:pPr>
    </w:p>
    <w:p>
      <w:pPr>
        <w:ind w:right="2439" w:firstLine="887"/>
        <w:spacing w:after="0" w:line="255" w:lineRule="auto"/>
        <w:rPr>
          <w:sz w:val="20"/>
          <w:szCs w:val="20"/>
          <w:color w:val="auto"/>
        </w:rPr>
      </w:pPr>
      <w:r>
        <w:rPr>
          <w:rFonts w:ascii="Courier New" w:cs="Courier New" w:eastAsia="Courier New" w:hAnsi="Courier New"/>
          <w:sz w:val="16"/>
          <w:szCs w:val="16"/>
          <w:color w:val="auto"/>
        </w:rPr>
        <w:t>Each Preferred Shareholder severally represents and warrants to Scotts as follows:</w:t>
      </w:r>
    </w:p>
    <w:p>
      <w:pPr>
        <w:spacing w:after="0" w:line="184" w:lineRule="exact"/>
        <w:rPr>
          <w:sz w:val="20"/>
          <w:szCs w:val="20"/>
          <w:color w:val="auto"/>
        </w:rPr>
      </w:pPr>
    </w:p>
    <w:p>
      <w:pPr>
        <w:ind w:right="2719" w:firstLine="888"/>
        <w:spacing w:after="0" w:line="252" w:lineRule="auto"/>
        <w:tabs>
          <w:tab w:leader="none" w:pos="197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Preferred Shareholder is the owner of the number of shares of Convertible Preferred Stock set forth opposite such Preferred Shareholder's name on Schedule A, free and clear of any liens, encumbrances, pledges, options, claims, charges, assessments and restrictions.</w:t>
      </w:r>
    </w:p>
    <w:p>
      <w:pPr>
        <w:spacing w:after="0" w:line="186" w:lineRule="exact"/>
        <w:rPr>
          <w:rFonts w:ascii="Courier New" w:cs="Courier New" w:eastAsia="Courier New" w:hAnsi="Courier New"/>
          <w:sz w:val="16"/>
          <w:szCs w:val="16"/>
          <w:color w:val="auto"/>
        </w:rPr>
      </w:pPr>
    </w:p>
    <w:p>
      <w:pPr>
        <w:ind w:right="2339" w:firstLine="888"/>
        <w:spacing w:after="0" w:line="252" w:lineRule="auto"/>
        <w:tabs>
          <w:tab w:leader="none" w:pos="197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each of Horace Hagedorn and John Kenlon, such Preferred Shareholder has full power and authority to convert his shares of Convertible Preferred Stock. In the case of the Partnership, the Partnership has full partnership power and authority to convert its shares of Convertible Preferred Stock.</w:t>
      </w:r>
    </w:p>
    <w:p>
      <w:pPr>
        <w:spacing w:after="0" w:line="185" w:lineRule="exact"/>
        <w:rPr>
          <w:rFonts w:ascii="Courier New" w:cs="Courier New" w:eastAsia="Courier New" w:hAnsi="Courier New"/>
          <w:sz w:val="16"/>
          <w:szCs w:val="16"/>
          <w:color w:val="auto"/>
        </w:rPr>
      </w:pPr>
    </w:p>
    <w:p>
      <w:pPr>
        <w:ind w:right="3119" w:firstLine="888"/>
        <w:spacing w:after="0" w:line="255" w:lineRule="auto"/>
        <w:tabs>
          <w:tab w:leader="none" w:pos="197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First Amendment has been duly authorized by all necessary partnership action of the Partnership.</w:t>
      </w:r>
    </w:p>
    <w:p>
      <w:pPr>
        <w:spacing w:after="0" w:line="183" w:lineRule="exact"/>
        <w:rPr>
          <w:rFonts w:ascii="Courier New" w:cs="Courier New" w:eastAsia="Courier New" w:hAnsi="Courier New"/>
          <w:sz w:val="16"/>
          <w:szCs w:val="16"/>
          <w:color w:val="auto"/>
        </w:rPr>
      </w:pPr>
    </w:p>
    <w:p>
      <w:pPr>
        <w:ind w:right="2919" w:firstLine="888"/>
        <w:spacing w:after="0" w:line="253" w:lineRule="auto"/>
        <w:tabs>
          <w:tab w:leader="none" w:pos="197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First Amendment constitutes the legal, valid and binding obligation of such Preferred Shareholder, enforceable against such Preferred Shareholder in accordance with its terms.</w:t>
      </w:r>
    </w:p>
    <w:p>
      <w:pPr>
        <w:spacing w:after="0" w:line="185" w:lineRule="exact"/>
        <w:rPr>
          <w:sz w:val="20"/>
          <w:szCs w:val="20"/>
          <w:color w:val="auto"/>
        </w:rPr>
      </w:pPr>
    </w:p>
    <w:p>
      <w:pPr>
        <w:ind w:right="2819" w:firstLine="887"/>
        <w:spacing w:after="0" w:line="255" w:lineRule="auto"/>
        <w:rPr>
          <w:sz w:val="20"/>
          <w:szCs w:val="20"/>
          <w:color w:val="auto"/>
        </w:rPr>
      </w:pPr>
      <w:r>
        <w:rPr>
          <w:rFonts w:ascii="Courier New" w:cs="Courier New" w:eastAsia="Courier New" w:hAnsi="Courier New"/>
          <w:sz w:val="16"/>
          <w:szCs w:val="16"/>
          <w:color w:val="auto"/>
        </w:rPr>
        <w:t>Section 4. Representations and Warranties of Scotts. Scotts represents and warrants to the Preferred Shareholders as follows:</w:t>
      </w:r>
    </w:p>
    <w:p>
      <w:pPr>
        <w:spacing w:after="0" w:line="184" w:lineRule="exact"/>
        <w:rPr>
          <w:sz w:val="20"/>
          <w:szCs w:val="20"/>
          <w:color w:val="auto"/>
        </w:rPr>
      </w:pPr>
    </w:p>
    <w:p>
      <w:pPr>
        <w:ind w:right="2339" w:firstLine="888"/>
        <w:spacing w:after="0" w:line="252" w:lineRule="auto"/>
        <w:tabs>
          <w:tab w:leader="none" w:pos="197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common shares of Scotts have been issued and delivered by Scotts to each Preferred Shareholder in the aggregate number set forth on Schedule A, upon the conversion of shares of Convertible Preferred Stock held by such Preferred Shareholder in accordance with Section 1(a) above, such common shares will be duly authorized, validly issued and non-assessable.</w:t>
      </w:r>
    </w:p>
    <w:p>
      <w:pPr>
        <w:spacing w:after="0" w:line="185" w:lineRule="exact"/>
        <w:rPr>
          <w:rFonts w:ascii="Courier New" w:cs="Courier New" w:eastAsia="Courier New" w:hAnsi="Courier New"/>
          <w:sz w:val="16"/>
          <w:szCs w:val="16"/>
          <w:color w:val="auto"/>
        </w:rPr>
      </w:pPr>
    </w:p>
    <w:p>
      <w:pPr>
        <w:ind w:right="2519" w:firstLine="888"/>
        <w:spacing w:after="0" w:line="253" w:lineRule="auto"/>
        <w:tabs>
          <w:tab w:leader="none" w:pos="197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First Amendment has been duly authorized by all necessary corporate action of Scotts and no shareholder approval of this First Amendment is required.</w:t>
      </w:r>
    </w:p>
    <w:p>
      <w:pPr>
        <w:spacing w:after="0" w:line="185" w:lineRule="exact"/>
        <w:rPr>
          <w:rFonts w:ascii="Courier New" w:cs="Courier New" w:eastAsia="Courier New" w:hAnsi="Courier New"/>
          <w:sz w:val="16"/>
          <w:szCs w:val="16"/>
          <w:color w:val="auto"/>
        </w:rPr>
      </w:pPr>
    </w:p>
    <w:p>
      <w:pPr>
        <w:ind w:right="2439" w:firstLine="888"/>
        <w:spacing w:after="0" w:line="253" w:lineRule="auto"/>
        <w:tabs>
          <w:tab w:leader="none" w:pos="197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First Amendment constitutes the legal, valid and binding obligation of Scotts, enforceable against Scotts in accordance with its terms.</w:t>
      </w:r>
    </w:p>
    <w:p>
      <w:pPr>
        <w:spacing w:after="0" w:line="185" w:lineRule="exact"/>
        <w:rPr>
          <w:rFonts w:ascii="Courier New" w:cs="Courier New" w:eastAsia="Courier New" w:hAnsi="Courier New"/>
          <w:sz w:val="16"/>
          <w:szCs w:val="16"/>
          <w:color w:val="auto"/>
        </w:rPr>
      </w:pPr>
    </w:p>
    <w:p>
      <w:pPr>
        <w:ind w:right="2619" w:firstLine="888"/>
        <w:spacing w:after="0" w:line="253" w:lineRule="auto"/>
        <w:tabs>
          <w:tab w:leader="none" w:pos="197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Scotts has not taken, or caused or permitted to be taken, any action that would require an adjustment in the Conversion Price of the Convertible Preferred Stock.</w:t>
      </w:r>
    </w:p>
    <w:p>
      <w:pPr>
        <w:spacing w:after="0" w:line="18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06" w:right="1440" w:bottom="1440"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6"/>
          <w:szCs w:val="16"/>
          <w:color w:val="auto"/>
        </w:rPr>
        <w:t>4</w:t>
      </w:r>
    </w:p>
    <w:p>
      <w:pPr>
        <w:spacing w:after="0" w:line="8" w:lineRule="exact"/>
        <w:rPr>
          <w:sz w:val="20"/>
          <w:szCs w:val="20"/>
          <w:color w:val="auto"/>
        </w:rPr>
      </w:pPr>
    </w:p>
    <w:p>
      <w:pPr>
        <w:ind w:left="880"/>
        <w:spacing w:after="0"/>
        <w:tabs>
          <w:tab w:leader="none" w:pos="2640" w:val="left"/>
        </w:tabs>
        <w:rPr>
          <w:sz w:val="20"/>
          <w:szCs w:val="20"/>
          <w:color w:val="auto"/>
        </w:rPr>
      </w:pPr>
      <w:r>
        <w:rPr>
          <w:rFonts w:ascii="Courier New" w:cs="Courier New" w:eastAsia="Courier New" w:hAnsi="Courier New"/>
          <w:sz w:val="16"/>
          <w:szCs w:val="16"/>
          <w:color w:val="auto"/>
        </w:rPr>
        <w:t>Section 5.</w:t>
      </w:r>
      <w:r>
        <w:rPr>
          <w:sz w:val="20"/>
          <w:szCs w:val="20"/>
          <w:color w:val="auto"/>
        </w:rPr>
        <w:tab/>
      </w:r>
      <w:r>
        <w:rPr>
          <w:rFonts w:ascii="Courier New" w:cs="Courier New" w:eastAsia="Courier New" w:hAnsi="Courier New"/>
          <w:sz w:val="16"/>
          <w:szCs w:val="16"/>
          <w:color w:val="auto"/>
        </w:rPr>
        <w:t>Amendments to Miracle-Gro Merger Agreement.</w:t>
      </w:r>
    </w:p>
    <w:p>
      <w:pPr>
        <w:spacing w:after="0" w:line="198" w:lineRule="exact"/>
        <w:rPr>
          <w:sz w:val="20"/>
          <w:szCs w:val="20"/>
          <w:color w:val="auto"/>
        </w:rPr>
      </w:pPr>
    </w:p>
    <w:p>
      <w:pPr>
        <w:ind w:right="2339" w:firstLine="888"/>
        <w:spacing w:after="0" w:line="252" w:lineRule="auto"/>
        <w:tabs>
          <w:tab w:leader="none" w:pos="197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text of Sections 6.02(b), 6.06, 6.08, 6.09 and 6.10 of the Miracle-Gro Merger Agreement, including, in the case of Sections 6.06, 6.08, 6.09 and 6.10, the headings thereof, shall be of no further force and effect from and after October 1, 1999.</w:t>
      </w:r>
    </w:p>
    <w:p>
      <w:pPr>
        <w:spacing w:after="0" w:line="186" w:lineRule="exact"/>
        <w:rPr>
          <w:rFonts w:ascii="Courier New" w:cs="Courier New" w:eastAsia="Courier New" w:hAnsi="Courier New"/>
          <w:sz w:val="16"/>
          <w:szCs w:val="16"/>
          <w:color w:val="auto"/>
        </w:rPr>
      </w:pPr>
    </w:p>
    <w:p>
      <w:pPr>
        <w:ind w:right="2339" w:firstLine="888"/>
        <w:spacing w:after="0" w:line="252" w:lineRule="auto"/>
        <w:tabs>
          <w:tab w:leader="none" w:pos="197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sentence of Section 6.07 of the Miracle-Gro Merger Agreement is hereby amended by deleting the reference to "the fifth anniversary of the Effective Time" contained therein and by replacing such reference with the words "October 1, 1999."</w:t>
      </w:r>
    </w:p>
    <w:p>
      <w:pPr>
        <w:spacing w:after="0" w:line="187" w:lineRule="exact"/>
        <w:rPr>
          <w:sz w:val="20"/>
          <w:szCs w:val="20"/>
          <w:color w:val="auto"/>
        </w:rPr>
      </w:pPr>
    </w:p>
    <w:p>
      <w:pPr>
        <w:ind w:right="3019" w:firstLine="887"/>
        <w:spacing w:after="0" w:line="255" w:lineRule="auto"/>
        <w:rPr>
          <w:sz w:val="20"/>
          <w:szCs w:val="20"/>
          <w:color w:val="auto"/>
        </w:rPr>
      </w:pPr>
      <w:r>
        <w:rPr>
          <w:rFonts w:ascii="Courier New" w:cs="Courier New" w:eastAsia="Courier New" w:hAnsi="Courier New"/>
          <w:sz w:val="16"/>
          <w:szCs w:val="16"/>
          <w:color w:val="auto"/>
        </w:rPr>
        <w:t>Section 6. Conditions Precedent to the Obligations of the Preferred Shareholders and Scotts.</w:t>
      </w:r>
    </w:p>
    <w:p>
      <w:pPr>
        <w:spacing w:after="0" w:line="184" w:lineRule="exact"/>
        <w:rPr>
          <w:sz w:val="20"/>
          <w:szCs w:val="20"/>
          <w:color w:val="auto"/>
        </w:rPr>
      </w:pPr>
    </w:p>
    <w:p>
      <w:pPr>
        <w:ind w:right="2339" w:firstLine="888"/>
        <w:spacing w:after="0" w:line="252" w:lineRule="auto"/>
        <w:tabs>
          <w:tab w:leader="none" w:pos="197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Precedent to Each Preferred Shareholder's Obligation. The obligation of each Preferred Shareholder to consummate the conversion of such Preferred Shareholder's shares of Convertible Preferred Stock contemplated by Section 1 of this First Amendment is subject to the satisfaction on or before the Conversion Date of the following conditions:</w:t>
      </w:r>
    </w:p>
    <w:p>
      <w:pPr>
        <w:spacing w:after="0" w:line="185" w:lineRule="exact"/>
        <w:rPr>
          <w:rFonts w:ascii="Courier New" w:cs="Courier New" w:eastAsia="Courier New" w:hAnsi="Courier New"/>
          <w:sz w:val="16"/>
          <w:szCs w:val="16"/>
          <w:color w:val="auto"/>
        </w:rPr>
      </w:pPr>
    </w:p>
    <w:p>
      <w:pPr>
        <w:ind w:left="2660" w:right="2339" w:hanging="884"/>
        <w:spacing w:after="0" w:line="251" w:lineRule="auto"/>
        <w:tabs>
          <w:tab w:leader="none" w:pos="266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of Scotts made in this First Amendment shall be true and correct in all material respects on and as of the Conversion Date, as though made on and as of the Conversion Date, and Scotts shall have delivered a certificate executed by a duly authorized officer of Scotts to such effect.</w:t>
      </w:r>
    </w:p>
    <w:p>
      <w:pPr>
        <w:spacing w:after="0" w:line="189" w:lineRule="exact"/>
        <w:rPr>
          <w:rFonts w:ascii="Courier New" w:cs="Courier New" w:eastAsia="Courier New" w:hAnsi="Courier New"/>
          <w:sz w:val="16"/>
          <w:szCs w:val="16"/>
          <w:color w:val="auto"/>
        </w:rPr>
      </w:pPr>
    </w:p>
    <w:p>
      <w:pPr>
        <w:ind w:left="2660" w:right="2619" w:hanging="884"/>
        <w:spacing w:after="0" w:line="253" w:lineRule="auto"/>
        <w:tabs>
          <w:tab w:leader="none" w:pos="266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event requiring an adjustment in the Conversion Price for the Convertible Preferred Stock on the Conversion Date shall have occurred.</w:t>
      </w:r>
    </w:p>
    <w:p>
      <w:pPr>
        <w:spacing w:after="0" w:line="185" w:lineRule="exact"/>
        <w:rPr>
          <w:rFonts w:ascii="Courier New" w:cs="Courier New" w:eastAsia="Courier New" w:hAnsi="Courier New"/>
          <w:sz w:val="16"/>
          <w:szCs w:val="16"/>
          <w:color w:val="auto"/>
        </w:rPr>
      </w:pPr>
    </w:p>
    <w:p>
      <w:pPr>
        <w:ind w:right="2339" w:firstLine="888"/>
        <w:spacing w:after="0" w:line="252" w:lineRule="auto"/>
        <w:tabs>
          <w:tab w:leader="none" w:pos="197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Precedent to Scotts' Obligation. The obligation of Scotts to consummate the transactions contemplated by this First Amendment is subject to the satisfaction on or before the Conversion Date of the following conditions:</w:t>
      </w:r>
    </w:p>
    <w:p>
      <w:pPr>
        <w:spacing w:after="0" w:line="186" w:lineRule="exact"/>
        <w:rPr>
          <w:rFonts w:ascii="Courier New" w:cs="Courier New" w:eastAsia="Courier New" w:hAnsi="Courier New"/>
          <w:sz w:val="16"/>
          <w:szCs w:val="16"/>
          <w:color w:val="auto"/>
        </w:rPr>
      </w:pPr>
    </w:p>
    <w:p>
      <w:pPr>
        <w:ind w:left="2660" w:right="2439" w:hanging="884"/>
        <w:spacing w:after="0" w:line="251" w:lineRule="auto"/>
        <w:tabs>
          <w:tab w:leader="none" w:pos="266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of the Preferred Shareholders made in this First Amendment shall be true and correct in all material respects on and as of the Conversion Date, as though made on and as of the Conversion Date, and each Preferred Shareholder shall have delivered a certificate to such effect, executed by the Preferred Shareholder in the case of Horace Hagedorn and John Kenlon, or by a duly authorized partner in the case of the Partnership.</w:t>
      </w:r>
    </w:p>
    <w:p>
      <w:pPr>
        <w:spacing w:after="0" w:line="189" w:lineRule="exact"/>
        <w:rPr>
          <w:rFonts w:ascii="Courier New" w:cs="Courier New" w:eastAsia="Courier New" w:hAnsi="Courier New"/>
          <w:sz w:val="16"/>
          <w:szCs w:val="16"/>
          <w:color w:val="auto"/>
        </w:rPr>
      </w:pPr>
    </w:p>
    <w:p>
      <w:pPr>
        <w:ind w:left="2660" w:right="2619" w:hanging="884"/>
        <w:spacing w:after="0" w:line="253" w:lineRule="auto"/>
        <w:tabs>
          <w:tab w:leader="none" w:pos="2660"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event requiring an adjustment in the Conversion Price for the Convertible Preferred Stock on the Conversion Date shall have occurred.</w:t>
      </w:r>
    </w:p>
    <w:p>
      <w:pPr>
        <w:spacing w:after="0" w:line="18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6"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5</w:t>
      </w:r>
    </w:p>
    <w:p>
      <w:pPr>
        <w:spacing w:after="0" w:line="8" w:lineRule="exact"/>
        <w:rPr>
          <w:sz w:val="20"/>
          <w:szCs w:val="20"/>
          <w:color w:val="auto"/>
        </w:rPr>
      </w:pPr>
    </w:p>
    <w:p>
      <w:pPr>
        <w:ind w:left="580"/>
        <w:spacing w:after="0"/>
        <w:tabs>
          <w:tab w:leader="none" w:pos="2340" w:val="left"/>
        </w:tabs>
        <w:rPr>
          <w:sz w:val="20"/>
          <w:szCs w:val="20"/>
          <w:color w:val="auto"/>
        </w:rPr>
      </w:pPr>
      <w:r>
        <w:rPr>
          <w:rFonts w:ascii="Courier New" w:cs="Courier New" w:eastAsia="Courier New" w:hAnsi="Courier New"/>
          <w:sz w:val="16"/>
          <w:szCs w:val="16"/>
          <w:color w:val="auto"/>
        </w:rPr>
        <w:t>Section 7.</w:t>
      </w:r>
      <w:r>
        <w:rPr>
          <w:sz w:val="20"/>
          <w:szCs w:val="20"/>
          <w:color w:val="auto"/>
        </w:rPr>
        <w:tab/>
      </w:r>
      <w:r>
        <w:rPr>
          <w:rFonts w:ascii="Courier New" w:cs="Courier New" w:eastAsia="Courier New" w:hAnsi="Courier New"/>
          <w:sz w:val="16"/>
          <w:szCs w:val="16"/>
          <w:color w:val="auto"/>
        </w:rPr>
        <w:t>Miscellaneous.</w:t>
      </w:r>
    </w:p>
    <w:p>
      <w:pPr>
        <w:spacing w:after="0" w:line="198" w:lineRule="exact"/>
        <w:rPr>
          <w:sz w:val="20"/>
          <w:szCs w:val="20"/>
          <w:color w:val="auto"/>
        </w:rPr>
      </w:pPr>
    </w:p>
    <w:p>
      <w:pPr>
        <w:ind w:left="-300" w:right="2519" w:firstLine="888"/>
        <w:spacing w:after="0" w:line="253" w:lineRule="auto"/>
        <w:tabs>
          <w:tab w:leader="none" w:pos="167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First Amendment may be executed simultaneously in two or more counterparts, each of which shall be deemed an original, but all of which together shall constitute one and the same agreement.</w:t>
      </w:r>
    </w:p>
    <w:p>
      <w:pPr>
        <w:spacing w:after="0" w:line="185" w:lineRule="exact"/>
        <w:rPr>
          <w:rFonts w:ascii="Courier New" w:cs="Courier New" w:eastAsia="Courier New" w:hAnsi="Courier New"/>
          <w:sz w:val="16"/>
          <w:szCs w:val="16"/>
          <w:color w:val="auto"/>
        </w:rPr>
      </w:pPr>
    </w:p>
    <w:p>
      <w:pPr>
        <w:ind w:left="-300" w:right="2519" w:firstLine="888"/>
        <w:spacing w:after="0" w:line="255" w:lineRule="auto"/>
        <w:tabs>
          <w:tab w:leader="none" w:pos="167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First Amendment shall be construed in accordance with and governed by the law of the State of Ohio.</w:t>
      </w:r>
    </w:p>
    <w:p>
      <w:pPr>
        <w:spacing w:after="0" w:line="183" w:lineRule="exact"/>
        <w:rPr>
          <w:rFonts w:ascii="Courier New" w:cs="Courier New" w:eastAsia="Courier New" w:hAnsi="Courier New"/>
          <w:sz w:val="16"/>
          <w:szCs w:val="16"/>
          <w:color w:val="auto"/>
        </w:rPr>
      </w:pPr>
    </w:p>
    <w:p>
      <w:pPr>
        <w:ind w:left="-300" w:right="2619" w:firstLine="888"/>
        <w:spacing w:after="0" w:line="253" w:lineRule="auto"/>
        <w:tabs>
          <w:tab w:leader="none" w:pos="167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expressly provided for in this First Amendment, the Miracle-Gro Merger Agreement shall remain in full force and effect in accordance with its terms.</w:t>
      </w:r>
    </w:p>
    <w:p>
      <w:pPr>
        <w:spacing w:after="0" w:line="200" w:lineRule="exact"/>
        <w:rPr>
          <w:sz w:val="20"/>
          <w:szCs w:val="20"/>
          <w:color w:val="auto"/>
        </w:rPr>
      </w:pPr>
    </w:p>
    <w:p>
      <w:pPr>
        <w:spacing w:after="0" w:line="364"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6"/>
          <w:szCs w:val="16"/>
          <w:color w:val="auto"/>
        </w:rPr>
        <w:t>[Remainder of page intentionally left blank; signatures on following page.]</w:t>
      </w:r>
    </w:p>
    <w:p>
      <w:pPr>
        <w:spacing w:after="0" w:line="19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919"/>
          </w:cols>
          <w:pgMar w:left="540" w:top="306" w:right="1440"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6"/>
          <w:szCs w:val="16"/>
          <w:color w:val="auto"/>
        </w:rPr>
        <w:t>6</w:t>
      </w:r>
    </w:p>
    <w:p>
      <w:pPr>
        <w:spacing w:after="0" w:line="8" w:lineRule="exact"/>
        <w:rPr>
          <w:sz w:val="20"/>
          <w:szCs w:val="20"/>
          <w:color w:val="auto"/>
        </w:rPr>
      </w:pPr>
    </w:p>
    <w:p>
      <w:pPr>
        <w:ind w:right="2439" w:firstLine="887"/>
        <w:spacing w:after="0" w:line="253" w:lineRule="auto"/>
        <w:rPr>
          <w:sz w:val="20"/>
          <w:szCs w:val="20"/>
          <w:color w:val="auto"/>
        </w:rPr>
      </w:pPr>
      <w:r>
        <w:rPr>
          <w:rFonts w:ascii="Courier New" w:cs="Courier New" w:eastAsia="Courier New" w:hAnsi="Courier New"/>
          <w:sz w:val="16"/>
          <w:szCs w:val="16"/>
          <w:color w:val="auto"/>
        </w:rPr>
        <w:t>IN WITNESS WHEREOF, the parties have executed this First Amendment, or caused this First Amendment to be executed by their duly authorized representatives, as of the date first written above.</w:t>
      </w:r>
    </w:p>
    <w:p>
      <w:pPr>
        <w:spacing w:after="0" w:line="185"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6"/>
          <w:szCs w:val="16"/>
          <w:color w:val="auto"/>
        </w:rPr>
        <w:t>MIRACLE-GRO CONSTITUENT COMPANIES:</w:t>
      </w:r>
    </w:p>
    <w:p>
      <w:pPr>
        <w:spacing w:after="0" w:line="198"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6"/>
          <w:szCs w:val="16"/>
          <w:color w:val="auto"/>
        </w:rPr>
        <w:t>SCOTTS' MIRACLE-GRO PRODUCTS, INC.</w:t>
      </w:r>
    </w:p>
    <w:p>
      <w:pPr>
        <w:spacing w:after="0" w:line="3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By: /s/ John Kenlon</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Name: John Kenlon</w:t>
      </w:r>
    </w:p>
    <w:p>
      <w:pPr>
        <w:spacing w:after="0" w:line="8" w:lineRule="exact"/>
        <w:rPr>
          <w:sz w:val="20"/>
          <w:szCs w:val="20"/>
          <w:color w:val="auto"/>
        </w:rPr>
      </w:pPr>
    </w:p>
    <w:p>
      <w:pPr>
        <w:ind w:left="3560"/>
        <w:spacing w:after="0"/>
        <w:tabs>
          <w:tab w:leader="none" w:pos="4320" w:val="left"/>
        </w:tabs>
        <w:rPr>
          <w:sz w:val="20"/>
          <w:szCs w:val="20"/>
          <w:color w:val="auto"/>
        </w:rPr>
      </w:pPr>
      <w:r>
        <w:rPr>
          <w:rFonts w:ascii="Courier New" w:cs="Courier New" w:eastAsia="Courier New" w:hAnsi="Courier New"/>
          <w:sz w:val="16"/>
          <w:szCs w:val="16"/>
          <w:color w:val="auto"/>
        </w:rPr>
        <w:t>Title:</w:t>
        <w:tab/>
        <w:t>Chairman and Chief Executive Officer</w:t>
      </w:r>
    </w:p>
    <w:p>
      <w:pPr>
        <w:spacing w:after="0" w:line="198"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6"/>
          <w:szCs w:val="16"/>
          <w:color w:val="auto"/>
        </w:rPr>
        <w:t>MIRACLE-GRO LAWN PRODUCTS INC.</w:t>
      </w:r>
    </w:p>
    <w:p>
      <w:pPr>
        <w:spacing w:after="0" w:line="3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By: /s/ John Kenlon</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Name: John Kenlon</w:t>
      </w:r>
    </w:p>
    <w:p>
      <w:pPr>
        <w:spacing w:after="0" w:line="8" w:lineRule="exact"/>
        <w:rPr>
          <w:sz w:val="20"/>
          <w:szCs w:val="20"/>
          <w:color w:val="auto"/>
        </w:rPr>
      </w:pPr>
    </w:p>
    <w:p>
      <w:pPr>
        <w:ind w:left="3560"/>
        <w:spacing w:after="0"/>
        <w:tabs>
          <w:tab w:leader="none" w:pos="4320" w:val="left"/>
        </w:tabs>
        <w:rPr>
          <w:sz w:val="20"/>
          <w:szCs w:val="20"/>
          <w:color w:val="auto"/>
        </w:rPr>
      </w:pPr>
      <w:r>
        <w:rPr>
          <w:rFonts w:ascii="Courier New" w:cs="Courier New" w:eastAsia="Courier New" w:hAnsi="Courier New"/>
          <w:sz w:val="16"/>
          <w:szCs w:val="16"/>
          <w:color w:val="auto"/>
        </w:rPr>
        <w:t>Title:</w:t>
        <w:tab/>
        <w:t>Executive Vice President</w:t>
      </w:r>
    </w:p>
    <w:p>
      <w:pPr>
        <w:spacing w:after="0" w:line="198"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6"/>
          <w:szCs w:val="16"/>
          <w:color w:val="auto"/>
        </w:rPr>
        <w:t>MIRACLE-GRO PRODUCTS LIMITED</w:t>
      </w:r>
    </w:p>
    <w:p>
      <w:pPr>
        <w:spacing w:after="0" w:line="3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By: /s/ John Kenlon</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Name: John Kenlon</w:t>
      </w:r>
    </w:p>
    <w:p>
      <w:pPr>
        <w:spacing w:after="0" w:line="8" w:lineRule="exact"/>
        <w:rPr>
          <w:sz w:val="20"/>
          <w:szCs w:val="20"/>
          <w:color w:val="auto"/>
        </w:rPr>
      </w:pPr>
    </w:p>
    <w:p>
      <w:pPr>
        <w:ind w:left="3560"/>
        <w:spacing w:after="0"/>
        <w:tabs>
          <w:tab w:leader="none" w:pos="4320" w:val="left"/>
        </w:tabs>
        <w:rPr>
          <w:sz w:val="20"/>
          <w:szCs w:val="20"/>
          <w:color w:val="auto"/>
        </w:rPr>
      </w:pPr>
      <w:r>
        <w:rPr>
          <w:rFonts w:ascii="Courier New" w:cs="Courier New" w:eastAsia="Courier New" w:hAnsi="Courier New"/>
          <w:sz w:val="16"/>
          <w:szCs w:val="16"/>
          <w:color w:val="auto"/>
        </w:rPr>
        <w:t>Title:</w:t>
        <w:tab/>
        <w:t>Executive Vice President</w:t>
      </w:r>
    </w:p>
    <w:p>
      <w:pPr>
        <w:spacing w:after="0" w:line="19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CHARITY:</w:t>
      </w:r>
    </w:p>
    <w:p>
      <w:pPr>
        <w:spacing w:after="0" w:line="19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COMMUNITY FUNDS, INC.</w:t>
      </w:r>
    </w:p>
    <w:p>
      <w:pPr>
        <w:spacing w:after="0" w:line="3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By: /s/ Jane L. Wilton</w:t>
      </w:r>
    </w:p>
    <w:p>
      <w:pPr>
        <w:spacing w:after="0" w:line="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560"/>
        <w:spacing w:after="0"/>
        <w:tabs>
          <w:tab w:leader="none" w:pos="4220" w:val="left"/>
        </w:tabs>
        <w:rPr>
          <w:sz w:val="20"/>
          <w:szCs w:val="20"/>
          <w:color w:val="auto"/>
        </w:rPr>
      </w:pPr>
      <w:r>
        <w:rPr>
          <w:rFonts w:ascii="Courier New" w:cs="Courier New" w:eastAsia="Courier New" w:hAnsi="Courier New"/>
          <w:sz w:val="16"/>
          <w:szCs w:val="16"/>
          <w:color w:val="auto"/>
        </w:rPr>
        <w:t>Name:</w:t>
        <w:tab/>
        <w:t>Jane L. Wilton</w:t>
      </w:r>
    </w:p>
    <w:p>
      <w:pPr>
        <w:spacing w:after="0" w:line="8" w:lineRule="exact"/>
        <w:rPr>
          <w:sz w:val="20"/>
          <w:szCs w:val="20"/>
          <w:color w:val="auto"/>
        </w:rPr>
      </w:pPr>
    </w:p>
    <w:p>
      <w:pPr>
        <w:ind w:left="3560"/>
        <w:spacing w:after="0"/>
        <w:tabs>
          <w:tab w:leader="none" w:pos="4320" w:val="left"/>
        </w:tabs>
        <w:rPr>
          <w:sz w:val="20"/>
          <w:szCs w:val="20"/>
          <w:color w:val="auto"/>
        </w:rPr>
      </w:pPr>
      <w:r>
        <w:rPr>
          <w:rFonts w:ascii="Courier New" w:cs="Courier New" w:eastAsia="Courier New" w:hAnsi="Courier New"/>
          <w:sz w:val="16"/>
          <w:szCs w:val="16"/>
          <w:color w:val="auto"/>
        </w:rPr>
        <w:t>Title:</w:t>
        <w:tab/>
        <w:t>Secretary and General Counsel</w:t>
      </w:r>
    </w:p>
    <w:p>
      <w:pPr>
        <w:spacing w:after="0" w:line="19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PREFERRED SHAREHOLDERS:</w:t>
      </w:r>
    </w:p>
    <w:p>
      <w:pPr>
        <w:spacing w:after="0" w:line="3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 Horace Hagedorn</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HORACE HAGEDORN</w:t>
      </w:r>
    </w:p>
    <w:p>
      <w:pPr>
        <w:spacing w:after="0" w:line="19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6"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7</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HAGEDORN PARTNERSHIP, L.P.</w:t>
      </w:r>
    </w:p>
    <w:p>
      <w:pPr>
        <w:spacing w:after="0" w:line="198" w:lineRule="exact"/>
        <w:rPr>
          <w:sz w:val="20"/>
          <w:szCs w:val="20"/>
          <w:color w:val="auto"/>
        </w:rPr>
      </w:pPr>
    </w:p>
    <w:p>
      <w:pPr>
        <w:ind w:left="2360"/>
        <w:spacing w:after="0"/>
        <w:tabs>
          <w:tab w:leader="none" w:pos="2840" w:val="left"/>
        </w:tabs>
        <w:rPr>
          <w:sz w:val="20"/>
          <w:szCs w:val="20"/>
          <w:color w:val="auto"/>
        </w:rPr>
      </w:pPr>
      <w:r>
        <w:rPr>
          <w:rFonts w:ascii="Courier New" w:cs="Courier New" w:eastAsia="Courier New" w:hAnsi="Courier New"/>
          <w:sz w:val="16"/>
          <w:szCs w:val="16"/>
          <w:color w:val="auto"/>
        </w:rPr>
        <w:t>By:</w:t>
        <w:tab/>
        <w:t>/s/ Katherine Hagedorn Littlefield</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A General Partner</w:t>
      </w:r>
    </w:p>
    <w:p>
      <w:pPr>
        <w:spacing w:after="0" w:line="38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/s/ John Kenlon</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JOHN KENLON</w:t>
      </w:r>
    </w:p>
    <w:p>
      <w:pPr>
        <w:spacing w:after="0" w:line="19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GENERAL PARTNERS:</w:t>
      </w:r>
    </w:p>
    <w:p>
      <w:pPr>
        <w:spacing w:after="0" w:line="19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/s/ James Hagedorn</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JAMES HAGEDORN</w:t>
      </w:r>
    </w:p>
    <w:p>
      <w:pPr>
        <w:spacing w:after="0" w:line="38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/s/ Katherine Hagedorn Littlefield</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KATHERINE HAGEDORN LITTLEFIELD</w:t>
      </w:r>
    </w:p>
    <w:p>
      <w:pPr>
        <w:spacing w:after="0" w:line="38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/s/ Paul Hagedorn</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PAUL HAGEDORN</w:t>
      </w:r>
    </w:p>
    <w:p>
      <w:pPr>
        <w:spacing w:after="0" w:line="38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/s/ Peter Hagedorn</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PETER HAGEDORN</w:t>
      </w:r>
    </w:p>
    <w:p>
      <w:pPr>
        <w:spacing w:after="0" w:line="38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/s/ Robert Hagedorn</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ROBERT HAGEDORN</w:t>
      </w:r>
    </w:p>
    <w:p>
      <w:pPr>
        <w:spacing w:after="0" w:line="38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/s/ Susan Hagedorn</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SUSAN HAGEDORN</w:t>
      </w:r>
    </w:p>
    <w:p>
      <w:pPr>
        <w:spacing w:after="0" w:line="19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SCOTTS:</w:t>
      </w:r>
    </w:p>
    <w:p>
      <w:pPr>
        <w:spacing w:after="0" w:line="19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THE SCOTTS COMPANY</w:t>
      </w:r>
    </w:p>
    <w:p>
      <w:pPr>
        <w:spacing w:after="0" w:line="38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By: /s/ Charles M. Berger</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Name: Charles M. Berger</w:t>
      </w:r>
    </w:p>
    <w:p>
      <w:pPr>
        <w:spacing w:after="0" w:line="8" w:lineRule="exact"/>
        <w:rPr>
          <w:sz w:val="20"/>
          <w:szCs w:val="20"/>
          <w:color w:val="auto"/>
        </w:rPr>
      </w:pPr>
    </w:p>
    <w:p>
      <w:pPr>
        <w:ind w:left="2760"/>
        <w:spacing w:after="0"/>
        <w:tabs>
          <w:tab w:leader="none" w:pos="3520" w:val="left"/>
        </w:tabs>
        <w:rPr>
          <w:sz w:val="20"/>
          <w:szCs w:val="20"/>
          <w:color w:val="auto"/>
        </w:rPr>
      </w:pPr>
      <w:r>
        <w:rPr>
          <w:rFonts w:ascii="Courier New" w:cs="Courier New" w:eastAsia="Courier New" w:hAnsi="Courier New"/>
          <w:sz w:val="16"/>
          <w:szCs w:val="16"/>
          <w:color w:val="auto"/>
        </w:rPr>
        <w:t>Title:</w:t>
        <w:tab/>
        <w:t>Chairman, President and Chief Executive</w:t>
      </w:r>
    </w:p>
    <w:p>
      <w:pPr>
        <w:spacing w:after="0" w:line="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Officer</w:t>
      </w:r>
    </w:p>
    <w:p>
      <w:pPr>
        <w:spacing w:after="0" w:line="198"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919"/>
          </w:cols>
          <w:pgMar w:left="540" w:top="306" w:right="1440" w:bottom="1440"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6"/>
          <w:szCs w:val="16"/>
          <w:color w:val="auto"/>
        </w:rPr>
        <w:t>8</w:t>
      </w:r>
    </w:p>
    <w:p>
      <w:pPr>
        <w:spacing w:after="0" w:line="200" w:lineRule="exact"/>
        <w:rPr>
          <w:sz w:val="20"/>
          <w:szCs w:val="20"/>
          <w:color w:val="auto"/>
        </w:rPr>
      </w:pPr>
    </w:p>
    <w:p>
      <w:pPr>
        <w:spacing w:after="0" w:line="377" w:lineRule="exact"/>
        <w:rPr>
          <w:sz w:val="20"/>
          <w:szCs w:val="20"/>
          <w:color w:val="auto"/>
        </w:rPr>
      </w:pPr>
    </w:p>
    <w:p>
      <w:pPr>
        <w:ind w:left="6900"/>
        <w:spacing w:after="0"/>
        <w:rPr>
          <w:sz w:val="20"/>
          <w:szCs w:val="20"/>
          <w:color w:val="auto"/>
        </w:rPr>
      </w:pPr>
      <w:r>
        <w:rPr>
          <w:rFonts w:ascii="Courier New" w:cs="Courier New" w:eastAsia="Courier New" w:hAnsi="Courier New"/>
          <w:sz w:val="16"/>
          <w:szCs w:val="16"/>
          <w:color w:val="auto"/>
        </w:rPr>
        <w:t>SCHEDULE A</w:t>
      </w:r>
    </w:p>
    <w:p>
      <w:pPr>
        <w:spacing w:after="0" w:line="8" w:lineRule="exact"/>
        <w:rPr>
          <w:sz w:val="20"/>
          <w:szCs w:val="20"/>
          <w:color w:val="auto"/>
        </w:rPr>
      </w:pPr>
    </w:p>
    <w:p>
      <w:pPr>
        <w:ind w:left="69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6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Number of</w:t>
            </w:r>
          </w:p>
        </w:tc>
        <w:tc>
          <w:tcPr>
            <w:tcW w:w="1820" w:type="dxa"/>
            <w:vAlign w:val="bottom"/>
          </w:tcPr>
          <w:p>
            <w:pPr>
              <w:ind w:left="60"/>
              <w:spacing w:after="0"/>
              <w:rPr>
                <w:sz w:val="20"/>
                <w:szCs w:val="20"/>
                <w:color w:val="auto"/>
              </w:rPr>
            </w:pPr>
            <w:r>
              <w:rPr>
                <w:rFonts w:ascii="Courier New" w:cs="Courier New" w:eastAsia="Courier New" w:hAnsi="Courier New"/>
                <w:sz w:val="16"/>
                <w:szCs w:val="16"/>
                <w:color w:val="auto"/>
              </w:rPr>
              <w:t>Common Shares</w:t>
            </w:r>
          </w:p>
        </w:tc>
        <w:tc>
          <w:tcPr>
            <w:tcW w:w="2360" w:type="dxa"/>
            <w:vAlign w:val="bottom"/>
          </w:tcPr>
          <w:p>
            <w:pPr>
              <w:ind w:left="400"/>
              <w:spacing w:after="0"/>
              <w:rPr>
                <w:sz w:val="20"/>
                <w:szCs w:val="20"/>
                <w:color w:val="auto"/>
              </w:rPr>
            </w:pPr>
            <w:r>
              <w:rPr>
                <w:rFonts w:ascii="Courier New" w:cs="Courier New" w:eastAsia="Courier New" w:hAnsi="Courier New"/>
                <w:sz w:val="16"/>
                <w:szCs w:val="16"/>
                <w:color w:val="auto"/>
              </w:rPr>
              <w:t>Amount of Cash to be</w:t>
            </w:r>
          </w:p>
        </w:tc>
      </w:tr>
      <w:tr>
        <w:trPr>
          <w:trHeight w:val="190"/>
        </w:trPr>
        <w:tc>
          <w:tcPr>
            <w:tcW w:w="2620" w:type="dxa"/>
            <w:vAlign w:val="bottom"/>
          </w:tcPr>
          <w:p>
            <w:pPr>
              <w:spacing w:after="0"/>
              <w:rPr>
                <w:sz w:val="16"/>
                <w:szCs w:val="16"/>
                <w:color w:val="auto"/>
              </w:rPr>
            </w:pPr>
          </w:p>
        </w:tc>
        <w:tc>
          <w:tcPr>
            <w:tcW w:w="3200" w:type="dxa"/>
            <w:vAlign w:val="bottom"/>
          </w:tcPr>
          <w:p>
            <w:pPr>
              <w:jc w:val="center"/>
              <w:ind w:left="638"/>
              <w:spacing w:after="0"/>
              <w:rPr>
                <w:sz w:val="20"/>
                <w:szCs w:val="20"/>
                <w:color w:val="auto"/>
              </w:rPr>
            </w:pPr>
            <w:r>
              <w:rPr>
                <w:rFonts w:ascii="Courier New" w:cs="Courier New" w:eastAsia="Courier New" w:hAnsi="Courier New"/>
                <w:sz w:val="16"/>
                <w:szCs w:val="16"/>
                <w:color w:val="auto"/>
              </w:rPr>
              <w:t>Number of Shares of</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into which</w:t>
            </w:r>
          </w:p>
        </w:tc>
        <w:tc>
          <w:tcPr>
            <w:tcW w:w="1820" w:type="dxa"/>
            <w:vAlign w:val="bottom"/>
          </w:tcPr>
          <w:p>
            <w:pPr>
              <w:ind w:left="60"/>
              <w:spacing w:after="0"/>
              <w:rPr>
                <w:sz w:val="20"/>
                <w:szCs w:val="20"/>
                <w:color w:val="auto"/>
              </w:rPr>
            </w:pPr>
            <w:r>
              <w:rPr>
                <w:rFonts w:ascii="Courier New" w:cs="Courier New" w:eastAsia="Courier New" w:hAnsi="Courier New"/>
                <w:sz w:val="16"/>
                <w:szCs w:val="16"/>
                <w:color w:val="auto"/>
              </w:rPr>
              <w:t>Said Shares of</w:t>
            </w:r>
          </w:p>
        </w:tc>
        <w:tc>
          <w:tcPr>
            <w:tcW w:w="2360" w:type="dxa"/>
            <w:vAlign w:val="bottom"/>
          </w:tcPr>
          <w:p>
            <w:pPr>
              <w:ind w:left="300"/>
              <w:spacing w:after="0"/>
              <w:rPr>
                <w:sz w:val="20"/>
                <w:szCs w:val="20"/>
                <w:color w:val="auto"/>
              </w:rPr>
            </w:pPr>
            <w:r>
              <w:rPr>
                <w:rFonts w:ascii="Courier New" w:cs="Courier New" w:eastAsia="Courier New" w:hAnsi="Courier New"/>
                <w:sz w:val="16"/>
                <w:szCs w:val="16"/>
                <w:color w:val="auto"/>
              </w:rPr>
              <w:t>Received Pursuant to</w:t>
            </w:r>
          </w:p>
        </w:tc>
      </w:tr>
      <w:tr>
        <w:trPr>
          <w:trHeight w:val="190"/>
        </w:trPr>
        <w:tc>
          <w:tcPr>
            <w:tcW w:w="2620" w:type="dxa"/>
            <w:vAlign w:val="bottom"/>
          </w:tcPr>
          <w:p>
            <w:pPr>
              <w:spacing w:after="0"/>
              <w:rPr>
                <w:sz w:val="20"/>
                <w:szCs w:val="20"/>
                <w:color w:val="auto"/>
              </w:rPr>
            </w:pPr>
            <w:r>
              <w:rPr>
                <w:rFonts w:ascii="Courier New" w:cs="Courier New" w:eastAsia="Courier New" w:hAnsi="Courier New"/>
                <w:sz w:val="16"/>
                <w:szCs w:val="16"/>
                <w:color w:val="auto"/>
              </w:rPr>
              <w:t>Name of Preferred</w:t>
            </w:r>
          </w:p>
        </w:tc>
        <w:tc>
          <w:tcPr>
            <w:tcW w:w="3200" w:type="dxa"/>
            <w:vAlign w:val="bottom"/>
          </w:tcPr>
          <w:p>
            <w:pPr>
              <w:jc w:val="center"/>
              <w:ind w:left="638"/>
              <w:spacing w:after="0"/>
              <w:rPr>
                <w:sz w:val="20"/>
                <w:szCs w:val="20"/>
                <w:color w:val="auto"/>
              </w:rPr>
            </w:pPr>
            <w:r>
              <w:rPr>
                <w:rFonts w:ascii="Courier New" w:cs="Courier New" w:eastAsia="Courier New" w:hAnsi="Courier New"/>
                <w:sz w:val="16"/>
                <w:szCs w:val="16"/>
                <w:color w:val="auto"/>
              </w:rPr>
              <w:t>Convertible Preferred</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Convertible</w:t>
            </w:r>
          </w:p>
        </w:tc>
        <w:tc>
          <w:tcPr>
            <w:tcW w:w="1820" w:type="dxa"/>
            <w:vAlign w:val="bottom"/>
          </w:tcPr>
          <w:p>
            <w:pPr>
              <w:ind w:left="60"/>
              <w:spacing w:after="0"/>
              <w:rPr>
                <w:sz w:val="20"/>
                <w:szCs w:val="20"/>
                <w:color w:val="auto"/>
              </w:rPr>
            </w:pPr>
            <w:r>
              <w:rPr>
                <w:rFonts w:ascii="Courier New" w:cs="Courier New" w:eastAsia="Courier New" w:hAnsi="Courier New"/>
                <w:sz w:val="16"/>
                <w:szCs w:val="16"/>
                <w:color w:val="auto"/>
              </w:rPr>
              <w:t>Preferred Stock</w:t>
            </w:r>
          </w:p>
        </w:tc>
        <w:tc>
          <w:tcPr>
            <w:tcW w:w="2360" w:type="dxa"/>
            <w:vAlign w:val="bottom"/>
          </w:tcPr>
          <w:p>
            <w:pPr>
              <w:ind w:left="700"/>
              <w:spacing w:after="0"/>
              <w:rPr>
                <w:sz w:val="20"/>
                <w:szCs w:val="20"/>
                <w:color w:val="auto"/>
              </w:rPr>
            </w:pPr>
            <w:r>
              <w:rPr>
                <w:rFonts w:ascii="Courier New" w:cs="Courier New" w:eastAsia="Courier New" w:hAnsi="Courier New"/>
                <w:sz w:val="16"/>
                <w:szCs w:val="16"/>
                <w:color w:val="auto"/>
              </w:rPr>
              <w:t>Section 2(b) of</w:t>
            </w:r>
          </w:p>
        </w:tc>
      </w:tr>
    </w:tbl>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0" w:type="dxa"/>
            <w:vAlign w:val="bottom"/>
          </w:tcPr>
          <w:p>
            <w:pPr>
              <w:ind w:left="500"/>
              <w:spacing w:after="0"/>
              <w:rPr>
                <w:sz w:val="20"/>
                <w:szCs w:val="20"/>
                <w:color w:val="auto"/>
              </w:rPr>
            </w:pPr>
            <w:r>
              <w:rPr>
                <w:rFonts w:ascii="Courier New" w:cs="Courier New" w:eastAsia="Courier New" w:hAnsi="Courier New"/>
                <w:sz w:val="16"/>
                <w:szCs w:val="16"/>
                <w:color w:val="auto"/>
              </w:rPr>
              <w:t>Shareholder</w:t>
            </w:r>
          </w:p>
        </w:tc>
        <w:tc>
          <w:tcPr>
            <w:tcW w:w="262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Stock Owned</w:t>
            </w:r>
          </w:p>
        </w:tc>
        <w:tc>
          <w:tcPr>
            <w:tcW w:w="2960" w:type="dxa"/>
            <w:vAlign w:val="bottom"/>
          </w:tcPr>
          <w:p>
            <w:pPr>
              <w:jc w:val="right"/>
              <w:ind w:right="718"/>
              <w:spacing w:after="0"/>
              <w:rPr>
                <w:sz w:val="20"/>
                <w:szCs w:val="20"/>
                <w:color w:val="auto"/>
              </w:rPr>
            </w:pPr>
            <w:r>
              <w:rPr>
                <w:rFonts w:ascii="Courier New" w:cs="Courier New" w:eastAsia="Courier New" w:hAnsi="Courier New"/>
                <w:sz w:val="16"/>
                <w:szCs w:val="16"/>
                <w:color w:val="auto"/>
              </w:rPr>
              <w:t>are Convertible</w:t>
            </w:r>
          </w:p>
        </w:tc>
        <w:tc>
          <w:tcPr>
            <w:tcW w:w="2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First Amendment</w:t>
            </w:r>
          </w:p>
        </w:tc>
      </w:tr>
      <w:tr>
        <w:trPr>
          <w:trHeight w:val="190"/>
        </w:trPr>
        <w:tc>
          <w:tcPr>
            <w:tcW w:w="3400" w:type="dxa"/>
            <w:vAlign w:val="bottom"/>
          </w:tcPr>
          <w:p>
            <w:pPr>
              <w:ind w:left="500"/>
              <w:spacing w:after="0"/>
              <w:rPr>
                <w:sz w:val="20"/>
                <w:szCs w:val="20"/>
                <w:color w:val="auto"/>
              </w:rPr>
            </w:pPr>
            <w:r>
              <w:rPr>
                <w:rFonts w:ascii="Courier New" w:cs="Courier New" w:eastAsia="Courier New" w:hAnsi="Courier New"/>
                <w:sz w:val="16"/>
                <w:szCs w:val="16"/>
                <w:color w:val="auto"/>
              </w:rPr>
              <w:t>-----------</w:t>
            </w:r>
          </w:p>
        </w:tc>
        <w:tc>
          <w:tcPr>
            <w:tcW w:w="2620" w:type="dxa"/>
            <w:vAlign w:val="bottom"/>
          </w:tcPr>
          <w:p>
            <w:pPr>
              <w:jc w:val="right"/>
              <w:ind w:right="618"/>
              <w:spacing w:after="0"/>
              <w:rPr>
                <w:sz w:val="20"/>
                <w:szCs w:val="20"/>
                <w:color w:val="auto"/>
              </w:rPr>
            </w:pPr>
            <w:r>
              <w:rPr>
                <w:rFonts w:ascii="Courier New" w:cs="Courier New" w:eastAsia="Courier New" w:hAnsi="Courier New"/>
                <w:sz w:val="16"/>
                <w:szCs w:val="16"/>
                <w:color w:val="auto"/>
              </w:rPr>
              <w:t>-----------</w:t>
            </w:r>
          </w:p>
        </w:tc>
        <w:tc>
          <w:tcPr>
            <w:tcW w:w="2960" w:type="dxa"/>
            <w:vAlign w:val="bottom"/>
          </w:tcPr>
          <w:p>
            <w:pPr>
              <w:jc w:val="right"/>
              <w:ind w:right="718"/>
              <w:spacing w:after="0"/>
              <w:rPr>
                <w:sz w:val="20"/>
                <w:szCs w:val="20"/>
                <w:color w:val="auto"/>
              </w:rPr>
            </w:pPr>
            <w:r>
              <w:rPr>
                <w:rFonts w:ascii="Courier New" w:cs="Courier New" w:eastAsia="Courier New" w:hAnsi="Courier New"/>
                <w:sz w:val="16"/>
                <w:szCs w:val="16"/>
                <w:color w:val="auto"/>
              </w:rPr>
              <w:t>---------------</w:t>
            </w:r>
          </w:p>
        </w:tc>
        <w:tc>
          <w:tcPr>
            <w:tcW w:w="22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9"/>
        </w:trPr>
        <w:tc>
          <w:tcPr>
            <w:tcW w:w="3400" w:type="dxa"/>
            <w:vAlign w:val="bottom"/>
          </w:tcPr>
          <w:p>
            <w:pPr>
              <w:spacing w:after="0"/>
              <w:rPr>
                <w:sz w:val="20"/>
                <w:szCs w:val="20"/>
                <w:color w:val="auto"/>
              </w:rPr>
            </w:pPr>
            <w:r>
              <w:rPr>
                <w:rFonts w:ascii="Courier New" w:cs="Courier New" w:eastAsia="Courier New" w:hAnsi="Courier New"/>
                <w:sz w:val="16"/>
                <w:szCs w:val="16"/>
                <w:color w:val="auto"/>
              </w:rPr>
              <w:t>Hagedorn Partnership, L.P.</w:t>
            </w:r>
          </w:p>
        </w:tc>
        <w:tc>
          <w:tcPr>
            <w:tcW w:w="2620" w:type="dxa"/>
            <w:vAlign w:val="bottom"/>
          </w:tcPr>
          <w:p>
            <w:pPr>
              <w:jc w:val="right"/>
              <w:ind w:right="818"/>
              <w:spacing w:after="0"/>
              <w:rPr>
                <w:sz w:val="20"/>
                <w:szCs w:val="20"/>
                <w:color w:val="auto"/>
              </w:rPr>
            </w:pPr>
            <w:r>
              <w:rPr>
                <w:rFonts w:ascii="Courier New" w:cs="Courier New" w:eastAsia="Courier New" w:hAnsi="Courier New"/>
                <w:sz w:val="16"/>
                <w:szCs w:val="16"/>
                <w:color w:val="auto"/>
              </w:rPr>
              <w:t>187,523</w:t>
            </w:r>
          </w:p>
        </w:tc>
        <w:tc>
          <w:tcPr>
            <w:tcW w:w="2960" w:type="dxa"/>
            <w:vAlign w:val="bottom"/>
          </w:tcPr>
          <w:p>
            <w:pPr>
              <w:jc w:val="right"/>
              <w:ind w:right="818"/>
              <w:spacing w:after="0"/>
              <w:rPr>
                <w:sz w:val="20"/>
                <w:szCs w:val="20"/>
                <w:color w:val="auto"/>
              </w:rPr>
            </w:pPr>
            <w:r>
              <w:rPr>
                <w:rFonts w:ascii="Courier New" w:cs="Courier New" w:eastAsia="Courier New" w:hAnsi="Courier New"/>
                <w:sz w:val="16"/>
                <w:szCs w:val="16"/>
                <w:color w:val="auto"/>
              </w:rPr>
              <w:t>9,869,631.58*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6,250,766.67</w:t>
            </w:r>
          </w:p>
        </w:tc>
      </w:tr>
      <w:tr>
        <w:trPr>
          <w:trHeight w:val="379"/>
        </w:trPr>
        <w:tc>
          <w:tcPr>
            <w:tcW w:w="3400" w:type="dxa"/>
            <w:vAlign w:val="bottom"/>
          </w:tcPr>
          <w:p>
            <w:pPr>
              <w:spacing w:after="0"/>
              <w:rPr>
                <w:sz w:val="20"/>
                <w:szCs w:val="20"/>
                <w:color w:val="auto"/>
              </w:rPr>
            </w:pPr>
            <w:r>
              <w:rPr>
                <w:rFonts w:ascii="Courier New" w:cs="Courier New" w:eastAsia="Courier New" w:hAnsi="Courier New"/>
                <w:sz w:val="16"/>
                <w:szCs w:val="16"/>
                <w:color w:val="auto"/>
              </w:rPr>
              <w:t>Horace Hagedorn</w:t>
            </w:r>
          </w:p>
        </w:tc>
        <w:tc>
          <w:tcPr>
            <w:tcW w:w="2620" w:type="dxa"/>
            <w:vAlign w:val="bottom"/>
          </w:tcPr>
          <w:p>
            <w:pPr>
              <w:jc w:val="right"/>
              <w:ind w:right="818"/>
              <w:spacing w:after="0"/>
              <w:rPr>
                <w:sz w:val="20"/>
                <w:szCs w:val="20"/>
                <w:color w:val="auto"/>
              </w:rPr>
            </w:pPr>
            <w:r>
              <w:rPr>
                <w:rFonts w:ascii="Courier New" w:cs="Courier New" w:eastAsia="Courier New" w:hAnsi="Courier New"/>
                <w:sz w:val="16"/>
                <w:szCs w:val="16"/>
                <w:color w:val="auto"/>
              </w:rPr>
              <w:t>10</w:t>
            </w:r>
          </w:p>
        </w:tc>
        <w:tc>
          <w:tcPr>
            <w:tcW w:w="2960" w:type="dxa"/>
            <w:vAlign w:val="bottom"/>
          </w:tcPr>
          <w:p>
            <w:pPr>
              <w:jc w:val="right"/>
              <w:ind w:right="818"/>
              <w:spacing w:after="0"/>
              <w:rPr>
                <w:sz w:val="20"/>
                <w:szCs w:val="20"/>
                <w:color w:val="auto"/>
              </w:rPr>
            </w:pPr>
            <w:r>
              <w:rPr>
                <w:rFonts w:ascii="Courier New" w:cs="Courier New" w:eastAsia="Courier New" w:hAnsi="Courier New"/>
                <w:sz w:val="16"/>
                <w:szCs w:val="16"/>
                <w:color w:val="auto"/>
              </w:rPr>
              <w:t>526.32*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333.33</w:t>
            </w:r>
          </w:p>
        </w:tc>
      </w:tr>
      <w:tr>
        <w:trPr>
          <w:trHeight w:val="379"/>
        </w:trPr>
        <w:tc>
          <w:tcPr>
            <w:tcW w:w="3400" w:type="dxa"/>
            <w:vAlign w:val="bottom"/>
          </w:tcPr>
          <w:p>
            <w:pPr>
              <w:spacing w:after="0"/>
              <w:rPr>
                <w:sz w:val="20"/>
                <w:szCs w:val="20"/>
                <w:color w:val="auto"/>
              </w:rPr>
            </w:pPr>
            <w:r>
              <w:rPr>
                <w:rFonts w:ascii="Courier New" w:cs="Courier New" w:eastAsia="Courier New" w:hAnsi="Courier New"/>
                <w:sz w:val="16"/>
                <w:szCs w:val="16"/>
                <w:color w:val="auto"/>
              </w:rPr>
              <w:t>John Kenlon</w:t>
            </w:r>
          </w:p>
        </w:tc>
        <w:tc>
          <w:tcPr>
            <w:tcW w:w="2620" w:type="dxa"/>
            <w:vAlign w:val="bottom"/>
          </w:tcPr>
          <w:p>
            <w:pPr>
              <w:jc w:val="right"/>
              <w:ind w:right="818"/>
              <w:spacing w:after="0"/>
              <w:rPr>
                <w:sz w:val="20"/>
                <w:szCs w:val="20"/>
                <w:color w:val="auto"/>
              </w:rPr>
            </w:pPr>
            <w:r>
              <w:rPr>
                <w:rFonts w:ascii="Courier New" w:cs="Courier New" w:eastAsia="Courier New" w:hAnsi="Courier New"/>
                <w:sz w:val="16"/>
                <w:szCs w:val="16"/>
                <w:color w:val="auto"/>
              </w:rPr>
              <w:t>3,761</w:t>
            </w:r>
          </w:p>
        </w:tc>
        <w:tc>
          <w:tcPr>
            <w:tcW w:w="2960" w:type="dxa"/>
            <w:vAlign w:val="bottom"/>
          </w:tcPr>
          <w:p>
            <w:pPr>
              <w:jc w:val="right"/>
              <w:ind w:right="818"/>
              <w:spacing w:after="0"/>
              <w:rPr>
                <w:sz w:val="20"/>
                <w:szCs w:val="20"/>
                <w:color w:val="auto"/>
              </w:rPr>
            </w:pPr>
            <w:r>
              <w:rPr>
                <w:rFonts w:ascii="Courier New" w:cs="Courier New" w:eastAsia="Courier New" w:hAnsi="Courier New"/>
                <w:sz w:val="16"/>
                <w:szCs w:val="16"/>
                <w:color w:val="auto"/>
              </w:rPr>
              <w:t>197,947.37*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125,366.67</w:t>
            </w: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jc w:val="both"/>
        <w:ind w:left="300" w:right="3640" w:hanging="299"/>
        <w:spacing w:after="0" w:line="253" w:lineRule="auto"/>
        <w:tabs>
          <w:tab w:leader="none" w:pos="3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lieu of fractional share interest, Preferred Shareholder will receive cash equal to such fractional interest multiplied by "market price" (as determined under terms of Convertible Preferred Stock) at time of conversion.</w:t>
      </w:r>
    </w:p>
    <w:p>
      <w:pPr>
        <w:spacing w:after="0" w:line="185"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1520"/>
          </w:cols>
          <w:pgMar w:left="240" w:top="306" w:right="139" w:bottom="1440" w:gutter="0" w:footer="0" w:header="0"/>
        </w:sectPr>
      </w:pPr>
    </w:p>
    <w:bookmarkStart w:id="13" w:name="page14"/>
    <w:bookmarkEnd w:id="13"/>
    <w:p>
      <w:pPr>
        <w:ind w:left="300"/>
        <w:spacing w:after="0"/>
        <w:rPr>
          <w:sz w:val="20"/>
          <w:szCs w:val="20"/>
          <w:color w:val="auto"/>
        </w:rPr>
      </w:pPr>
      <w:r>
        <w:rPr>
          <w:rFonts w:ascii="Courier New" w:cs="Courier New" w:eastAsia="Courier New" w:hAnsi="Courier New"/>
          <w:sz w:val="16"/>
          <w:szCs w:val="16"/>
          <w:color w:val="auto"/>
        </w:rPr>
        <w:t>1</w:t>
      </w:r>
    </w:p>
    <w:p>
      <w:pPr>
        <w:spacing w:after="0" w:line="8" w:lineRule="exact"/>
        <w:rPr>
          <w:sz w:val="20"/>
          <w:szCs w:val="20"/>
          <w:color w:val="auto"/>
        </w:rPr>
      </w:pPr>
    </w:p>
    <w:p>
      <w:pPr>
        <w:ind w:left="6900"/>
        <w:spacing w:after="0"/>
        <w:rPr>
          <w:sz w:val="20"/>
          <w:szCs w:val="20"/>
          <w:color w:val="auto"/>
        </w:rPr>
      </w:pPr>
      <w:r>
        <w:rPr>
          <w:rFonts w:ascii="Courier New" w:cs="Courier New" w:eastAsia="Courier New" w:hAnsi="Courier New"/>
          <w:sz w:val="16"/>
          <w:szCs w:val="16"/>
          <w:color w:val="auto"/>
        </w:rPr>
        <w:t>Exhibit 99</w:t>
      </w:r>
    </w:p>
    <w:p>
      <w:pPr>
        <w:spacing w:after="0" w:line="198" w:lineRule="exact"/>
        <w:rPr>
          <w:sz w:val="20"/>
          <w:szCs w:val="20"/>
          <w:color w:val="auto"/>
        </w:rPr>
      </w:pPr>
    </w:p>
    <w:p>
      <w:pPr>
        <w:spacing w:after="0"/>
        <w:tabs>
          <w:tab w:leader="none" w:pos="7480" w:val="left"/>
        </w:tabs>
        <w:rPr>
          <w:sz w:val="20"/>
          <w:szCs w:val="20"/>
          <w:color w:val="auto"/>
        </w:rPr>
      </w:pPr>
      <w:r>
        <w:rPr>
          <w:rFonts w:ascii="Courier New" w:cs="Courier New" w:eastAsia="Courier New" w:hAnsi="Courier New"/>
          <w:sz w:val="16"/>
          <w:szCs w:val="16"/>
          <w:color w:val="auto"/>
        </w:rPr>
        <w:t>THE SCOTTS COMPANY</w:t>
      </w:r>
      <w:r>
        <w:rPr>
          <w:sz w:val="20"/>
          <w:szCs w:val="20"/>
          <w:color w:val="auto"/>
        </w:rPr>
        <w:tab/>
      </w:r>
      <w:r>
        <w:rPr>
          <w:rFonts w:ascii="Courier New" w:cs="Courier New" w:eastAsia="Courier New" w:hAnsi="Courier New"/>
          <w:sz w:val="15"/>
          <w:szCs w:val="15"/>
          <w:color w:val="auto"/>
        </w:rPr>
        <w:t>NEWS</w:t>
      </w:r>
    </w:p>
    <w:p>
      <w:pPr>
        <w:spacing w:after="0" w:line="8" w:lineRule="exact"/>
        <w:rPr>
          <w:sz w:val="20"/>
          <w:szCs w:val="20"/>
          <w:color w:val="auto"/>
        </w:rPr>
      </w:pPr>
    </w:p>
    <w:p>
      <w:pPr>
        <w:ind w:left="200" w:hanging="199"/>
        <w:spacing w:after="0"/>
        <w:tabs>
          <w:tab w:leader="none" w:pos="2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12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SCOTTS' PREFERRED SHAREHOLDERS CONVERT SHARES TO COMMON</w:t>
      </w:r>
    </w:p>
    <w:p>
      <w:pPr>
        <w:spacing w:after="0" w:line="388"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COLUMBUS, OHIO -- October 4, 1999 -- The Scotts Company (NYSE:SMG) announced that its preferred shareholders had converted all of their Class A Convertible Preferred Shares ("Preferred Shares") into approximately 10.1 million common shares today. In exchange for this early conversion, shareholders consisting primarily of the Hagedorn Partnership, L.P., received a payment of approximately $6.4 million, representing the amount of the dividends on the Preferred Shares that would otherwise have been payable through May 2000. Scotts agreed to accelerate the termination of certain standstill provisions in the Miracle-Gro Merger Agreement that would otherwise have terminated in May 2000, the month the Preferred Shares first could have been redeemed by the Company.</w:t>
      </w:r>
    </w:p>
    <w:p>
      <w:pPr>
        <w:spacing w:after="0" w:line="190" w:lineRule="exact"/>
        <w:rPr>
          <w:sz w:val="20"/>
          <w:szCs w:val="20"/>
          <w:color w:val="auto"/>
        </w:rPr>
      </w:pPr>
    </w:p>
    <w:p>
      <w:pPr>
        <w:ind w:right="2519"/>
        <w:spacing w:after="0" w:line="253" w:lineRule="auto"/>
        <w:rPr>
          <w:sz w:val="20"/>
          <w:szCs w:val="20"/>
          <w:color w:val="auto"/>
        </w:rPr>
      </w:pPr>
      <w:r>
        <w:rPr>
          <w:rFonts w:ascii="Courier New" w:cs="Courier New" w:eastAsia="Courier New" w:hAnsi="Courier New"/>
          <w:sz w:val="16"/>
          <w:szCs w:val="16"/>
          <w:color w:val="auto"/>
        </w:rPr>
        <w:t>The Preferred Shares, issued in conjunction with Scotts' 1995 merger with Miracle-Gro, had a face value of $195 million, and an annual dividend yield of 5% or approximately $9.8 million.</w:t>
      </w:r>
    </w:p>
    <w:p>
      <w:pPr>
        <w:spacing w:after="0" w:line="185"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6"/>
          <w:szCs w:val="16"/>
          <w:color w:val="auto"/>
        </w:rPr>
        <w:t>Upon completion of the conversion, Scotts expects its number of basic common shares outstanding to be approximately 28.6 million shares.</w:t>
      </w:r>
    </w:p>
    <w:p>
      <w:pPr>
        <w:spacing w:after="0" w:line="184"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In addition to reducing Scotts' future cash flow requirements by the amount of the $9.8 million annual dividend, the conversion of the Preferred Shares will simplify the Company's earnings per share calculation. Due to seasonal factors, Scotts has historically recognized a loss in its first and fourth fiscal quarters. In addition, due to the existence of the Preferred Shares and other securities exercisable into common shares, the number of actual common shares outstanding have differed significantly from the number that would be outstanding on a fully diluted basis. Generally accepted accounting principles require the calculation of diluted earnings per share in loss periods to be based on the actual number of common shares outstanding, while the calculation for profitable quarters is based on the number of common shares outstanding on a diluted basis. As a result, the Company's annual diluted earnings per share did not equal the sum of the individual quarters. The conversion of the Preferred Shares will greatly reduce this difference (but will not reduce it entirely due to other securities exercisable into common shares), and should improve the calculation of Scotts' price earnings ratios and market capitalization by investors, financial information services and media.</w:t>
      </w:r>
    </w:p>
    <w:p>
      <w:pPr>
        <w:spacing w:after="0" w:line="190" w:lineRule="exact"/>
        <w:rPr>
          <w:sz w:val="20"/>
          <w:szCs w:val="20"/>
          <w:color w:val="auto"/>
        </w:rPr>
      </w:pPr>
    </w:p>
    <w:p>
      <w:pPr>
        <w:ind w:right="2339"/>
        <w:spacing w:after="0" w:line="253" w:lineRule="auto"/>
        <w:rPr>
          <w:sz w:val="20"/>
          <w:szCs w:val="20"/>
          <w:color w:val="auto"/>
        </w:rPr>
      </w:pPr>
      <w:r>
        <w:rPr>
          <w:rFonts w:ascii="Courier New" w:cs="Courier New" w:eastAsia="Courier New" w:hAnsi="Courier New"/>
          <w:sz w:val="16"/>
          <w:szCs w:val="16"/>
          <w:color w:val="auto"/>
        </w:rPr>
        <w:t>For more information on The Scotts Company including access to the company's SEC filings, please visit our newly expanded investor relations web site at www.smgnyse.com.</w:t>
      </w:r>
    </w:p>
    <w:p>
      <w:pPr>
        <w:spacing w:after="0" w:line="185"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The Scotts Company is the world's leading supplier of consumer products for lawn and garden care, with a full range of products for professional turf care and horticulture as well. The company owns what are by far the industry's most recognized brands. In the U.S., consumer awareness of the company's Scotts(R), Miracle-Gro(R) and Ortho(R) brands outscores the nearest competitors in their categories by several times, as does awareness of the consumer Roundup(R) brand which is owned by Monsanto. Scotts has entered into an agreement with Monsanto to be the exclusive marketing agent for consumer Roundup(R) worldwide. In the U.K., Scotts' brands</w:t>
      </w:r>
    </w:p>
    <w:p>
      <w:pPr>
        <w:sectPr>
          <w:pgSz w:w="11900" w:h="16838" w:orient="portrait"/>
          <w:cols w:equalWidth="0" w:num="1">
            <w:col w:w="10219"/>
          </w:cols>
          <w:pgMar w:left="240" w:top="142" w:right="1440" w:bottom="1440" w:gutter="0" w:footer="0" w:header="0"/>
        </w:sectPr>
      </w:pPr>
    </w:p>
    <w:bookmarkStart w:id="14" w:name="page15"/>
    <w:bookmarkEnd w:id="14"/>
    <w:p>
      <w:pPr>
        <w:ind w:left="300"/>
        <w:spacing w:after="0"/>
        <w:rPr>
          <w:sz w:val="20"/>
          <w:szCs w:val="20"/>
          <w:color w:val="auto"/>
        </w:rPr>
      </w:pPr>
      <w:r>
        <w:rPr>
          <w:rFonts w:ascii="Courier New" w:cs="Courier New" w:eastAsia="Courier New" w:hAnsi="Courier New"/>
          <w:sz w:val="16"/>
          <w:szCs w:val="16"/>
          <w:color w:val="auto"/>
        </w:rPr>
        <w:t>2</w:t>
      </w:r>
    </w:p>
    <w:p>
      <w:pPr>
        <w:spacing w:after="0" w:line="8" w:lineRule="exact"/>
        <w:rPr>
          <w:sz w:val="20"/>
          <w:szCs w:val="20"/>
          <w:color w:val="auto"/>
        </w:rPr>
      </w:pPr>
    </w:p>
    <w:p>
      <w:pPr>
        <w:ind w:right="2439"/>
        <w:spacing w:after="0" w:line="252" w:lineRule="auto"/>
        <w:rPr>
          <w:sz w:val="20"/>
          <w:szCs w:val="20"/>
          <w:color w:val="auto"/>
        </w:rPr>
      </w:pPr>
      <w:r>
        <w:rPr>
          <w:rFonts w:ascii="Courier New" w:cs="Courier New" w:eastAsia="Courier New" w:hAnsi="Courier New"/>
          <w:sz w:val="16"/>
          <w:szCs w:val="16"/>
          <w:color w:val="auto"/>
        </w:rPr>
        <w:t>include Weedol(R) and Pathclear(R), the top-selling consumer herbicides; Evergreen(R), the leading lawn fertilizer line, the Levington(R) line of lawn and garden products; and Miracle-Gro(R), the leading plant fertilizer. The Company's leading brands in continental Europe include KB(R) and Fertiligene(R) in France and NexaLotte(R) and Celaflor(R) in Germany.</w:t>
      </w:r>
    </w:p>
    <w:p>
      <w:pPr>
        <w:spacing w:after="0" w:line="186" w:lineRule="exact"/>
        <w:rPr>
          <w:sz w:val="20"/>
          <w:szCs w:val="20"/>
          <w:color w:val="auto"/>
        </w:rPr>
      </w:pPr>
    </w:p>
    <w:p>
      <w:pPr>
        <w:ind w:right="2339"/>
        <w:spacing w:after="0" w:line="251" w:lineRule="auto"/>
        <w:rPr>
          <w:sz w:val="20"/>
          <w:szCs w:val="20"/>
          <w:color w:val="auto"/>
        </w:rPr>
      </w:pPr>
      <w:r>
        <w:rPr>
          <w:rFonts w:ascii="Courier New" w:cs="Courier New" w:eastAsia="Courier New" w:hAnsi="Courier New"/>
          <w:sz w:val="16"/>
          <w:szCs w:val="16"/>
          <w:color w:val="auto"/>
        </w:rPr>
        <w:t>Statement under the Private Securities Litigation Act of 1995: Certain of the statements contained in this press release, including, but not limited to, information regarding the future economic performance and financial condition of the company, the plans and objectives of the company's management, and the company's assumptions regarding such performance and plans are forward looking in nature. Actual results could differ from the forward looking information in this release, due to a variety of factors, including, but not limited to:</w:t>
      </w:r>
    </w:p>
    <w:p>
      <w:pPr>
        <w:spacing w:after="0" w:line="190" w:lineRule="exact"/>
        <w:rPr>
          <w:sz w:val="20"/>
          <w:szCs w:val="20"/>
          <w:color w:val="auto"/>
        </w:rPr>
      </w:pPr>
    </w:p>
    <w:p>
      <w:pPr>
        <w:ind w:left="500" w:right="3019" w:hanging="499"/>
        <w:spacing w:after="0" w:line="255" w:lineRule="auto"/>
        <w:tabs>
          <w:tab w:leader="none" w:pos="5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marketplace acceptance of the Company's "pull" advertising marketing strategies;</w:t>
      </w:r>
    </w:p>
    <w:p>
      <w:pPr>
        <w:spacing w:after="0" w:line="183" w:lineRule="exact"/>
        <w:rPr>
          <w:rFonts w:ascii="Courier New" w:cs="Courier New" w:eastAsia="Courier New" w:hAnsi="Courier New"/>
          <w:sz w:val="16"/>
          <w:szCs w:val="16"/>
          <w:color w:val="auto"/>
        </w:rPr>
      </w:pPr>
    </w:p>
    <w:p>
      <w:pPr>
        <w:ind w:left="500" w:right="2819" w:hanging="499"/>
        <w:spacing w:after="0" w:line="255" w:lineRule="auto"/>
        <w:tabs>
          <w:tab w:leader="none" w:pos="5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to maintain profit margins and to produce products and add production capacity on a timely basis;</w:t>
      </w:r>
    </w:p>
    <w:p>
      <w:pPr>
        <w:spacing w:after="0" w:line="183" w:lineRule="exact"/>
        <w:rPr>
          <w:rFonts w:ascii="Courier New" w:cs="Courier New" w:eastAsia="Courier New" w:hAnsi="Courier New"/>
          <w:sz w:val="16"/>
          <w:szCs w:val="16"/>
          <w:color w:val="auto"/>
        </w:rPr>
      </w:pPr>
    </w:p>
    <w:p>
      <w:pPr>
        <w:ind w:left="500" w:right="2619" w:hanging="499"/>
        <w:spacing w:after="0" w:line="255" w:lineRule="auto"/>
        <w:tabs>
          <w:tab w:leader="none" w:pos="5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in the North American and European consumer and professional segments;</w:t>
      </w:r>
    </w:p>
    <w:p>
      <w:pPr>
        <w:spacing w:after="0" w:line="183" w:lineRule="exact"/>
        <w:rPr>
          <w:rFonts w:ascii="Courier New" w:cs="Courier New" w:eastAsia="Courier New" w:hAnsi="Courier New"/>
          <w:sz w:val="16"/>
          <w:szCs w:val="16"/>
          <w:color w:val="auto"/>
        </w:rPr>
      </w:pPr>
    </w:p>
    <w:p>
      <w:pPr>
        <w:ind w:left="500" w:right="2439" w:hanging="499"/>
        <w:spacing w:after="0" w:line="255" w:lineRule="auto"/>
        <w:tabs>
          <w:tab w:leader="none" w:pos="5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Competition between and the recent consolidation within the retail outlets selling the Company's products;</w:t>
      </w:r>
    </w:p>
    <w:p>
      <w:pPr>
        <w:spacing w:after="0" w:line="183" w:lineRule="exact"/>
        <w:rPr>
          <w:rFonts w:ascii="Courier New" w:cs="Courier New" w:eastAsia="Courier New" w:hAnsi="Courier New"/>
          <w:sz w:val="16"/>
          <w:szCs w:val="16"/>
          <w:color w:val="auto"/>
        </w:rPr>
      </w:pPr>
    </w:p>
    <w:p>
      <w:pPr>
        <w:ind w:left="500" w:hanging="499"/>
        <w:spacing w:after="0"/>
        <w:tabs>
          <w:tab w:leader="none" w:pos="5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Public perceptions regarding the safety of the Company's products;</w:t>
      </w:r>
    </w:p>
    <w:p>
      <w:pPr>
        <w:spacing w:after="0" w:line="197" w:lineRule="exact"/>
        <w:rPr>
          <w:rFonts w:ascii="Courier New" w:cs="Courier New" w:eastAsia="Courier New" w:hAnsi="Courier New"/>
          <w:sz w:val="16"/>
          <w:szCs w:val="16"/>
          <w:color w:val="auto"/>
        </w:rPr>
      </w:pPr>
    </w:p>
    <w:p>
      <w:pPr>
        <w:ind w:left="500" w:right="2439" w:hanging="499"/>
        <w:spacing w:after="0" w:line="255" w:lineRule="auto"/>
        <w:tabs>
          <w:tab w:leader="none" w:pos="5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economic conditions, interest rates and currency exchange rates in the countries in which the company operates;</w:t>
      </w:r>
    </w:p>
    <w:p>
      <w:pPr>
        <w:spacing w:after="0" w:line="183" w:lineRule="exact"/>
        <w:rPr>
          <w:rFonts w:ascii="Courier New" w:cs="Courier New" w:eastAsia="Courier New" w:hAnsi="Courier New"/>
          <w:sz w:val="16"/>
          <w:szCs w:val="16"/>
          <w:color w:val="auto"/>
        </w:rPr>
      </w:pPr>
    </w:p>
    <w:p>
      <w:pPr>
        <w:ind w:left="500" w:hanging="499"/>
        <w:spacing w:after="0"/>
        <w:tabs>
          <w:tab w:leader="none" w:pos="5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possibility of new competitors entering into the Company's business;</w:t>
      </w:r>
    </w:p>
    <w:p>
      <w:pPr>
        <w:spacing w:after="0" w:line="197" w:lineRule="exact"/>
        <w:rPr>
          <w:rFonts w:ascii="Courier New" w:cs="Courier New" w:eastAsia="Courier New" w:hAnsi="Courier New"/>
          <w:sz w:val="16"/>
          <w:szCs w:val="16"/>
          <w:color w:val="auto"/>
        </w:rPr>
      </w:pPr>
    </w:p>
    <w:p>
      <w:pPr>
        <w:ind w:left="500" w:right="2519" w:hanging="499"/>
        <w:spacing w:after="0" w:line="252" w:lineRule="auto"/>
        <w:tabs>
          <w:tab w:leader="none" w:pos="5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to improve processes and business practices to keep pace with the economic, competitive and technological environment, including successful completion of the Company's Enterprise Resource Planning project;</w:t>
      </w:r>
    </w:p>
    <w:p>
      <w:pPr>
        <w:spacing w:after="0" w:line="186" w:lineRule="exact"/>
        <w:rPr>
          <w:rFonts w:ascii="Courier New" w:cs="Courier New" w:eastAsia="Courier New" w:hAnsi="Courier New"/>
          <w:sz w:val="16"/>
          <w:szCs w:val="16"/>
          <w:color w:val="auto"/>
        </w:rPr>
      </w:pPr>
    </w:p>
    <w:p>
      <w:pPr>
        <w:ind w:left="500" w:right="2339" w:hanging="499"/>
        <w:spacing w:after="0" w:line="255" w:lineRule="auto"/>
        <w:tabs>
          <w:tab w:leader="none" w:pos="5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ability, and that of its third party suppliers and customers, to address information technology issues related to the year 2000; and</w:t>
      </w:r>
    </w:p>
    <w:p>
      <w:pPr>
        <w:spacing w:after="0" w:line="183" w:lineRule="exact"/>
        <w:rPr>
          <w:rFonts w:ascii="Courier New" w:cs="Courier New" w:eastAsia="Courier New" w:hAnsi="Courier New"/>
          <w:sz w:val="16"/>
          <w:szCs w:val="16"/>
          <w:color w:val="auto"/>
        </w:rPr>
      </w:pPr>
    </w:p>
    <w:p>
      <w:pPr>
        <w:ind w:left="500" w:hanging="499"/>
        <w:spacing w:after="0"/>
        <w:tabs>
          <w:tab w:leader="none" w:pos="5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to integrate several recent acquisitions.</w:t>
      </w:r>
    </w:p>
    <w:p>
      <w:pPr>
        <w:spacing w:after="0" w:line="198" w:lineRule="exact"/>
        <w:rPr>
          <w:sz w:val="20"/>
          <w:szCs w:val="20"/>
          <w:color w:val="auto"/>
        </w:rPr>
      </w:pPr>
    </w:p>
    <w:p>
      <w:pPr>
        <w:ind w:right="2619"/>
        <w:spacing w:after="0" w:line="252" w:lineRule="auto"/>
        <w:rPr>
          <w:sz w:val="20"/>
          <w:szCs w:val="20"/>
          <w:color w:val="auto"/>
        </w:rPr>
      </w:pPr>
      <w:r>
        <w:rPr>
          <w:rFonts w:ascii="Courier New" w:cs="Courier New" w:eastAsia="Courier New" w:hAnsi="Courier New"/>
          <w:sz w:val="16"/>
          <w:szCs w:val="16"/>
          <w:color w:val="auto"/>
        </w:rPr>
        <w:t>Additional detailed information concerning a number of the important factors that could cause actual results to differ materially from the forward looking information contained in this release is readily available in the company's publicly filed quarterly, annual, and other reports.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Contacts: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Jenks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Broadgate Consultants,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(212) 232-2222</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Rebecca Bruening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Scotts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(614) 719-5607</w:t>
      </w:r>
    </w:p>
    <w:sectPr>
      <w:pgSz w:w="11900" w:h="16838" w:orient="portrait"/>
      <w:cols w:equalWidth="0" w:num="1">
        <w:col w:w="10219"/>
      </w:cols>
      <w:pgMar w:left="240" w:top="3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2)"/>
      <w:numFmt w:val="lowerLetter"/>
      <w:start w:val="1"/>
    </w:lvl>
  </w:abstractNum>
  <w:abstractNum w:abstractNumId="1">
    <w:nsid w:val="515F007C"/>
    <w:multiLevelType w:val="hybridMultilevel"/>
    <w:lvl w:ilvl="0">
      <w:lvlJc w:val="left"/>
      <w:lvlText w:val="(%1)"/>
      <w:numFmt w:val="lowerLetter"/>
      <w:start w:val="3"/>
    </w:lvl>
  </w:abstractNum>
  <w:abstractNum w:abstractNumId="2">
    <w:nsid w:val="5BD062C2"/>
    <w:multiLevelType w:val="hybridMultilevel"/>
    <w:lvl w:ilvl="0">
      <w:lvlJc w:val="left"/>
      <w:lvlText w:val="2"/>
      <w:numFmt w:val="bullet"/>
      <w:start w:val="1"/>
    </w:lvl>
  </w:abstractNum>
  <w:abstractNum w:abstractNumId="3">
    <w:nsid w:val="12200854"/>
    <w:multiLevelType w:val="hybridMultilevel"/>
    <w:lvl w:ilvl="0">
      <w:lvlJc w:val="left"/>
      <w:lvlText w:val="-"/>
      <w:numFmt w:val="bullet"/>
      <w:start w:val="1"/>
    </w:lvl>
    <w:lvl w:ilvl="1">
      <w:lvlJc w:val="left"/>
      <w:lvlText w:val="%2"/>
      <w:numFmt w:val="decimal"/>
      <w:start w:val="99"/>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1)"/>
      <w:numFmt w:val="lowerLetter"/>
      <w:start w:val="2"/>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1"/>
    </w:lvl>
    <w:lvl w:ilvl="1">
      <w:lvlJc w:val="left"/>
      <w:lvlText w:val="(%2)"/>
      <w:numFmt w:val="lowerRoman"/>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2019-12-20T06:44:11Z</dcterms:created>
  <dcterms:modified xsi:type="dcterms:W3CDTF">2019-12-20T06:44:11Z</dcterms:modified>
</cp:coreProperties>
</file>